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FB" w:rsidRDefault="004D3C1D" w:rsidP="00AF364E">
      <w:pPr>
        <w:spacing w:beforeLines="100" w:before="312" w:line="600" w:lineRule="exact"/>
        <w:jc w:val="center"/>
        <w:rPr>
          <w:rFonts w:ascii="Times New Roman" w:eastAsia="方正小标宋简体" w:hAnsi="Times New Roman"/>
          <w:color w:val="000000"/>
          <w:sz w:val="44"/>
          <w:szCs w:val="36"/>
        </w:rPr>
      </w:pPr>
      <w:r>
        <w:rPr>
          <w:rFonts w:ascii="Times New Roman" w:eastAsia="方正小标宋简体" w:hAnsi="Times New Roman" w:hint="eastAsia"/>
          <w:color w:val="000000"/>
          <w:sz w:val="44"/>
          <w:szCs w:val="36"/>
        </w:rPr>
        <w:t>全瓷义齿用氧化锆瓷块注册技术审查指导原则（</w:t>
      </w:r>
      <w:r w:rsidRPr="00AF364E">
        <w:rPr>
          <w:rFonts w:ascii="方正小标宋简体" w:eastAsia="方正小标宋简体" w:hAnsi="Times New Roman" w:hint="eastAsia"/>
          <w:color w:val="000000"/>
          <w:sz w:val="44"/>
          <w:szCs w:val="36"/>
        </w:rPr>
        <w:t>2026</w:t>
      </w:r>
      <w:r>
        <w:rPr>
          <w:rFonts w:ascii="Times New Roman" w:eastAsia="方正小标宋简体" w:hAnsi="Times New Roman" w:hint="eastAsia"/>
          <w:color w:val="000000"/>
          <w:sz w:val="44"/>
          <w:szCs w:val="36"/>
        </w:rPr>
        <w:t>年修订版）</w:t>
      </w:r>
    </w:p>
    <w:p w:rsidR="000C33FB" w:rsidRDefault="000C33FB"/>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本指导原则旨在指导注册申请人对全瓷义齿用氧化锆瓷块注册申报资料的准备及撰写，同时也为技术审评部门对注册申报资料的审评提供参考。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对全瓷义齿用氧化锆瓷块注册申报资料的一般要求，注册申请人应依据产品的具体特性确定其中内容是否适用。若不适用，需具体阐述理由及相应的科学依据，并依据产品的具体特性对注册申报资料的内容进行充实和细化。</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w:t>
      </w:r>
      <w:proofErr w:type="gramStart"/>
      <w:r>
        <w:rPr>
          <w:rFonts w:ascii="Times New Roman" w:eastAsia="仿宋_GB2312" w:hAnsi="Times New Roman" w:hint="eastAsia"/>
          <w:color w:val="000000"/>
          <w:sz w:val="32"/>
          <w:szCs w:val="32"/>
        </w:rPr>
        <w:t>供注册</w:t>
      </w:r>
      <w:proofErr w:type="gramEnd"/>
      <w:r>
        <w:rPr>
          <w:rFonts w:ascii="Times New Roman" w:eastAsia="仿宋_GB2312" w:hAnsi="Times New Roman" w:hint="eastAsia"/>
          <w:color w:val="000000"/>
          <w:sz w:val="32"/>
          <w:szCs w:val="32"/>
        </w:rPr>
        <w:t>申请人和技术审评人员使用的指导性文件，但不包括注册审批所涉及的行政事项，亦不作为法规强制执行，应在遵循相关法规和强制性标准的前提下使用本指导原则。如果有能够满足相关法规要求的其他方法，也可以采用，但是需要提供详细的研究资料和验证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本指导原则是在现行法规和标准体系以及当前认知水平下制定的，随着法规和标准的不断完善，以及科学技术的不断发展，本指导原则相关内容也将进行适时的调整。</w:t>
      </w:r>
    </w:p>
    <w:p w:rsidR="000C33FB" w:rsidRDefault="004D3C1D">
      <w:pPr>
        <w:spacing w:line="520" w:lineRule="exact"/>
        <w:ind w:left="643"/>
        <w:rPr>
          <w:rFonts w:ascii="Times New Roman" w:eastAsia="黑体" w:hAnsi="Times New Roman"/>
          <w:color w:val="000000"/>
          <w:sz w:val="32"/>
          <w:szCs w:val="32"/>
        </w:rPr>
      </w:pPr>
      <w:r>
        <w:rPr>
          <w:rFonts w:ascii="Times New Roman" w:eastAsia="黑体" w:hAnsi="Times New Roman" w:hint="eastAsia"/>
          <w:color w:val="000000"/>
          <w:sz w:val="32"/>
          <w:szCs w:val="32"/>
        </w:rPr>
        <w:t>一、适用范围</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本指导原则适用于全瓷义齿用氧化锆瓷块产品（以下简称氧化锆瓷块）。本指导原则所称的氧化锆瓷块属于《医疗器械分类目录》中按照第二类医疗器械管理的陶瓷类义齿材料。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本指导原则不适用于以粉状形式提供及</w:t>
      </w:r>
      <w:r>
        <w:rPr>
          <w:rFonts w:ascii="Times New Roman" w:eastAsia="仿宋_GB2312" w:hAnsi="Times New Roman" w:hint="eastAsia"/>
          <w:color w:val="000000"/>
          <w:sz w:val="32"/>
          <w:szCs w:val="32"/>
        </w:rPr>
        <w:t>3D</w:t>
      </w:r>
      <w:r>
        <w:rPr>
          <w:rFonts w:ascii="Times New Roman" w:eastAsia="仿宋_GB2312" w:hAnsi="Times New Roman" w:hint="eastAsia"/>
          <w:color w:val="000000"/>
          <w:sz w:val="32"/>
          <w:szCs w:val="32"/>
        </w:rPr>
        <w:t>打印工艺的全瓷</w:t>
      </w:r>
      <w:r>
        <w:rPr>
          <w:rFonts w:ascii="Times New Roman" w:eastAsia="仿宋_GB2312" w:hAnsi="Times New Roman" w:hint="eastAsia"/>
          <w:color w:val="000000"/>
          <w:sz w:val="32"/>
          <w:szCs w:val="32"/>
        </w:rPr>
        <w:lastRenderedPageBreak/>
        <w:t>义齿用氧化锆材料，不适用于义齿加工生产企业生产的定制式全瓷义齿，也不适用于种植体及基台用氧化锆瓷块。</w:t>
      </w:r>
    </w:p>
    <w:p w:rsidR="000C33FB" w:rsidRDefault="004D3C1D">
      <w:pPr>
        <w:pStyle w:val="1"/>
        <w:spacing w:line="520" w:lineRule="exact"/>
        <w:ind w:firstLineChars="0" w:firstLine="610"/>
        <w:rPr>
          <w:rFonts w:ascii="Times New Roman" w:eastAsia="黑体" w:hAnsi="Times New Roman" w:cs="Times New Roman"/>
          <w:sz w:val="32"/>
          <w:szCs w:val="32"/>
        </w:rPr>
      </w:pPr>
      <w:r>
        <w:rPr>
          <w:rFonts w:ascii="Times New Roman" w:eastAsia="黑体" w:hAnsi="Times New Roman" w:cs="Times New Roman" w:hint="eastAsia"/>
          <w:sz w:val="32"/>
          <w:szCs w:val="32"/>
        </w:rPr>
        <w:t>二、注册审查要点</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（一）监管信息</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产品名称</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的命名应符合《医疗器械通用名称命名规则》《口腔科器械通用名称命名指导原则》等相关文件的要求，可采用《医疗器械分类目录》或国家标准、行业标准中的通用名称，或以材料组成和预期目的为依据命名。例如：全瓷义齿用氧化锆瓷块、牙科氧化锆瓷块。</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管理类别和分类编码</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根据《医疗器械分类目录》，产品管理类别为Ⅱ类，分类编码为</w:t>
      </w:r>
      <w:r>
        <w:rPr>
          <w:rFonts w:ascii="Times New Roman" w:eastAsia="仿宋_GB2312" w:hAnsi="Times New Roman" w:hint="eastAsia"/>
          <w:color w:val="000000"/>
          <w:sz w:val="32"/>
          <w:szCs w:val="32"/>
        </w:rPr>
        <w:t>17-06-02</w:t>
      </w:r>
      <w:r>
        <w:rPr>
          <w:rFonts w:ascii="Times New Roman" w:eastAsia="仿宋_GB2312" w:hAnsi="Times New Roman" w:hint="eastAsia"/>
          <w:color w:val="000000"/>
          <w:sz w:val="32"/>
          <w:szCs w:val="32"/>
        </w:rPr>
        <w:t>。</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注册单元划分的原则和实例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注册单元划分应符合《医疗器械注册单元划分指导原则》的要求，原则上以产品的技术原理、结构组成、性能指标和适用范围为划分依据，应从以下两个方面来考虑：</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）成分：氧化锆瓷块的主要组成成分不同原则上划分为不同的注册单元。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）工艺：氧化锆瓷块成型工艺及流程不同原则上划为不同的注册单元。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例</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：组成成分不同导致弯曲强度、烧结密度、收缩因子等关键性能不同的产品应划分为不同的注册单元。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例</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：“注浆成型”工艺和“干法成形”工艺生产的氧化锆瓷</w:t>
      </w:r>
      <w:r>
        <w:rPr>
          <w:rFonts w:ascii="Times New Roman" w:eastAsia="仿宋_GB2312" w:hAnsi="Times New Roman" w:hint="eastAsia"/>
          <w:color w:val="000000"/>
          <w:sz w:val="32"/>
          <w:szCs w:val="32"/>
        </w:rPr>
        <w:lastRenderedPageBreak/>
        <w:t>块，应划为不同的注册单元。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例</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：主要成分相同，工艺相同，形状、尺寸或色号不同的氧化锆瓷块可划为同一注册单元。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产品列表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以表格形式列出拟申报产品的型号、规格、结构及组成，以及每个型号规格的标识（如型号或部件的编号等）和描述说明（如形状、尺寸、工艺等）。</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（二）综述资料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产品描述</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结构及组成</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产品结构及组成中组成成分名称应规范。氧化锆瓷块主要成分为氧化锆，一般含有氧化钇、氧化铪、氧化铝及其他氧化物。</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如图</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所示，氧化锆瓷块按照形状一般分为圆柱体、长方体、圆盘及定制几何体。</w:t>
      </w:r>
    </w:p>
    <w:p w:rsidR="000C33FB" w:rsidRDefault="004D3C1D">
      <w:pPr>
        <w:jc w:val="center"/>
        <w:rPr>
          <w:rFonts w:eastAsia="仿宋_GB2312"/>
          <w:color w:val="000000"/>
          <w:sz w:val="30"/>
          <w:szCs w:val="30"/>
        </w:rPr>
      </w:pPr>
      <w:r>
        <w:rPr>
          <w:rFonts w:eastAsia="仿宋_GB2312"/>
          <w:noProof/>
          <w:color w:val="000000"/>
          <w:sz w:val="30"/>
          <w:szCs w:val="30"/>
        </w:rPr>
        <w:drawing>
          <wp:inline distT="0" distB="0" distL="114300" distR="114300">
            <wp:extent cx="3695065" cy="3002280"/>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695065" cy="3002280"/>
                    </a:xfrm>
                    <a:prstGeom prst="rect">
                      <a:avLst/>
                    </a:prstGeom>
                    <a:noFill/>
                    <a:ln>
                      <a:noFill/>
                    </a:ln>
                  </pic:spPr>
                </pic:pic>
              </a:graphicData>
            </a:graphic>
          </wp:inline>
        </w:drawing>
      </w:r>
    </w:p>
    <w:p w:rsidR="000C33FB" w:rsidRDefault="004D3C1D">
      <w:pPr>
        <w:ind w:rightChars="-32" w:right="-67"/>
        <w:jc w:val="center"/>
        <w:rPr>
          <w:rFonts w:ascii="Times New Roman" w:eastAsia="黑体" w:hAnsi="Times New Roman"/>
          <w:bCs/>
          <w:color w:val="000000"/>
          <w:sz w:val="28"/>
          <w:szCs w:val="28"/>
        </w:rPr>
      </w:pPr>
      <w:r>
        <w:rPr>
          <w:rFonts w:ascii="Times New Roman" w:eastAsia="黑体" w:hAnsi="Times New Roman" w:hint="eastAsia"/>
          <w:bCs/>
          <w:color w:val="000000"/>
          <w:sz w:val="28"/>
          <w:szCs w:val="28"/>
        </w:rPr>
        <w:lastRenderedPageBreak/>
        <w:t>图</w:t>
      </w:r>
      <w:r>
        <w:rPr>
          <w:rFonts w:ascii="Times New Roman" w:eastAsia="黑体" w:hAnsi="Times New Roman" w:hint="eastAsia"/>
          <w:bCs/>
          <w:color w:val="000000"/>
          <w:sz w:val="28"/>
          <w:szCs w:val="28"/>
        </w:rPr>
        <w:t xml:space="preserve">1 </w:t>
      </w:r>
      <w:r>
        <w:rPr>
          <w:rFonts w:ascii="Times New Roman" w:eastAsia="黑体" w:hAnsi="Times New Roman" w:hint="eastAsia"/>
          <w:bCs/>
          <w:color w:val="000000"/>
          <w:sz w:val="28"/>
          <w:szCs w:val="28"/>
        </w:rPr>
        <w:t>氧化锆瓷块示例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型号规格</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明确产品型号规格的表述方式、划分依据及各型号规格的区别，可采用对比表或带有说明性文字的图片、图表，描述各种型号规格的结构组成、产品特征、性能指标等内容。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氧化锆瓷块可根据产品的形状、尺寸来区分型号规格，例如：圆柱体、</w:t>
      </w:r>
      <w:r>
        <w:rPr>
          <w:rFonts w:ascii="Times New Roman" w:eastAsia="仿宋_GB2312" w:hAnsi="Times New Roman" w:hint="eastAsia"/>
          <w:color w:val="000000"/>
          <w:sz w:val="32"/>
          <w:szCs w:val="32"/>
        </w:rPr>
        <w:t>98</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10</w:t>
      </w:r>
      <w:r>
        <w:rPr>
          <w:rFonts w:ascii="Times New Roman" w:eastAsia="仿宋_GB2312" w:hAnsi="Times New Roman" w:hint="eastAsia"/>
          <w:color w:val="000000"/>
          <w:sz w:val="32"/>
          <w:szCs w:val="32"/>
        </w:rPr>
        <w:t>，长方体、</w:t>
      </w:r>
      <w:r>
        <w:rPr>
          <w:rFonts w:ascii="Times New Roman" w:eastAsia="仿宋_GB2312" w:hAnsi="Times New Roman" w:hint="eastAsia"/>
          <w:color w:val="000000"/>
          <w:sz w:val="32"/>
          <w:szCs w:val="32"/>
        </w:rPr>
        <w:t>58</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29</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16</w:t>
      </w:r>
      <w:r>
        <w:rPr>
          <w:rFonts w:ascii="Times New Roman" w:eastAsia="仿宋_GB2312" w:hAnsi="Times New Roman" w:hint="eastAsia"/>
          <w:color w:val="000000"/>
          <w:sz w:val="32"/>
          <w:szCs w:val="32"/>
        </w:rPr>
        <w:t>，定制几何体（如马蹄形）、</w:t>
      </w:r>
      <w:r>
        <w:rPr>
          <w:rFonts w:ascii="Times New Roman" w:eastAsia="仿宋_GB2312" w:hAnsi="Times New Roman" w:hint="eastAsia"/>
          <w:color w:val="000000"/>
          <w:sz w:val="32"/>
          <w:szCs w:val="32"/>
        </w:rPr>
        <w:t>92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75</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16</w:t>
      </w:r>
      <w:r>
        <w:rPr>
          <w:rFonts w:ascii="Times New Roman" w:eastAsia="仿宋_GB2312" w:hAnsi="Times New Roman" w:hint="eastAsia"/>
          <w:color w:val="000000"/>
          <w:sz w:val="32"/>
          <w:szCs w:val="32"/>
        </w:rPr>
        <w:t>等，应清晰、准确表述产品的全部型号规格。不得出现“依据客户需求可提供定制型号”和误导或超出申报产品描述以及预期用途范畴的表述内容。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1.3</w:t>
      </w:r>
      <w:r>
        <w:rPr>
          <w:rFonts w:ascii="Times New Roman" w:eastAsia="仿宋_GB2312" w:hAnsi="Times New Roman" w:hint="eastAsia"/>
          <w:color w:val="000000"/>
          <w:sz w:val="32"/>
          <w:szCs w:val="32"/>
        </w:rPr>
        <w:t>工作原理</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氧化锆瓷块是制作全瓷义齿的主要材料，它具有较高的抗弯强度和耐磨性。同时，具有良好的透光性，使修复后的牙齿看起来更加自然。此外，氧化锆瓷块对口腔组织具有良好的生物相容性。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氧化锆瓷块通常采用</w:t>
      </w:r>
      <w:r>
        <w:rPr>
          <w:rFonts w:ascii="Times New Roman" w:eastAsia="仿宋_GB2312" w:hAnsi="Times New Roman" w:hint="eastAsia"/>
          <w:color w:val="000000"/>
          <w:sz w:val="32"/>
          <w:szCs w:val="32"/>
        </w:rPr>
        <w:t>CAD/CAM</w:t>
      </w:r>
      <w:r>
        <w:rPr>
          <w:rFonts w:ascii="Times New Roman" w:eastAsia="仿宋_GB2312" w:hAnsi="Times New Roman" w:hint="eastAsia"/>
          <w:color w:val="000000"/>
          <w:sz w:val="32"/>
          <w:szCs w:val="32"/>
        </w:rPr>
        <w:t>（计算机辅助设计</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计算机辅助制造）制作全瓷义齿，制作流程举例如下：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）对模型、蜡型进行口外扫描，或使用口内扫描仪直接进行口内扫描，获得三维数据集；</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）对三维数据集进行软件处理，设计修复体（</w:t>
      </w:r>
      <w:r>
        <w:rPr>
          <w:rFonts w:ascii="Times New Roman" w:eastAsia="仿宋_GB2312" w:hAnsi="Times New Roman" w:hint="eastAsia"/>
          <w:color w:val="000000"/>
          <w:sz w:val="32"/>
          <w:szCs w:val="32"/>
        </w:rPr>
        <w:t>CAD</w:t>
      </w:r>
      <w:r>
        <w:rPr>
          <w:rFonts w:ascii="Times New Roman" w:eastAsia="仿宋_GB2312" w:hAnsi="Times New Roman" w:hint="eastAsia"/>
          <w:color w:val="000000"/>
          <w:sz w:val="32"/>
          <w:szCs w:val="32"/>
        </w:rPr>
        <w:t>）；</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）计算机控制的机械加工工具完成制作（修复体）过程</w:t>
      </w:r>
      <w:r>
        <w:rPr>
          <w:rFonts w:ascii="Times New Roman" w:eastAsia="仿宋_GB2312" w:hAnsi="Times New Roman" w:hint="eastAsia"/>
          <w:color w:val="000000"/>
          <w:sz w:val="32"/>
          <w:szCs w:val="32"/>
        </w:rPr>
        <w:t>(CAM)</w:t>
      </w:r>
      <w:r>
        <w:rPr>
          <w:rFonts w:ascii="Times New Roman" w:eastAsia="仿宋_GB2312" w:hAnsi="Times New Roman" w:hint="eastAsia"/>
          <w:color w:val="000000"/>
          <w:sz w:val="32"/>
          <w:szCs w:val="32"/>
        </w:rPr>
        <w:t>；</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）最终烧结、完成材料致密化后，对氧化锆修复体整体进行抛光，并配合饰面材料、染色材料及釉料等，完成最终修复</w:t>
      </w:r>
      <w:r>
        <w:rPr>
          <w:rFonts w:ascii="Times New Roman" w:eastAsia="仿宋_GB2312" w:hAnsi="Times New Roman" w:hint="eastAsia"/>
          <w:color w:val="000000"/>
          <w:sz w:val="32"/>
          <w:szCs w:val="32"/>
        </w:rPr>
        <w:lastRenderedPageBreak/>
        <w:t>体。</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氧化锆瓷块的成型工艺目前主要有“干法成型”和“注浆成型”两种工艺。</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干法成型按照加压方式不同又分为“等静压成型”和“干压成型”（流程见图</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两种干法成型通过机械压力将氧化锆干粉压缩成坯体，通常有单轴压制和冷等静压两种工艺，生产企业多采用两步结合法。目前，大部分国内注册申请人生产采用单轴压制成型与冷等静压结合的方式。大部分国外注册申请人生产采用双向压制成型的方式（一次成型）。少数国外生产企业采用“注浆成型”工艺（流程见图</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）。利用多孔模具（如石膏）的毛细吸力，使氧化锆浆料脱水沉积形成坯体。</w:t>
      </w:r>
    </w:p>
    <w:p w:rsidR="008C7FEE" w:rsidRDefault="008C7FEE">
      <w:pPr>
        <w:spacing w:line="520" w:lineRule="exact"/>
        <w:ind w:firstLineChars="200" w:firstLine="640"/>
        <w:rPr>
          <w:rFonts w:ascii="Times New Roman" w:eastAsia="仿宋_GB2312" w:hAnsi="Times New Roman"/>
          <w:color w:val="000000"/>
          <w:sz w:val="32"/>
          <w:szCs w:val="32"/>
        </w:rPr>
      </w:pPr>
    </w:p>
    <w:p w:rsidR="000C33FB" w:rsidRDefault="004D3C1D">
      <w:pPr>
        <w:jc w:val="center"/>
        <w:rPr>
          <w:rFonts w:eastAsia="仿宋_GB2312"/>
          <w:color w:val="000000"/>
          <w:sz w:val="32"/>
          <w:szCs w:val="32"/>
        </w:rPr>
      </w:pPr>
      <w:r>
        <w:rPr>
          <w:rFonts w:eastAsia="仿宋_GB2312"/>
          <w:noProof/>
          <w:color w:val="000000"/>
          <w:sz w:val="32"/>
          <w:szCs w:val="32"/>
        </w:rPr>
        <w:drawing>
          <wp:inline distT="0" distB="0" distL="114300" distR="114300">
            <wp:extent cx="2047240" cy="33458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047240" cy="3345815"/>
                    </a:xfrm>
                    <a:prstGeom prst="rect">
                      <a:avLst/>
                    </a:prstGeom>
                    <a:noFill/>
                    <a:ln>
                      <a:noFill/>
                    </a:ln>
                  </pic:spPr>
                </pic:pic>
              </a:graphicData>
            </a:graphic>
          </wp:inline>
        </w:drawing>
      </w:r>
    </w:p>
    <w:p w:rsidR="000C33FB" w:rsidRDefault="004D3C1D">
      <w:pPr>
        <w:ind w:rightChars="-32" w:right="-67"/>
        <w:jc w:val="center"/>
        <w:rPr>
          <w:rFonts w:ascii="Times New Roman" w:eastAsia="黑体" w:hAnsi="Times New Roman"/>
          <w:bCs/>
          <w:color w:val="000000"/>
          <w:sz w:val="28"/>
          <w:szCs w:val="28"/>
        </w:rPr>
      </w:pPr>
      <w:r>
        <w:rPr>
          <w:rFonts w:ascii="Times New Roman" w:eastAsia="黑体" w:hAnsi="Times New Roman" w:hint="eastAsia"/>
          <w:bCs/>
          <w:color w:val="000000"/>
          <w:sz w:val="28"/>
          <w:szCs w:val="28"/>
        </w:rPr>
        <w:t>图</w:t>
      </w:r>
      <w:r>
        <w:rPr>
          <w:rFonts w:ascii="Times New Roman" w:eastAsia="黑体" w:hAnsi="Times New Roman" w:hint="eastAsia"/>
          <w:bCs/>
          <w:color w:val="000000"/>
          <w:sz w:val="28"/>
          <w:szCs w:val="28"/>
        </w:rPr>
        <w:t xml:space="preserve">2 </w:t>
      </w:r>
      <w:r>
        <w:rPr>
          <w:rFonts w:ascii="Times New Roman" w:eastAsia="黑体" w:hAnsi="Times New Roman" w:hint="eastAsia"/>
          <w:bCs/>
          <w:color w:val="000000"/>
          <w:sz w:val="28"/>
          <w:szCs w:val="28"/>
        </w:rPr>
        <w:t>氧化锆瓷块干法成型生产工艺流程</w:t>
      </w:r>
    </w:p>
    <w:p w:rsidR="000C33FB" w:rsidRDefault="004D3C1D">
      <w:pPr>
        <w:jc w:val="center"/>
        <w:rPr>
          <w:rFonts w:ascii="Times New Roman" w:hAnsi="Times New Roman"/>
        </w:rPr>
      </w:pPr>
      <w:r>
        <w:rPr>
          <w:rFonts w:ascii="Times New Roman" w:hAnsi="Times New Roman"/>
          <w:noProof/>
        </w:rPr>
        <w:lastRenderedPageBreak/>
        <w:drawing>
          <wp:inline distT="0" distB="0" distL="114300" distR="114300">
            <wp:extent cx="2717800" cy="33445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717800" cy="3344545"/>
                    </a:xfrm>
                    <a:prstGeom prst="rect">
                      <a:avLst/>
                    </a:prstGeom>
                    <a:noFill/>
                    <a:ln>
                      <a:noFill/>
                    </a:ln>
                  </pic:spPr>
                </pic:pic>
              </a:graphicData>
            </a:graphic>
          </wp:inline>
        </w:drawing>
      </w:r>
    </w:p>
    <w:p w:rsidR="000C33FB" w:rsidRDefault="004D3C1D">
      <w:pPr>
        <w:ind w:rightChars="-32" w:right="-67"/>
        <w:jc w:val="center"/>
        <w:rPr>
          <w:rFonts w:ascii="Times New Roman" w:eastAsia="黑体" w:hAnsi="Times New Roman"/>
          <w:bCs/>
          <w:color w:val="000000"/>
          <w:sz w:val="28"/>
          <w:szCs w:val="28"/>
        </w:rPr>
      </w:pPr>
      <w:r>
        <w:rPr>
          <w:rFonts w:ascii="Times New Roman" w:eastAsia="黑体" w:hAnsi="Times New Roman" w:hint="eastAsia"/>
          <w:bCs/>
          <w:color w:val="000000"/>
          <w:sz w:val="28"/>
          <w:szCs w:val="28"/>
        </w:rPr>
        <w:t>图</w:t>
      </w:r>
      <w:r>
        <w:rPr>
          <w:rFonts w:ascii="Times New Roman" w:eastAsia="黑体" w:hAnsi="Times New Roman" w:hint="eastAsia"/>
          <w:bCs/>
          <w:color w:val="000000"/>
          <w:sz w:val="28"/>
          <w:szCs w:val="28"/>
        </w:rPr>
        <w:t xml:space="preserve">3 </w:t>
      </w:r>
      <w:r>
        <w:rPr>
          <w:rFonts w:ascii="Times New Roman" w:eastAsia="黑体" w:hAnsi="Times New Roman" w:hint="eastAsia"/>
          <w:bCs/>
          <w:color w:val="000000"/>
          <w:sz w:val="28"/>
          <w:szCs w:val="28"/>
        </w:rPr>
        <w:t>氧化锆瓷块注浆成型生产工艺流程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1.4</w:t>
      </w:r>
      <w:r>
        <w:rPr>
          <w:rFonts w:ascii="Times New Roman" w:eastAsia="仿宋_GB2312" w:hAnsi="Times New Roman" w:hint="eastAsia"/>
          <w:color w:val="000000"/>
          <w:sz w:val="32"/>
          <w:szCs w:val="32"/>
        </w:rPr>
        <w:t>包装说明</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说明产品的包装信息，如产品包装的材料、包装清单、包装方式、包装图示等；说明如何确保最终使用者可清晰地辨识包装的完整性。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1.5</w:t>
      </w:r>
      <w:r>
        <w:rPr>
          <w:rFonts w:ascii="Times New Roman" w:eastAsia="仿宋_GB2312" w:hAnsi="Times New Roman" w:hint="eastAsia"/>
          <w:color w:val="000000"/>
          <w:sz w:val="32"/>
          <w:szCs w:val="32"/>
        </w:rPr>
        <w:t>研发历程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阐述申请注册产品的研发背景和目的。如有参考的同类产品或前代产品，需提供同类产品或前代产品的信息，并说明选择其作为研发参考的原因。</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1.6</w:t>
      </w:r>
      <w:r>
        <w:rPr>
          <w:rFonts w:ascii="Times New Roman" w:eastAsia="仿宋_GB2312" w:hAnsi="Times New Roman" w:hint="eastAsia"/>
          <w:color w:val="000000"/>
          <w:sz w:val="32"/>
          <w:szCs w:val="32"/>
        </w:rPr>
        <w:t>与同类和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或前代产品的参考和比较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列表比较说明与同类产品在工作原理、结构组成、组成成分、性能指标、适用范围等方面的异同。</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适用范围、禁忌证</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2.1</w:t>
      </w:r>
      <w:r>
        <w:rPr>
          <w:rFonts w:ascii="Times New Roman" w:eastAsia="仿宋_GB2312" w:hAnsi="Times New Roman" w:hint="eastAsia"/>
          <w:color w:val="000000"/>
          <w:sz w:val="32"/>
          <w:szCs w:val="32"/>
        </w:rPr>
        <w:t>适用范围</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该产品以氧化锆为主要材料，用于制作牙科固定义齿，如冠（包括套筒冠</w:t>
      </w:r>
      <w:proofErr w:type="gramStart"/>
      <w:r>
        <w:rPr>
          <w:rFonts w:ascii="Times New Roman" w:eastAsia="仿宋_GB2312" w:hAnsi="Times New Roman" w:hint="eastAsia"/>
          <w:color w:val="000000"/>
          <w:sz w:val="32"/>
          <w:szCs w:val="32"/>
        </w:rPr>
        <w:t>外冠</w:t>
      </w:r>
      <w:proofErr w:type="gramEnd"/>
      <w:r>
        <w:rPr>
          <w:rFonts w:ascii="Times New Roman" w:eastAsia="仿宋_GB2312" w:hAnsi="Times New Roman" w:hint="eastAsia"/>
          <w:color w:val="000000"/>
          <w:sz w:val="32"/>
          <w:szCs w:val="32"/>
        </w:rPr>
        <w:t>）、桥（包括固定活动联合修复的固定义齿部分）、嵌体、贴面。</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2.2</w:t>
      </w:r>
      <w:r>
        <w:rPr>
          <w:rFonts w:ascii="Times New Roman" w:eastAsia="仿宋_GB2312" w:hAnsi="Times New Roman" w:hint="eastAsia"/>
          <w:color w:val="000000"/>
          <w:sz w:val="32"/>
          <w:szCs w:val="32"/>
        </w:rPr>
        <w:t>预期使用环境</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明确预期使用的地点（如医疗机构），说明可能影响其安全性和有效性的环境条件。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2.3</w:t>
      </w:r>
      <w:r>
        <w:rPr>
          <w:rFonts w:ascii="Times New Roman" w:eastAsia="仿宋_GB2312" w:hAnsi="Times New Roman" w:hint="eastAsia"/>
          <w:color w:val="000000"/>
          <w:sz w:val="32"/>
          <w:szCs w:val="32"/>
        </w:rPr>
        <w:t>适用人群</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明确目标患者人群信息、患者选择标准信息以及明确使用过程中需要考虑的因素。</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2.4</w:t>
      </w:r>
      <w:r>
        <w:rPr>
          <w:rFonts w:ascii="Times New Roman" w:eastAsia="仿宋_GB2312" w:hAnsi="Times New Roman" w:hint="eastAsia"/>
          <w:color w:val="000000"/>
          <w:sz w:val="32"/>
          <w:szCs w:val="32"/>
        </w:rPr>
        <w:t>禁忌证</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通过风险</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受益评估后，针对某些疾病、情况或特定的人群，认为不推荐使用该产品，应当明确说明，如有相关过敏史、过敏体质或对氧化锆陶瓷材料过敏者及对异物感明显又无法克服者禁用。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申报产品上市历史</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注册申请人应跟踪整理已上市同类产品的不良事件、召回、警戒等相关信息，并将其作为风险管理的输入资料，进行风险评估和控制。</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（三）非临床资料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产品风险管理资料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注册申请人需对产品全生命周期实施风险管理，参照</w:t>
      </w:r>
      <w:r>
        <w:rPr>
          <w:rFonts w:ascii="Times New Roman" w:eastAsia="仿宋_GB2312" w:hAnsi="Times New Roman" w:hint="eastAsia"/>
          <w:color w:val="000000"/>
          <w:sz w:val="32"/>
          <w:szCs w:val="32"/>
        </w:rPr>
        <w:t>GB/T 42062</w:t>
      </w:r>
      <w:r>
        <w:rPr>
          <w:rFonts w:ascii="Times New Roman" w:eastAsia="仿宋_GB2312" w:hAnsi="Times New Roman" w:hint="eastAsia"/>
          <w:color w:val="000000"/>
          <w:sz w:val="32"/>
          <w:szCs w:val="32"/>
        </w:rPr>
        <w:t>《医疗器械</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风险管理对医疗器械的应用》的要求提交风险管理资料，</w:t>
      </w:r>
      <w:proofErr w:type="gramStart"/>
      <w:r>
        <w:rPr>
          <w:rFonts w:ascii="Times New Roman" w:eastAsia="仿宋_GB2312" w:hAnsi="Times New Roman" w:hint="eastAsia"/>
          <w:color w:val="000000"/>
          <w:sz w:val="32"/>
          <w:szCs w:val="32"/>
        </w:rPr>
        <w:t>需包括</w:t>
      </w:r>
      <w:proofErr w:type="gramEnd"/>
      <w:r>
        <w:rPr>
          <w:rFonts w:ascii="Times New Roman" w:eastAsia="仿宋_GB2312" w:hAnsi="Times New Roman" w:hint="eastAsia"/>
          <w:color w:val="000000"/>
          <w:sz w:val="32"/>
          <w:szCs w:val="32"/>
        </w:rPr>
        <w:t>风险分析、风险评价、风险控制、任何一个或</w:t>
      </w:r>
      <w:r>
        <w:rPr>
          <w:rFonts w:ascii="Times New Roman" w:eastAsia="仿宋_GB2312" w:hAnsi="Times New Roman" w:hint="eastAsia"/>
          <w:color w:val="000000"/>
          <w:sz w:val="32"/>
          <w:szCs w:val="32"/>
        </w:rPr>
        <w:lastRenderedPageBreak/>
        <w:t>多个剩余风险的可接受性评定及综合评价与产品受益相比，产品风险可接受。应对申报产品的可能危害进行判定并列出清单（见附件表</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注册申请人在进行风险分析时，至少应考虑表</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中主要危险，企业还应根据自身产品特点确定其他危险，详述危险发生的原因、危害水平、采取降低危险的措施以及剩余危害可接受性评定。确保风险降低到可接受的程度，或经风险分析，受益大于风险。</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医疗器械安全和性能基本原则清单</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注册申请人可结合申报产品特性，参考《</w:t>
      </w:r>
      <w:r>
        <w:rPr>
          <w:rFonts w:ascii="Times New Roman" w:eastAsia="仿宋_GB2312" w:hAnsi="Times New Roman" w:hint="eastAsia"/>
          <w:color w:val="000000"/>
          <w:sz w:val="32"/>
          <w:szCs w:val="32"/>
        </w:rPr>
        <w:t>&lt;</w:t>
      </w:r>
      <w:r>
        <w:rPr>
          <w:rFonts w:ascii="Times New Roman" w:eastAsia="仿宋_GB2312" w:hAnsi="Times New Roman" w:hint="eastAsia"/>
          <w:color w:val="000000"/>
          <w:sz w:val="32"/>
          <w:szCs w:val="32"/>
        </w:rPr>
        <w:t>医疗器械安全和性能基本原则</w:t>
      </w:r>
      <w:r>
        <w:rPr>
          <w:rFonts w:ascii="Times New Roman" w:eastAsia="仿宋_GB2312" w:hAnsi="Times New Roman" w:hint="eastAsia"/>
          <w:color w:val="000000"/>
          <w:sz w:val="32"/>
          <w:szCs w:val="32"/>
        </w:rPr>
        <w:t>&gt;</w:t>
      </w:r>
      <w:r>
        <w:rPr>
          <w:rFonts w:ascii="Times New Roman" w:eastAsia="仿宋_GB2312" w:hAnsi="Times New Roman" w:hint="eastAsia"/>
          <w:color w:val="000000"/>
          <w:sz w:val="32"/>
          <w:szCs w:val="32"/>
        </w:rPr>
        <w:t>符合性技术指南》中适用的部分，准确填写《医疗器械安全和性能基本原则清单》。应说明申报产品符合《医疗器械安全和性能基本原则清单》各项适用要求所采用的方法，以及证明其符合性的文件。对于不适用的各项要求，应当说明理由。</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产品技术要求及检验报告</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技术要求的制定需符合《医疗器械产品技术要求编写指导原则》的要求，需符合相关国家标准、行业标准和有关法律、法规的相应要求。在此基础上，注册申请人需根据产品的特点，制定保证产品安全、有效的技术要求。产品技术要求中试验方法需依据有关国家标准、行业标准、国际标准制订，或经过确认与验证。</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注册申请人需给出氧化锆瓷块需要考虑的基本技术性能指标，可参考相应的标准，如</w:t>
      </w:r>
      <w:r>
        <w:rPr>
          <w:rFonts w:ascii="Times New Roman" w:eastAsia="仿宋_GB2312" w:hAnsi="Times New Roman" w:hint="eastAsia"/>
          <w:color w:val="000000"/>
          <w:sz w:val="32"/>
          <w:szCs w:val="32"/>
        </w:rPr>
        <w:t xml:space="preserve">GB 30367 </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陶瓷材料》、</w:t>
      </w:r>
      <w:r>
        <w:rPr>
          <w:rFonts w:ascii="Times New Roman" w:eastAsia="仿宋_GB2312" w:hAnsi="Times New Roman" w:hint="eastAsia"/>
          <w:color w:val="000000"/>
          <w:sz w:val="32"/>
          <w:szCs w:val="32"/>
        </w:rPr>
        <w:t>YY/T 0621.2</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匹配性试验</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部分：陶瓷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陶瓷体系》等，根</w:t>
      </w:r>
      <w:r>
        <w:rPr>
          <w:rFonts w:ascii="Times New Roman" w:eastAsia="仿宋_GB2312" w:hAnsi="Times New Roman" w:hint="eastAsia"/>
          <w:color w:val="000000"/>
          <w:sz w:val="32"/>
          <w:szCs w:val="32"/>
        </w:rPr>
        <w:lastRenderedPageBreak/>
        <w:t>据企业自身产品的技术特点和用途制定相应的性能指标。如强制性标准中有不适用条款，企业在研究资料中必须说明理由。</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产品技术要求</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主要性能指标</w:t>
      </w:r>
      <w:proofErr w:type="gramStart"/>
      <w:r>
        <w:rPr>
          <w:rFonts w:ascii="Times New Roman" w:eastAsia="仿宋_GB2312" w:hAnsi="Times New Roman" w:hint="eastAsia"/>
          <w:color w:val="000000"/>
          <w:sz w:val="32"/>
          <w:szCs w:val="32"/>
        </w:rPr>
        <w:t>需包括</w:t>
      </w:r>
      <w:proofErr w:type="gramEnd"/>
      <w:r>
        <w:rPr>
          <w:rFonts w:ascii="Times New Roman" w:eastAsia="仿宋_GB2312" w:hAnsi="Times New Roman" w:hint="eastAsia"/>
          <w:color w:val="000000"/>
          <w:sz w:val="32"/>
          <w:szCs w:val="32"/>
        </w:rPr>
        <w:t>以下适用内容：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3.1.1</w:t>
      </w:r>
      <w:r>
        <w:rPr>
          <w:rFonts w:ascii="Times New Roman" w:eastAsia="仿宋_GB2312" w:hAnsi="Times New Roman" w:hint="eastAsia"/>
          <w:color w:val="000000"/>
          <w:sz w:val="32"/>
          <w:szCs w:val="32"/>
        </w:rPr>
        <w:t>尺寸</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3.1.2</w:t>
      </w:r>
      <w:r>
        <w:rPr>
          <w:rFonts w:ascii="Times New Roman" w:eastAsia="仿宋_GB2312" w:hAnsi="Times New Roman" w:hint="eastAsia"/>
          <w:color w:val="000000"/>
          <w:sz w:val="32"/>
          <w:szCs w:val="32"/>
        </w:rPr>
        <w:t>均匀性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3.1.3</w:t>
      </w:r>
      <w:r>
        <w:rPr>
          <w:rFonts w:ascii="Times New Roman" w:eastAsia="仿宋_GB2312" w:hAnsi="Times New Roman" w:hint="eastAsia"/>
          <w:color w:val="000000"/>
          <w:sz w:val="32"/>
          <w:szCs w:val="32"/>
        </w:rPr>
        <w:t>无外来异物</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3.1.4</w:t>
      </w:r>
      <w:r>
        <w:rPr>
          <w:rFonts w:ascii="Times New Roman" w:eastAsia="仿宋_GB2312" w:hAnsi="Times New Roman" w:hint="eastAsia"/>
          <w:color w:val="000000"/>
          <w:sz w:val="32"/>
          <w:szCs w:val="32"/>
        </w:rPr>
        <w:t>密度（烧结前后）</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3.1.5</w:t>
      </w:r>
      <w:r>
        <w:rPr>
          <w:rFonts w:ascii="Times New Roman" w:eastAsia="仿宋_GB2312" w:hAnsi="Times New Roman" w:hint="eastAsia"/>
          <w:color w:val="000000"/>
          <w:sz w:val="32"/>
          <w:szCs w:val="32"/>
        </w:rPr>
        <w:t>收缩因子</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3.1.6</w:t>
      </w:r>
      <w:r>
        <w:rPr>
          <w:rFonts w:ascii="Times New Roman" w:eastAsia="仿宋_GB2312" w:hAnsi="Times New Roman" w:hint="eastAsia"/>
          <w:color w:val="000000"/>
          <w:sz w:val="32"/>
          <w:szCs w:val="32"/>
        </w:rPr>
        <w:t>弯曲强度</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3.1.7</w:t>
      </w:r>
      <w:r>
        <w:rPr>
          <w:rFonts w:ascii="Times New Roman" w:eastAsia="仿宋_GB2312" w:hAnsi="Times New Roman" w:hint="eastAsia"/>
          <w:color w:val="000000"/>
          <w:sz w:val="32"/>
          <w:szCs w:val="32"/>
        </w:rPr>
        <w:t>化学溶解性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3.1.8</w:t>
      </w:r>
      <w:r>
        <w:rPr>
          <w:rFonts w:ascii="Times New Roman" w:eastAsia="仿宋_GB2312" w:hAnsi="Times New Roman" w:hint="eastAsia"/>
          <w:color w:val="000000"/>
          <w:sz w:val="32"/>
          <w:szCs w:val="32"/>
        </w:rPr>
        <w:t>线胀系数</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3.1.9</w:t>
      </w:r>
      <w:r>
        <w:rPr>
          <w:rFonts w:ascii="Times New Roman" w:eastAsia="仿宋_GB2312" w:hAnsi="Times New Roman" w:hint="eastAsia"/>
          <w:color w:val="000000"/>
          <w:sz w:val="32"/>
          <w:szCs w:val="32"/>
        </w:rPr>
        <w:t>陶瓷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陶瓷体系匹配性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3.1.10</w:t>
      </w:r>
      <w:r>
        <w:rPr>
          <w:rFonts w:ascii="Times New Roman" w:eastAsia="仿宋_GB2312" w:hAnsi="Times New Roman" w:hint="eastAsia"/>
          <w:color w:val="000000"/>
          <w:sz w:val="32"/>
          <w:szCs w:val="32"/>
        </w:rPr>
        <w:t>放射性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3.1.11</w:t>
      </w:r>
      <w:r>
        <w:rPr>
          <w:rFonts w:ascii="Times New Roman" w:eastAsia="仿宋_GB2312" w:hAnsi="Times New Roman" w:hint="eastAsia"/>
          <w:color w:val="000000"/>
          <w:sz w:val="32"/>
          <w:szCs w:val="32"/>
        </w:rPr>
        <w:t>铅、镉含量（如适用）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3.1.12</w:t>
      </w:r>
      <w:r>
        <w:rPr>
          <w:rFonts w:ascii="Times New Roman" w:eastAsia="仿宋_GB2312" w:hAnsi="Times New Roman" w:hint="eastAsia"/>
          <w:color w:val="000000"/>
          <w:sz w:val="32"/>
          <w:szCs w:val="32"/>
        </w:rPr>
        <w:t>断裂韧性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3.1.13</w:t>
      </w:r>
      <w:r>
        <w:rPr>
          <w:rFonts w:ascii="Times New Roman" w:eastAsia="仿宋_GB2312" w:hAnsi="Times New Roman" w:hint="eastAsia"/>
          <w:color w:val="000000"/>
          <w:sz w:val="32"/>
          <w:szCs w:val="32"/>
        </w:rPr>
        <w:t>附录</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产品组成成分及百分含量，以资料性附录形式体现。</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3.2</w:t>
      </w:r>
      <w:r>
        <w:rPr>
          <w:rFonts w:ascii="Times New Roman" w:eastAsia="仿宋_GB2312" w:hAnsi="Times New Roman" w:hint="eastAsia"/>
          <w:color w:val="000000"/>
          <w:sz w:val="32"/>
          <w:szCs w:val="32"/>
        </w:rPr>
        <w:t>检验方法</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的检验方法需根据技术性能指标设定，优先采用公认的或已颁布的标准检验方法，包括推荐性标准，需注明相应标准的编号和年代号。自建检验方法需提供相应的方法学依据及理论基础，同时保证检验具有重复性和再现性，必要时可附相应图示进行说明，文本较大的可以附录形式提供。</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3.3</w:t>
      </w:r>
      <w:r>
        <w:rPr>
          <w:rFonts w:ascii="Times New Roman" w:eastAsia="仿宋_GB2312" w:hAnsi="Times New Roman" w:hint="eastAsia"/>
          <w:color w:val="000000"/>
          <w:sz w:val="32"/>
          <w:szCs w:val="32"/>
        </w:rPr>
        <w:t>产品检验报告</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产品检验报告可以是注册申请人出具的自检报告，或委托有资质的医疗器械检验机构出具的检验报告。</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3.3.1</w:t>
      </w:r>
      <w:r>
        <w:rPr>
          <w:rFonts w:ascii="Times New Roman" w:eastAsia="仿宋_GB2312" w:hAnsi="Times New Roman" w:hint="eastAsia"/>
          <w:color w:val="000000"/>
          <w:sz w:val="32"/>
          <w:szCs w:val="32"/>
        </w:rPr>
        <w:t>同一注册单元内检验典型性产品确定原则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同一注册单元内所检产品应当能够代表</w:t>
      </w:r>
      <w:proofErr w:type="gramStart"/>
      <w:r>
        <w:rPr>
          <w:rFonts w:ascii="Times New Roman" w:eastAsia="仿宋_GB2312" w:hAnsi="Times New Roman" w:hint="eastAsia"/>
          <w:color w:val="000000"/>
          <w:sz w:val="32"/>
          <w:szCs w:val="32"/>
        </w:rPr>
        <w:t>本注册</w:t>
      </w:r>
      <w:proofErr w:type="gramEnd"/>
      <w:r>
        <w:rPr>
          <w:rFonts w:ascii="Times New Roman" w:eastAsia="仿宋_GB2312" w:hAnsi="Times New Roman" w:hint="eastAsia"/>
          <w:color w:val="000000"/>
          <w:sz w:val="32"/>
          <w:szCs w:val="32"/>
        </w:rPr>
        <w:t>单元内其他产品的安全性和有效性。氧化锆瓷块的注册检验代表产品应选</w:t>
      </w:r>
      <w:proofErr w:type="gramStart"/>
      <w:r>
        <w:rPr>
          <w:rFonts w:ascii="Times New Roman" w:eastAsia="仿宋_GB2312" w:hAnsi="Times New Roman" w:hint="eastAsia"/>
          <w:color w:val="000000"/>
          <w:sz w:val="32"/>
          <w:szCs w:val="32"/>
        </w:rPr>
        <w:t>择能够</w:t>
      </w:r>
      <w:proofErr w:type="gramEnd"/>
      <w:r>
        <w:rPr>
          <w:rFonts w:ascii="Times New Roman" w:eastAsia="仿宋_GB2312" w:hAnsi="Times New Roman" w:hint="eastAsia"/>
          <w:color w:val="000000"/>
          <w:sz w:val="32"/>
          <w:szCs w:val="32"/>
        </w:rPr>
        <w:t>覆盖注册单元内全部产品工艺的产品，在结构组成相同的情况下，通常选择起着色比例最大，性能最差的样品作为典型代表的样品进行检测，并逐项说明选择的理由。如不同型号的颜料组分含量差异对产品的有效性指标（如弯曲强度等）产生一定的影响，建议进行差异性检测。</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注册申请人可结合产品特性及检验的可操作性合理选择典型型号进行注册检验，并提供典型性检验样品的选择说明。</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研究资料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申报资料中应当包括产品性能研究资料以及产品技术要求的研究和编制说明，包括功能性、安全性指标以及与质量控制相关的其他指标的确定依据，所采用的标准或方法、采用的原因及理论基础。</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4.1</w:t>
      </w:r>
      <w:r>
        <w:rPr>
          <w:rFonts w:ascii="Times New Roman" w:eastAsia="仿宋_GB2312" w:hAnsi="Times New Roman" w:hint="eastAsia"/>
          <w:color w:val="000000"/>
          <w:sz w:val="32"/>
          <w:szCs w:val="32"/>
        </w:rPr>
        <w:t>物理和化学性能研究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4.1.1</w:t>
      </w:r>
      <w:r>
        <w:rPr>
          <w:rFonts w:ascii="Times New Roman" w:eastAsia="仿宋_GB2312" w:hAnsi="Times New Roman" w:hint="eastAsia"/>
          <w:color w:val="000000"/>
          <w:sz w:val="32"/>
          <w:szCs w:val="32"/>
        </w:rPr>
        <w:t>应当提供产品化学</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材料表征、物理和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或机械性能指标的确定依据、设计输入来源以及临床意义，所采用的标准或方法、采用的原因及理论基础。至少应包括尺寸、均匀性、无外来异物、密度（烧结前后）、弯曲强度、化学溶解性、线胀系数、陶瓷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陶瓷体系匹配性、放射性、铅、镉含量（如适用）、断裂韧性等研</w:t>
      </w:r>
      <w:r>
        <w:rPr>
          <w:rFonts w:ascii="Times New Roman" w:eastAsia="仿宋_GB2312" w:hAnsi="Times New Roman" w:hint="eastAsia"/>
          <w:color w:val="000000"/>
          <w:sz w:val="32"/>
          <w:szCs w:val="32"/>
        </w:rPr>
        <w:lastRenderedPageBreak/>
        <w:t>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4.1.2 </w:t>
      </w:r>
      <w:r>
        <w:rPr>
          <w:rFonts w:ascii="Times New Roman" w:eastAsia="仿宋_GB2312" w:hAnsi="Times New Roman" w:hint="eastAsia"/>
          <w:color w:val="000000"/>
          <w:sz w:val="32"/>
          <w:szCs w:val="32"/>
        </w:rPr>
        <w:t>联合使用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如申报产品声称与其他医疗器械（瓷粉、染色液等）联合使用，应当提供证明联合使用安全有效的研究资料。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4.2</w:t>
      </w:r>
      <w:r>
        <w:rPr>
          <w:rFonts w:ascii="Times New Roman" w:eastAsia="仿宋_GB2312" w:hAnsi="Times New Roman" w:hint="eastAsia"/>
          <w:color w:val="000000"/>
          <w:sz w:val="32"/>
          <w:szCs w:val="32"/>
        </w:rPr>
        <w:t>生物相容性研究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氧化锆瓷块应按照标准</w:t>
      </w:r>
      <w:r>
        <w:rPr>
          <w:rFonts w:ascii="Times New Roman" w:eastAsia="仿宋_GB2312" w:hAnsi="Times New Roman" w:hint="eastAsia"/>
          <w:color w:val="000000"/>
          <w:sz w:val="32"/>
          <w:szCs w:val="32"/>
        </w:rPr>
        <w:t>GB/T 16886.1</w:t>
      </w:r>
      <w:r>
        <w:rPr>
          <w:rFonts w:ascii="Times New Roman" w:eastAsia="仿宋_GB2312" w:hAnsi="Times New Roman" w:hint="eastAsia"/>
          <w:color w:val="000000"/>
          <w:sz w:val="32"/>
          <w:szCs w:val="32"/>
        </w:rPr>
        <w:t>《医疗器械生物学评价第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部分：风险管理过程中的评价与试验》和</w:t>
      </w:r>
      <w:r>
        <w:rPr>
          <w:rFonts w:ascii="Times New Roman" w:eastAsia="仿宋_GB2312" w:hAnsi="Times New Roman" w:hint="eastAsia"/>
          <w:color w:val="000000"/>
          <w:sz w:val="32"/>
          <w:szCs w:val="32"/>
        </w:rPr>
        <w:t>YY/T 0268</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口腔医疗器械生物学评价第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单元：评价与试验》相关要求及《国家食品药品监督管理局关于印发医疗器械生物学评价和审查指南的通知》中的审查要点进行风险评价。</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生物学评定终点通常包括细胞毒性、致敏反应、刺激或皮内反应、急性全身毒性、亚慢性毒性、遗传毒性。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w:t>
      </w:r>
      <w:r>
        <w:rPr>
          <w:rFonts w:ascii="Times New Roman" w:eastAsia="仿宋_GB2312" w:hAnsi="Times New Roman" w:hint="eastAsia"/>
          <w:color w:val="000000"/>
          <w:sz w:val="32"/>
          <w:szCs w:val="32"/>
        </w:rPr>
        <w:t>其他研究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4.3.1</w:t>
      </w:r>
      <w:r>
        <w:rPr>
          <w:rFonts w:ascii="Times New Roman" w:eastAsia="仿宋_GB2312" w:hAnsi="Times New Roman" w:hint="eastAsia"/>
          <w:color w:val="000000"/>
          <w:sz w:val="32"/>
          <w:szCs w:val="32"/>
        </w:rPr>
        <w:t>原材料及工艺研究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产品的原材料和工艺是影响氧化锆瓷块质量的主要因素，应提供原材料成分的说明及相关验证资料，氧化锆瓷块的成分应符合企业声称的产品成分。可采用适宜方法，如原子吸收光谱分析、</w:t>
      </w:r>
      <w:r>
        <w:rPr>
          <w:rFonts w:ascii="Times New Roman" w:eastAsia="仿宋_GB2312" w:hAnsi="Times New Roman" w:hint="eastAsia"/>
          <w:color w:val="000000"/>
          <w:sz w:val="32"/>
          <w:szCs w:val="32"/>
        </w:rPr>
        <w:t>X</w:t>
      </w:r>
      <w:r>
        <w:rPr>
          <w:rFonts w:ascii="Times New Roman" w:eastAsia="仿宋_GB2312" w:hAnsi="Times New Roman" w:hint="eastAsia"/>
          <w:color w:val="000000"/>
          <w:sz w:val="32"/>
          <w:szCs w:val="32"/>
        </w:rPr>
        <w:t>射线荧光光谱分析测试氧化锆瓷块的成分，同时明确产品生产加工工艺，注明关键工艺和特殊工艺，并说明其过程控制点。明确生产过程中各种加工助剂的使用情况及对杂质（如残留单体、小分子残留物等）的控制情况（如适用）。关键工艺一般是粉体成型和瓷坯预烧结，对产品的性能指标有直接影响。成型工序应对设备、压力、时间进行控制；预烧结工序应对温度、时间进行控制。</w:t>
      </w:r>
      <w:proofErr w:type="gramStart"/>
      <w:r>
        <w:rPr>
          <w:rFonts w:ascii="Times New Roman" w:eastAsia="仿宋_GB2312" w:hAnsi="Times New Roman" w:hint="eastAsia"/>
          <w:color w:val="000000"/>
          <w:sz w:val="32"/>
          <w:szCs w:val="32"/>
        </w:rPr>
        <w:t>应评价</w:t>
      </w:r>
      <w:proofErr w:type="gramEnd"/>
      <w:r>
        <w:rPr>
          <w:rFonts w:ascii="Times New Roman" w:eastAsia="仿宋_GB2312" w:hAnsi="Times New Roman" w:hint="eastAsia"/>
          <w:color w:val="000000"/>
          <w:sz w:val="32"/>
          <w:szCs w:val="32"/>
        </w:rPr>
        <w:t>其生产工艺是否稳定可控。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4.3.2</w:t>
      </w:r>
      <w:r>
        <w:rPr>
          <w:rFonts w:ascii="Times New Roman" w:eastAsia="仿宋_GB2312" w:hAnsi="Times New Roman" w:hint="eastAsia"/>
          <w:color w:val="000000"/>
          <w:sz w:val="32"/>
          <w:szCs w:val="32"/>
        </w:rPr>
        <w:t>颜色</w:t>
      </w:r>
      <w:proofErr w:type="gramStart"/>
      <w:r>
        <w:rPr>
          <w:rFonts w:ascii="Times New Roman" w:eastAsia="仿宋_GB2312" w:hAnsi="Times New Roman" w:hint="eastAsia"/>
          <w:color w:val="000000"/>
          <w:sz w:val="32"/>
          <w:szCs w:val="32"/>
        </w:rPr>
        <w:t>及透度研究</w:t>
      </w:r>
      <w:proofErr w:type="gramEnd"/>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关于瓷块颜色、渐变效果、透光率要求的相关内容及验证资料（如适用）。如果有多种颜色、渐变效果和透光率的瓷块，按照产品说明书烧制后瓷块颜色、渐变效果与透光率应与制造商声称的一致。应在研究资料中提供相关内容及验证资料，并在产品说明书中体现。</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4.3.3</w:t>
      </w:r>
      <w:proofErr w:type="gramStart"/>
      <w:r>
        <w:rPr>
          <w:rFonts w:ascii="Times New Roman" w:eastAsia="仿宋_GB2312" w:hAnsi="Times New Roman" w:hint="eastAsia"/>
          <w:color w:val="000000"/>
          <w:sz w:val="32"/>
          <w:szCs w:val="32"/>
        </w:rPr>
        <w:t>钇</w:t>
      </w:r>
      <w:proofErr w:type="gramEnd"/>
      <w:r>
        <w:rPr>
          <w:rFonts w:ascii="Times New Roman" w:eastAsia="仿宋_GB2312" w:hAnsi="Times New Roman" w:hint="eastAsia"/>
          <w:color w:val="000000"/>
          <w:sz w:val="32"/>
          <w:szCs w:val="32"/>
        </w:rPr>
        <w:t>稳定四方氧化锆</w:t>
      </w:r>
      <w:r>
        <w:rPr>
          <w:rFonts w:ascii="Times New Roman" w:eastAsia="仿宋_GB2312" w:hAnsi="Times New Roman" w:hint="eastAsia"/>
          <w:color w:val="000000"/>
          <w:sz w:val="32"/>
          <w:szCs w:val="32"/>
        </w:rPr>
        <w:t>(Y-TZP)</w:t>
      </w:r>
      <w:r>
        <w:rPr>
          <w:rFonts w:ascii="Times New Roman" w:eastAsia="仿宋_GB2312" w:hAnsi="Times New Roman" w:hint="eastAsia"/>
          <w:color w:val="000000"/>
          <w:sz w:val="32"/>
          <w:szCs w:val="32"/>
        </w:rPr>
        <w:t>的水热稳定性研究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建议注册申请人提交产品</w:t>
      </w:r>
      <w:proofErr w:type="gramStart"/>
      <w:r>
        <w:rPr>
          <w:rFonts w:ascii="Times New Roman" w:eastAsia="仿宋_GB2312" w:hAnsi="Times New Roman" w:hint="eastAsia"/>
          <w:color w:val="000000"/>
          <w:sz w:val="32"/>
          <w:szCs w:val="32"/>
        </w:rPr>
        <w:t>钇</w:t>
      </w:r>
      <w:proofErr w:type="gramEnd"/>
      <w:r>
        <w:rPr>
          <w:rFonts w:ascii="Times New Roman" w:eastAsia="仿宋_GB2312" w:hAnsi="Times New Roman" w:hint="eastAsia"/>
          <w:color w:val="000000"/>
          <w:sz w:val="32"/>
          <w:szCs w:val="32"/>
        </w:rPr>
        <w:t>稳定四方氧化锆</w:t>
      </w:r>
      <w:r>
        <w:rPr>
          <w:rFonts w:ascii="Times New Roman" w:eastAsia="仿宋_GB2312" w:hAnsi="Times New Roman" w:hint="eastAsia"/>
          <w:color w:val="000000"/>
          <w:sz w:val="32"/>
          <w:szCs w:val="32"/>
        </w:rPr>
        <w:t>(Y-TZP)</w:t>
      </w:r>
      <w:r>
        <w:rPr>
          <w:rFonts w:ascii="Times New Roman" w:eastAsia="仿宋_GB2312" w:hAnsi="Times New Roman" w:hint="eastAsia"/>
          <w:color w:val="000000"/>
          <w:sz w:val="32"/>
          <w:szCs w:val="32"/>
        </w:rPr>
        <w:t>的水热稳定性研究，建议参考</w:t>
      </w:r>
      <w:r>
        <w:rPr>
          <w:rFonts w:ascii="Times New Roman" w:eastAsia="仿宋_GB2312" w:hAnsi="Times New Roman" w:hint="eastAsia"/>
          <w:color w:val="000000"/>
          <w:sz w:val="32"/>
          <w:szCs w:val="32"/>
        </w:rPr>
        <w:t xml:space="preserve">GB 30367 </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陶瓷材料》附录</w:t>
      </w:r>
      <w:r>
        <w:rPr>
          <w:rFonts w:ascii="Times New Roman" w:eastAsia="仿宋_GB2312" w:hAnsi="Times New Roman" w:hint="eastAsia"/>
          <w:color w:val="000000"/>
          <w:sz w:val="32"/>
          <w:szCs w:val="32"/>
        </w:rPr>
        <w:t>C</w:t>
      </w:r>
      <w:r>
        <w:rPr>
          <w:rFonts w:ascii="Times New Roman" w:eastAsia="仿宋_GB2312" w:hAnsi="Times New Roman" w:hint="eastAsia"/>
          <w:color w:val="000000"/>
          <w:sz w:val="32"/>
          <w:szCs w:val="32"/>
        </w:rPr>
        <w:t>。</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4.3.4</w:t>
      </w:r>
      <w:r>
        <w:rPr>
          <w:rFonts w:ascii="Times New Roman" w:eastAsia="仿宋_GB2312" w:hAnsi="Times New Roman" w:hint="eastAsia"/>
          <w:color w:val="000000"/>
          <w:sz w:val="32"/>
          <w:szCs w:val="32"/>
        </w:rPr>
        <w:t>边缘可加工性研究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提供边缘可加工性能（包含边缘稳定性和边缘准确性）。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4.3.5</w:t>
      </w:r>
      <w:r>
        <w:rPr>
          <w:rFonts w:ascii="Times New Roman" w:eastAsia="仿宋_GB2312" w:hAnsi="Times New Roman" w:hint="eastAsia"/>
          <w:color w:val="000000"/>
          <w:sz w:val="32"/>
          <w:szCs w:val="32"/>
        </w:rPr>
        <w:t>收缩因子研究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最大单位数桥体烧结后就位道仍满足临床应用要求的研究资料。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4.3.6 CAD/CAM</w:t>
      </w:r>
      <w:r>
        <w:rPr>
          <w:rFonts w:ascii="Times New Roman" w:eastAsia="仿宋_GB2312" w:hAnsi="Times New Roman" w:hint="eastAsia"/>
          <w:color w:val="000000"/>
          <w:sz w:val="32"/>
          <w:szCs w:val="32"/>
        </w:rPr>
        <w:t>系统兼容性研究资料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氧化锆瓷块的</w:t>
      </w:r>
      <w:r>
        <w:rPr>
          <w:rFonts w:ascii="Times New Roman" w:eastAsia="仿宋_GB2312" w:hAnsi="Times New Roman" w:hint="eastAsia"/>
          <w:color w:val="000000"/>
          <w:sz w:val="32"/>
          <w:szCs w:val="32"/>
        </w:rPr>
        <w:t xml:space="preserve"> CAD/CAM </w:t>
      </w:r>
      <w:r>
        <w:rPr>
          <w:rFonts w:ascii="Times New Roman" w:eastAsia="仿宋_GB2312" w:hAnsi="Times New Roman" w:hint="eastAsia"/>
          <w:color w:val="000000"/>
          <w:sz w:val="32"/>
          <w:szCs w:val="32"/>
        </w:rPr>
        <w:t>系统兼容性研究资料应围绕尺寸适配、加工性能、收缩控制、精度验证、系统适配声明与风险控制等维度展开，确保材料与数字加工全流程的稳定兼容安全有效。</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4.4</w:t>
      </w:r>
      <w:r>
        <w:rPr>
          <w:rFonts w:ascii="Times New Roman" w:eastAsia="仿宋_GB2312" w:hAnsi="Times New Roman" w:hint="eastAsia"/>
          <w:color w:val="000000"/>
          <w:sz w:val="32"/>
          <w:szCs w:val="32"/>
        </w:rPr>
        <w:t>稳定性研究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产品可参照《无源植入性医疗器械稳定性研究指导原则》提供产品稳定性研究资料。稳定性研究一般包含货架有效期和运输稳定性，其中货架有效期和运输稳定性研究包含器械本身性能稳定性和包装性能稳定性两方面。</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4.4.1</w:t>
      </w:r>
      <w:r>
        <w:rPr>
          <w:rFonts w:ascii="Times New Roman" w:eastAsia="仿宋_GB2312" w:hAnsi="Times New Roman" w:hint="eastAsia"/>
          <w:color w:val="000000"/>
          <w:sz w:val="32"/>
          <w:szCs w:val="32"/>
        </w:rPr>
        <w:t>货架有效期</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货架有效期验证资料，可依据适用的国内、国际标准和验证方案进行，提交产品的有效期验证报告。产品有效期可采用实时老化研究、加速老化研究验证，具体需根据产品特性选择验证方式。无论选择哪种验证方式，注册申请人均需在试验方案中设定测试项目、测试方法及判定标准。货架有效期验证项目通常包括产品技术要求中与有效期密切相关的条款，以及包装完整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4.4.2</w:t>
      </w:r>
      <w:r>
        <w:rPr>
          <w:rFonts w:ascii="Times New Roman" w:eastAsia="仿宋_GB2312" w:hAnsi="Times New Roman" w:hint="eastAsia"/>
          <w:color w:val="000000"/>
          <w:sz w:val="32"/>
          <w:szCs w:val="32"/>
        </w:rPr>
        <w:t>运输稳定性</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运输稳定性验证资料，可依据适用的国内、国际标准和验证方案进行，如：产品包装的跌落试验、振动试验等，提交运输稳定性验证报告，证明在规定的运输条件下，运输过程中环境条件不会对产品的特性和性能造成不利影响。</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4.5</w:t>
      </w:r>
      <w:r>
        <w:rPr>
          <w:rFonts w:ascii="Times New Roman" w:eastAsia="仿宋_GB2312" w:hAnsi="Times New Roman" w:hint="eastAsia"/>
          <w:color w:val="000000"/>
          <w:sz w:val="32"/>
          <w:szCs w:val="32"/>
        </w:rPr>
        <w:t>其他资料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该产品已列入《免于临床评价医疗器械目录》，注册申请人应按照《列入免于临床评价医疗器械目录产品对比说明技术指导原则》，从基本原理、结构组成、性能、安全性、适用范围等方面，论证产品的安全有效性。</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（四）临床评价资料</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若申报产品不在《免于临床评价医疗器械目录》的产品描述范围之内，或不能证明与已获准境内注册的产品具有基本等同性，按照《医疗器械临床评价技术指导原则》《医疗器械等同性论证技术指导原则》中</w:t>
      </w:r>
      <w:proofErr w:type="gramStart"/>
      <w:r>
        <w:rPr>
          <w:rFonts w:ascii="Times New Roman" w:eastAsia="仿宋_GB2312" w:hAnsi="Times New Roman" w:hint="eastAsia"/>
          <w:color w:val="000000"/>
          <w:sz w:val="32"/>
          <w:szCs w:val="32"/>
        </w:rPr>
        <w:t>其他评价</w:t>
      </w:r>
      <w:proofErr w:type="gramEnd"/>
      <w:r>
        <w:rPr>
          <w:rFonts w:ascii="Times New Roman" w:eastAsia="仿宋_GB2312" w:hAnsi="Times New Roman" w:hint="eastAsia"/>
          <w:color w:val="000000"/>
          <w:sz w:val="32"/>
          <w:szCs w:val="32"/>
        </w:rPr>
        <w:t>路径进行临床评价。</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（五）产品说明书和标签样稿</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产品说明书和标签需符合《医疗器械说明书和标签管理规</w:t>
      </w:r>
      <w:r>
        <w:rPr>
          <w:rFonts w:ascii="Times New Roman" w:eastAsia="仿宋_GB2312" w:hAnsi="Times New Roman" w:hint="eastAsia"/>
          <w:color w:val="000000"/>
          <w:sz w:val="32"/>
          <w:szCs w:val="32"/>
        </w:rPr>
        <w:lastRenderedPageBreak/>
        <w:t>定》、</w:t>
      </w:r>
      <w:r>
        <w:rPr>
          <w:rFonts w:ascii="Times New Roman" w:eastAsia="仿宋_GB2312" w:hAnsi="Times New Roman" w:hint="eastAsia"/>
          <w:color w:val="000000"/>
          <w:sz w:val="32"/>
          <w:szCs w:val="32"/>
        </w:rPr>
        <w:t>YY/T 0466.1</w:t>
      </w:r>
      <w:r>
        <w:rPr>
          <w:rFonts w:ascii="Times New Roman" w:eastAsia="仿宋_GB2312" w:hAnsi="Times New Roman" w:hint="eastAsia"/>
          <w:color w:val="000000"/>
          <w:sz w:val="32"/>
          <w:szCs w:val="32"/>
        </w:rPr>
        <w:t>《医疗器械用于医疗器械标签、标记和提供信息的符号第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部分：通用要求》和</w:t>
      </w:r>
      <w:r>
        <w:rPr>
          <w:rFonts w:ascii="Times New Roman" w:eastAsia="仿宋_GB2312" w:hAnsi="Times New Roman" w:hint="eastAsia"/>
          <w:color w:val="000000"/>
          <w:sz w:val="32"/>
          <w:szCs w:val="32"/>
        </w:rPr>
        <w:t xml:space="preserve">GB 30367 </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陶瓷材料》。产品说明书和标签</w:t>
      </w:r>
      <w:proofErr w:type="gramStart"/>
      <w:r>
        <w:rPr>
          <w:rFonts w:ascii="Times New Roman" w:eastAsia="仿宋_GB2312" w:hAnsi="Times New Roman" w:hint="eastAsia"/>
          <w:color w:val="000000"/>
          <w:sz w:val="32"/>
          <w:szCs w:val="32"/>
        </w:rPr>
        <w:t>应内容</w:t>
      </w:r>
      <w:proofErr w:type="gramEnd"/>
      <w:r>
        <w:rPr>
          <w:rFonts w:ascii="Times New Roman" w:eastAsia="仿宋_GB2312" w:hAnsi="Times New Roman" w:hint="eastAsia"/>
          <w:color w:val="000000"/>
          <w:sz w:val="32"/>
          <w:szCs w:val="32"/>
        </w:rPr>
        <w:t>清晰、完整。此外，还应包含以下内容的适用项：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应明确以下注意事项：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由专业技术人员制作，专业医生使用。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本产品为一次性使用产品。</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禁忌证至少应有以下内容：</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有相关过敏史、过敏体质或对氧化锆陶瓷材料过敏者及对异物感明显又无法克服者禁用。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未经治疗或未控制的牙周疾病、口腔粘膜溃疡患者禁用。</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未经烧结成</w:t>
      </w:r>
      <w:proofErr w:type="gramStart"/>
      <w:r>
        <w:rPr>
          <w:rFonts w:ascii="Times New Roman" w:eastAsia="仿宋_GB2312" w:hAnsi="Times New Roman" w:hint="eastAsia"/>
          <w:color w:val="000000"/>
          <w:sz w:val="32"/>
          <w:szCs w:val="32"/>
        </w:rPr>
        <w:t>瓷不可</w:t>
      </w:r>
      <w:proofErr w:type="gramEnd"/>
      <w:r>
        <w:rPr>
          <w:rFonts w:ascii="Times New Roman" w:eastAsia="仿宋_GB2312" w:hAnsi="Times New Roman" w:hint="eastAsia"/>
          <w:color w:val="000000"/>
          <w:sz w:val="32"/>
          <w:szCs w:val="32"/>
        </w:rPr>
        <w:t>直接用于人体义齿或口腔修复。</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适应证中未列出的任何其他用途。</w:t>
      </w:r>
    </w:p>
    <w:p w:rsidR="000C33FB" w:rsidRDefault="004D3C1D">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（六）质量管理体系文件</w:t>
      </w:r>
    </w:p>
    <w:p w:rsidR="000C33FB" w:rsidRDefault="004D3C1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注册申请人应按照《关于公布医疗器械注册申报资料要求和批准证明文件格式的公告》中附件</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《医疗器械注册申报资料要求及说明》，提交申报产品的质量管理体系文件。</w:t>
      </w:r>
    </w:p>
    <w:p w:rsidR="000C33FB" w:rsidRDefault="004D3C1D" w:rsidP="008C7FEE">
      <w:pPr>
        <w:overflowPunct w:val="0"/>
        <w:spacing w:line="52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三、参考文献</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中华人民共和国国务院</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医疗器械监督管理条例</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中华人民共和国国务院令第</w:t>
      </w:r>
      <w:r>
        <w:rPr>
          <w:rFonts w:ascii="Times New Roman" w:eastAsia="仿宋_GB2312" w:hAnsi="Times New Roman" w:hint="eastAsia"/>
          <w:color w:val="000000"/>
          <w:sz w:val="32"/>
          <w:szCs w:val="32"/>
        </w:rPr>
        <w:t>739</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国家市场监督管理总局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医疗器械注册与备案管理办法</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国家市场监督管理总局令第</w:t>
      </w:r>
      <w:r>
        <w:rPr>
          <w:rFonts w:ascii="Times New Roman" w:eastAsia="仿宋_GB2312" w:hAnsi="Times New Roman" w:hint="eastAsia"/>
          <w:color w:val="000000"/>
          <w:sz w:val="32"/>
          <w:szCs w:val="32"/>
        </w:rPr>
        <w:t>47</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医疗器械注册申报资料要求和批准证明文件格式</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国家药监局关于公布医疗器械注册申报资料要求</w:t>
      </w:r>
      <w:r>
        <w:rPr>
          <w:rFonts w:ascii="Times New Roman" w:eastAsia="仿宋_GB2312" w:hAnsi="Times New Roman" w:hint="eastAsia"/>
          <w:color w:val="000000"/>
          <w:sz w:val="32"/>
          <w:szCs w:val="32"/>
        </w:rPr>
        <w:lastRenderedPageBreak/>
        <w:t>和批准证明文件格式的公告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121</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医疗器械通用名称命名规则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国家食品药品监督管理总局令第</w:t>
      </w:r>
      <w:r>
        <w:rPr>
          <w:rFonts w:ascii="Times New Roman" w:eastAsia="仿宋_GB2312" w:hAnsi="Times New Roman" w:hint="eastAsia"/>
          <w:color w:val="000000"/>
          <w:sz w:val="32"/>
          <w:szCs w:val="32"/>
        </w:rPr>
        <w:t>19</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口腔科器械通用名称命名指导原则的通告</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41</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医疗器械分类目录</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国家食品药品监督管理总局关于发布医疗器械分类目录的公告</w:t>
      </w:r>
      <w:r>
        <w:rPr>
          <w:rFonts w:ascii="Times New Roman" w:eastAsia="仿宋_GB2312" w:hAnsi="Times New Roman" w:hint="eastAsia"/>
          <w:color w:val="000000"/>
          <w:sz w:val="32"/>
          <w:szCs w:val="32"/>
        </w:rPr>
        <w:t>2017</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104</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医疗器械注册单元划分指导原则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总局关于发布医疗器械注册单元划分指导原则的通告</w:t>
      </w:r>
      <w:r>
        <w:rPr>
          <w:rFonts w:ascii="Times New Roman" w:eastAsia="仿宋_GB2312" w:hAnsi="Times New Roman" w:hint="eastAsia"/>
          <w:color w:val="000000"/>
          <w:sz w:val="32"/>
          <w:szCs w:val="32"/>
        </w:rPr>
        <w:t>2017</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187</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医疗器械产品技术要求编写指导原则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国家药监局关于发布医疗器械产品技术要求编写指导原则的通告</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免于临床评价医疗器械目录</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国家药监局关于发布免于临床评价医疗器械目录的通告</w:t>
      </w:r>
      <w:r>
        <w:rPr>
          <w:rFonts w:ascii="Times New Roman" w:eastAsia="仿宋_GB2312" w:hAnsi="Times New Roman" w:hint="eastAsia"/>
          <w:color w:val="000000"/>
          <w:sz w:val="32"/>
          <w:szCs w:val="32"/>
        </w:rPr>
        <w:t>2025</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19</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[10]</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列入免于临床评价医疗器械目录产品对比说明技术指导原则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国家药监局关于发布医疗器械临床评价技术指导原则等</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项技术指导原则的通告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73</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医疗器械说明书和标签管理规定</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国家食品药品监督管理总局令第</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[12]GB/T 16886,</w:t>
      </w:r>
      <w:r>
        <w:rPr>
          <w:rFonts w:ascii="Times New Roman" w:eastAsia="仿宋_GB2312" w:hAnsi="Times New Roman" w:hint="eastAsia"/>
          <w:color w:val="000000"/>
          <w:sz w:val="32"/>
          <w:szCs w:val="32"/>
        </w:rPr>
        <w:t>医疗器械生物学评价</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系列标准</w:t>
      </w:r>
      <w:r>
        <w:rPr>
          <w:rFonts w:ascii="Times New Roman" w:eastAsia="仿宋_GB2312" w:hAnsi="Times New Roman" w:hint="eastAsia"/>
          <w:color w:val="000000"/>
          <w:sz w:val="32"/>
          <w:szCs w:val="32"/>
        </w:rPr>
        <w:t>[S].</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[13]GB/T 42062,</w:t>
      </w:r>
      <w:r>
        <w:rPr>
          <w:rFonts w:ascii="Times New Roman" w:eastAsia="仿宋_GB2312" w:hAnsi="Times New Roman" w:hint="eastAsia"/>
          <w:color w:val="000000"/>
          <w:sz w:val="32"/>
          <w:szCs w:val="32"/>
        </w:rPr>
        <w:t>医疗器械风险管理对医疗器械的应用</w:t>
      </w:r>
      <w:r>
        <w:rPr>
          <w:rFonts w:ascii="Times New Roman" w:eastAsia="仿宋_GB2312" w:hAnsi="Times New Roman" w:hint="eastAsia"/>
          <w:color w:val="000000"/>
          <w:sz w:val="32"/>
          <w:szCs w:val="32"/>
        </w:rPr>
        <w:t>[S].</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[14]YY/T 0268,</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口腔医疗器械生物学评价</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单元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评价与试验</w:t>
      </w:r>
      <w:r>
        <w:rPr>
          <w:rFonts w:ascii="Times New Roman" w:eastAsia="仿宋_GB2312" w:hAnsi="Times New Roman" w:hint="eastAsia"/>
          <w:color w:val="000000"/>
          <w:sz w:val="32"/>
          <w:szCs w:val="32"/>
        </w:rPr>
        <w:t>[S].</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[15]GB 30367,</w:t>
      </w:r>
      <w:r>
        <w:rPr>
          <w:rFonts w:ascii="Times New Roman" w:eastAsia="仿宋_GB2312" w:hAnsi="Times New Roman" w:hint="eastAsia"/>
          <w:color w:val="000000"/>
          <w:sz w:val="32"/>
          <w:szCs w:val="32"/>
        </w:rPr>
        <w:t>牙科学</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陶瓷材料</w:t>
      </w:r>
      <w:r>
        <w:rPr>
          <w:rFonts w:ascii="Times New Roman" w:eastAsia="仿宋_GB2312" w:hAnsi="Times New Roman" w:hint="eastAsia"/>
          <w:color w:val="000000"/>
          <w:sz w:val="32"/>
          <w:szCs w:val="32"/>
        </w:rPr>
        <w:t>[S].</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[16]GB/T 191,</w:t>
      </w:r>
      <w:r>
        <w:rPr>
          <w:rFonts w:ascii="Times New Roman" w:eastAsia="仿宋_GB2312" w:hAnsi="Times New Roman" w:hint="eastAsia"/>
          <w:color w:val="000000"/>
          <w:sz w:val="32"/>
          <w:szCs w:val="32"/>
        </w:rPr>
        <w:t>包装储运图示标志</w:t>
      </w:r>
      <w:r>
        <w:rPr>
          <w:rFonts w:ascii="Times New Roman" w:eastAsia="仿宋_GB2312" w:hAnsi="Times New Roman" w:hint="eastAsia"/>
          <w:color w:val="000000"/>
          <w:sz w:val="32"/>
          <w:szCs w:val="32"/>
        </w:rPr>
        <w:t>[S].</w:t>
      </w:r>
    </w:p>
    <w:p w:rsidR="000C33FB" w:rsidRDefault="004D3C1D">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[17]GB/T 9937.2,</w:t>
      </w:r>
      <w:r>
        <w:rPr>
          <w:rFonts w:ascii="Times New Roman" w:eastAsia="仿宋_GB2312" w:hAnsi="Times New Roman" w:hint="eastAsia"/>
          <w:color w:val="000000"/>
          <w:sz w:val="32"/>
          <w:szCs w:val="32"/>
        </w:rPr>
        <w:t>口腔词汇</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部分</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口腔材料</w:t>
      </w:r>
      <w:r>
        <w:rPr>
          <w:rFonts w:ascii="Times New Roman" w:eastAsia="仿宋_GB2312" w:hAnsi="Times New Roman" w:hint="eastAsia"/>
          <w:color w:val="000000"/>
          <w:sz w:val="32"/>
          <w:szCs w:val="32"/>
        </w:rPr>
        <w:t>[S].</w:t>
      </w:r>
    </w:p>
    <w:p w:rsidR="000C33FB" w:rsidRDefault="000C33FB">
      <w:pPr>
        <w:spacing w:line="520" w:lineRule="exact"/>
        <w:ind w:rightChars="-32" w:right="-67" w:firstLineChars="200" w:firstLine="640"/>
        <w:rPr>
          <w:rFonts w:ascii="Times New Roman" w:eastAsia="仿宋_GB2312" w:hAnsi="Times New Roman"/>
          <w:color w:val="000000"/>
          <w:sz w:val="32"/>
          <w:szCs w:val="32"/>
        </w:rPr>
        <w:sectPr w:rsidR="000C33FB">
          <w:footerReference w:type="even" r:id="rId10"/>
          <w:footerReference w:type="default" r:id="rId11"/>
          <w:pgSz w:w="11906" w:h="16838"/>
          <w:pgMar w:top="2155" w:right="1474" w:bottom="2041" w:left="1588" w:header="851" w:footer="992" w:gutter="0"/>
          <w:cols w:space="720"/>
          <w:docGrid w:type="linesAndChars" w:linePitch="312"/>
        </w:sectPr>
      </w:pPr>
    </w:p>
    <w:p w:rsidR="008C7FEE" w:rsidRPr="006A1E0D" w:rsidRDefault="004D3C1D">
      <w:pPr>
        <w:spacing w:line="520" w:lineRule="exact"/>
        <w:rPr>
          <w:rFonts w:ascii="黑体" w:eastAsia="黑体" w:hAnsi="黑体"/>
          <w:color w:val="000000"/>
          <w:sz w:val="32"/>
          <w:szCs w:val="32"/>
        </w:rPr>
      </w:pPr>
      <w:bookmarkStart w:id="0" w:name="_GoBack"/>
      <w:r w:rsidRPr="006A1E0D">
        <w:rPr>
          <w:rFonts w:ascii="黑体" w:eastAsia="黑体" w:hAnsi="黑体"/>
          <w:color w:val="000000"/>
          <w:sz w:val="32"/>
          <w:szCs w:val="32"/>
        </w:rPr>
        <w:lastRenderedPageBreak/>
        <w:t>附件</w:t>
      </w:r>
    </w:p>
    <w:bookmarkEnd w:id="0"/>
    <w:p w:rsidR="008C7FEE" w:rsidRDefault="008C7FEE">
      <w:pPr>
        <w:spacing w:line="520" w:lineRule="exact"/>
        <w:rPr>
          <w:rFonts w:ascii="Times New Roman" w:eastAsia="方正小标宋简体" w:hAnsi="Times New Roman"/>
          <w:color w:val="000000"/>
          <w:sz w:val="44"/>
          <w:szCs w:val="36"/>
        </w:rPr>
      </w:pPr>
    </w:p>
    <w:p w:rsidR="000C33FB" w:rsidRDefault="004D3C1D" w:rsidP="008C7FEE">
      <w:pPr>
        <w:spacing w:line="520" w:lineRule="exact"/>
        <w:jc w:val="center"/>
        <w:rPr>
          <w:rFonts w:ascii="Times New Roman" w:eastAsia="方正小标宋简体" w:hAnsi="Times New Roman"/>
          <w:color w:val="000000"/>
          <w:sz w:val="44"/>
          <w:szCs w:val="36"/>
        </w:rPr>
      </w:pPr>
      <w:r>
        <w:rPr>
          <w:rFonts w:ascii="Times New Roman" w:eastAsia="方正小标宋简体" w:hAnsi="Times New Roman"/>
          <w:color w:val="000000"/>
          <w:sz w:val="44"/>
          <w:szCs w:val="36"/>
        </w:rPr>
        <w:t>风险管理文档</w:t>
      </w:r>
    </w:p>
    <w:p w:rsidR="008C7FEE" w:rsidRDefault="008C7FEE" w:rsidP="008C7FEE">
      <w:pPr>
        <w:spacing w:line="520" w:lineRule="exact"/>
        <w:jc w:val="center"/>
        <w:rPr>
          <w:rFonts w:ascii="Times New Roman" w:eastAsia="方正小标宋简体" w:hAnsi="Times New Roman"/>
          <w:color w:val="000000"/>
          <w:sz w:val="44"/>
          <w:szCs w:val="36"/>
        </w:rPr>
      </w:pPr>
    </w:p>
    <w:p w:rsidR="000C33FB" w:rsidRDefault="004D3C1D">
      <w:pPr>
        <w:spacing w:line="520" w:lineRule="exact"/>
        <w:ind w:firstLineChars="200" w:firstLine="640"/>
        <w:jc w:val="left"/>
        <w:rPr>
          <w:rFonts w:eastAsia="仿宋_GB2312"/>
          <w:bCs/>
          <w:color w:val="000000"/>
          <w:sz w:val="32"/>
          <w:szCs w:val="32"/>
        </w:rPr>
      </w:pPr>
      <w:bookmarkStart w:id="1" w:name="OLE_LINK15"/>
      <w:r>
        <w:rPr>
          <w:rFonts w:eastAsia="仿宋_GB2312"/>
          <w:bCs/>
          <w:color w:val="000000"/>
          <w:sz w:val="32"/>
          <w:szCs w:val="32"/>
        </w:rPr>
        <w:t>注册申请人</w:t>
      </w:r>
      <w:bookmarkEnd w:id="1"/>
      <w:r>
        <w:rPr>
          <w:rFonts w:eastAsia="仿宋_GB2312"/>
          <w:bCs/>
          <w:color w:val="000000"/>
          <w:sz w:val="32"/>
          <w:szCs w:val="32"/>
        </w:rPr>
        <w:t>在进行风险分析时，参照</w:t>
      </w:r>
      <w:r>
        <w:rPr>
          <w:rFonts w:eastAsia="仿宋_GB2312"/>
          <w:bCs/>
          <w:color w:val="000000"/>
          <w:sz w:val="32"/>
          <w:szCs w:val="32"/>
        </w:rPr>
        <w:t>GB/T 42062</w:t>
      </w:r>
      <w:r>
        <w:rPr>
          <w:rFonts w:eastAsia="仿宋_GB2312"/>
          <w:bCs/>
          <w:color w:val="000000"/>
          <w:sz w:val="32"/>
          <w:szCs w:val="32"/>
        </w:rPr>
        <w:t>《医疗器械</w:t>
      </w:r>
      <w:r>
        <w:rPr>
          <w:rFonts w:eastAsia="仿宋_GB2312"/>
          <w:bCs/>
          <w:color w:val="000000"/>
          <w:sz w:val="32"/>
          <w:szCs w:val="32"/>
        </w:rPr>
        <w:t xml:space="preserve"> </w:t>
      </w:r>
      <w:r>
        <w:rPr>
          <w:rFonts w:eastAsia="仿宋_GB2312"/>
          <w:bCs/>
          <w:color w:val="000000"/>
          <w:sz w:val="32"/>
          <w:szCs w:val="32"/>
        </w:rPr>
        <w:t>风险管理对医疗器械的应用》，至少应考虑下表中的主要危害，还应根据自身产品特点确定其他危害。针对产品的各项风险，应采取应对措施，确保风险降到可接受的程度，并明确告知剩余风险。</w:t>
      </w:r>
    </w:p>
    <w:p w:rsidR="000C33FB" w:rsidRDefault="000C33FB">
      <w:pPr>
        <w:pStyle w:val="a5"/>
        <w:rPr>
          <w:rFonts w:ascii="Times New Roman" w:hAnsi="Times New Roman"/>
        </w:rPr>
      </w:pPr>
    </w:p>
    <w:p w:rsidR="000C33FB" w:rsidRDefault="004D3C1D">
      <w:pPr>
        <w:spacing w:line="520" w:lineRule="exact"/>
        <w:jc w:val="center"/>
        <w:rPr>
          <w:rFonts w:eastAsia="黑体"/>
          <w:bCs/>
          <w:color w:val="000000"/>
          <w:sz w:val="28"/>
          <w:szCs w:val="28"/>
        </w:rPr>
      </w:pPr>
      <w:r>
        <w:rPr>
          <w:rFonts w:eastAsia="黑体"/>
          <w:bCs/>
          <w:color w:val="000000"/>
          <w:sz w:val="28"/>
          <w:szCs w:val="28"/>
        </w:rPr>
        <w:t>表</w:t>
      </w:r>
      <w:r>
        <w:rPr>
          <w:rFonts w:eastAsia="黑体"/>
          <w:bCs/>
          <w:color w:val="000000"/>
          <w:sz w:val="28"/>
          <w:szCs w:val="28"/>
        </w:rPr>
        <w:t xml:space="preserve">1 </w:t>
      </w:r>
      <w:r>
        <w:rPr>
          <w:rFonts w:eastAsia="黑体"/>
          <w:bCs/>
          <w:color w:val="000000"/>
          <w:sz w:val="28"/>
          <w:szCs w:val="28"/>
        </w:rPr>
        <w:t>全瓷义齿用氧化锆瓷块产品的主要危害举例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695"/>
        <w:gridCol w:w="2841"/>
        <w:gridCol w:w="2854"/>
      </w:tblGrid>
      <w:tr w:rsidR="000C33FB">
        <w:trPr>
          <w:cantSplit/>
          <w:tblHeader/>
          <w:jc w:val="center"/>
        </w:trPr>
        <w:tc>
          <w:tcPr>
            <w:tcW w:w="3361" w:type="dxa"/>
            <w:gridSpan w:val="2"/>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危险的分类</w:t>
            </w:r>
          </w:p>
        </w:tc>
        <w:tc>
          <w:tcPr>
            <w:tcW w:w="2841" w:type="dxa"/>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危险的形成因素</w:t>
            </w:r>
          </w:p>
        </w:tc>
        <w:tc>
          <w:tcPr>
            <w:tcW w:w="2854" w:type="dxa"/>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可能的后果</w:t>
            </w:r>
          </w:p>
        </w:tc>
      </w:tr>
      <w:tr w:rsidR="000C33FB">
        <w:trPr>
          <w:cantSplit/>
          <w:trHeight w:val="405"/>
          <w:jc w:val="center"/>
        </w:trPr>
        <w:tc>
          <w:tcPr>
            <w:tcW w:w="1666" w:type="dxa"/>
            <w:vMerge w:val="restart"/>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能量危险</w:t>
            </w: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材料有非电离辐射。</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材料的来源。</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有极微的辐射作用于人体，患者长期使用受到轻微辐射，影响身体健康。</w:t>
            </w:r>
          </w:p>
        </w:tc>
      </w:tr>
      <w:tr w:rsidR="000C33FB">
        <w:trPr>
          <w:cantSplit/>
          <w:trHeight w:val="2187"/>
          <w:jc w:val="center"/>
        </w:trPr>
        <w:tc>
          <w:tcPr>
            <w:tcW w:w="1666" w:type="dxa"/>
            <w:vMerge/>
            <w:vAlign w:val="center"/>
          </w:tcPr>
          <w:p w:rsidR="000C33FB" w:rsidRDefault="000C33FB">
            <w:pPr>
              <w:spacing w:line="500" w:lineRule="exact"/>
              <w:ind w:rightChars="-32" w:right="-67" w:firstLineChars="200" w:firstLine="560"/>
              <w:jc w:val="center"/>
              <w:rPr>
                <w:rFonts w:eastAsia="仿宋_GB2312"/>
                <w:bCs/>
                <w:color w:val="000000"/>
                <w:sz w:val="28"/>
                <w:szCs w:val="28"/>
              </w:rPr>
            </w:pP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材料强度不够。</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由于原材料的性能达不到要求。</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制成的义齿断裂、崩瓷。患者吞咽碎片，严重时窒息。</w:t>
            </w:r>
          </w:p>
        </w:tc>
      </w:tr>
      <w:tr w:rsidR="000C33FB">
        <w:trPr>
          <w:cantSplit/>
          <w:trHeight w:val="1861"/>
          <w:jc w:val="center"/>
        </w:trPr>
        <w:tc>
          <w:tcPr>
            <w:tcW w:w="1666" w:type="dxa"/>
            <w:vMerge w:val="restart"/>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生物学</w:t>
            </w:r>
          </w:p>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和化学危险</w:t>
            </w: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生物相容性不符合要求。</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不正确的配方。</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患者口腔黏膜、牙龈受刺激破溃充血等牙龈刺激、出现红肿。</w:t>
            </w:r>
          </w:p>
        </w:tc>
      </w:tr>
      <w:tr w:rsidR="000C33FB">
        <w:trPr>
          <w:cantSplit/>
          <w:trHeight w:val="1861"/>
          <w:jc w:val="center"/>
        </w:trPr>
        <w:tc>
          <w:tcPr>
            <w:tcW w:w="1666" w:type="dxa"/>
            <w:vMerge/>
            <w:vAlign w:val="center"/>
          </w:tcPr>
          <w:p w:rsidR="000C33FB" w:rsidRDefault="000C33FB">
            <w:pPr>
              <w:spacing w:line="500" w:lineRule="exact"/>
              <w:ind w:rightChars="-32" w:right="-67"/>
              <w:jc w:val="center"/>
              <w:rPr>
                <w:rFonts w:eastAsia="仿宋_GB2312"/>
                <w:bCs/>
                <w:color w:val="000000"/>
                <w:sz w:val="28"/>
                <w:szCs w:val="28"/>
              </w:rPr>
            </w:pP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生物污染。</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原材料配方不当，将影响产品的预期使用功能。</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引起患者不适或其他副作用。</w:t>
            </w:r>
          </w:p>
        </w:tc>
      </w:tr>
      <w:tr w:rsidR="000C33FB">
        <w:trPr>
          <w:cantSplit/>
          <w:trHeight w:val="870"/>
          <w:jc w:val="center"/>
        </w:trPr>
        <w:tc>
          <w:tcPr>
            <w:tcW w:w="1666" w:type="dxa"/>
            <w:vMerge w:val="restart"/>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lastRenderedPageBreak/>
              <w:t>环境因素</w:t>
            </w: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储存或运行偏离规定环境条件。</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sz w:val="28"/>
                <w:szCs w:val="28"/>
              </w:rPr>
              <w:t>储运条件（如温度、湿度）不符合要求。</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产品变质或质量降低。产品制作过程中损坏，无法使用。</w:t>
            </w:r>
          </w:p>
        </w:tc>
      </w:tr>
      <w:tr w:rsidR="000C33FB">
        <w:trPr>
          <w:cantSplit/>
          <w:trHeight w:val="688"/>
          <w:jc w:val="center"/>
        </w:trPr>
        <w:tc>
          <w:tcPr>
            <w:tcW w:w="1666" w:type="dxa"/>
            <w:vMerge/>
            <w:vAlign w:val="center"/>
          </w:tcPr>
          <w:p w:rsidR="000C33FB" w:rsidRDefault="000C33FB">
            <w:pPr>
              <w:spacing w:line="500" w:lineRule="exact"/>
              <w:ind w:rightChars="-32" w:right="-67" w:firstLineChars="200" w:firstLine="560"/>
              <w:jc w:val="center"/>
              <w:rPr>
                <w:rFonts w:eastAsia="仿宋_GB2312"/>
                <w:bCs/>
                <w:color w:val="000000"/>
                <w:sz w:val="28"/>
                <w:szCs w:val="28"/>
              </w:rPr>
            </w:pP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意外的机械破坏。</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sz w:val="28"/>
                <w:szCs w:val="28"/>
              </w:rPr>
              <w:t>储运、使用过程中发生意外的机械性破坏。</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包装损坏或产品损坏，无法使用。</w:t>
            </w:r>
          </w:p>
        </w:tc>
      </w:tr>
      <w:tr w:rsidR="000C33FB">
        <w:trPr>
          <w:cantSplit/>
          <w:trHeight w:val="688"/>
          <w:jc w:val="center"/>
        </w:trPr>
        <w:tc>
          <w:tcPr>
            <w:tcW w:w="1666" w:type="dxa"/>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信息危险</w:t>
            </w: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使用说明书、标签不规范</w:t>
            </w:r>
          </w:p>
        </w:tc>
        <w:tc>
          <w:tcPr>
            <w:tcW w:w="2841" w:type="dxa"/>
            <w:vAlign w:val="center"/>
          </w:tcPr>
          <w:p w:rsidR="000C33FB" w:rsidRDefault="004D3C1D">
            <w:pPr>
              <w:spacing w:line="500" w:lineRule="exact"/>
              <w:ind w:rightChars="-32" w:right="-67"/>
              <w:rPr>
                <w:rFonts w:eastAsia="仿宋_GB2312"/>
                <w:sz w:val="28"/>
                <w:szCs w:val="28"/>
              </w:rPr>
            </w:pPr>
            <w:r>
              <w:rPr>
                <w:rFonts w:eastAsia="仿宋_GB2312"/>
                <w:sz w:val="28"/>
                <w:szCs w:val="28"/>
              </w:rPr>
              <w:t>不完整的产品说明书、未提及产品的货架有效期或不规范，对产品性能特征不恰当的描述，不恰当的使用规范，产品注意事项、禁忌证未充分公示，警告不明确或叙述不清</w:t>
            </w:r>
            <w:r>
              <w:rPr>
                <w:rFonts w:eastAsia="仿宋_GB2312"/>
                <w:bCs/>
                <w:color w:val="000000"/>
                <w:sz w:val="28"/>
                <w:szCs w:val="28"/>
              </w:rPr>
              <w:t>（如副作用）</w:t>
            </w:r>
            <w:r>
              <w:rPr>
                <w:rFonts w:eastAsia="仿宋_GB2312"/>
                <w:sz w:val="28"/>
                <w:szCs w:val="28"/>
              </w:rPr>
              <w:t>，标签设计不当、粘贴不完整。</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产生无效治疗、对人体产生副作用或引发其他伤害。</w:t>
            </w:r>
          </w:p>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患者在使用过程中的意外情况：如突然咬到硬物（砂子、铁屑等），进而导致义齿的使用寿命降低或崩瓷。</w:t>
            </w:r>
          </w:p>
        </w:tc>
      </w:tr>
      <w:tr w:rsidR="000C33FB">
        <w:trPr>
          <w:cantSplit/>
          <w:trHeight w:val="971"/>
          <w:jc w:val="center"/>
        </w:trPr>
        <w:tc>
          <w:tcPr>
            <w:tcW w:w="1666" w:type="dxa"/>
            <w:vMerge w:val="restart"/>
            <w:vAlign w:val="center"/>
          </w:tcPr>
          <w:p w:rsidR="000C33FB" w:rsidRDefault="004D3C1D">
            <w:pPr>
              <w:spacing w:line="500" w:lineRule="exact"/>
              <w:ind w:rightChars="-32" w:right="-67"/>
              <w:jc w:val="center"/>
              <w:rPr>
                <w:rFonts w:eastAsia="仿宋_GB2312"/>
                <w:bCs/>
                <w:color w:val="000000"/>
                <w:sz w:val="28"/>
                <w:szCs w:val="28"/>
              </w:rPr>
            </w:pPr>
            <w:r>
              <w:rPr>
                <w:rFonts w:eastAsia="仿宋_GB2312"/>
                <w:bCs/>
                <w:color w:val="000000"/>
                <w:sz w:val="28"/>
                <w:szCs w:val="28"/>
              </w:rPr>
              <w:t>人为因素产生的风险</w:t>
            </w: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不适当的操作说明。</w:t>
            </w:r>
          </w:p>
        </w:tc>
        <w:tc>
          <w:tcPr>
            <w:tcW w:w="2841"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义齿制作中未按照规定的工艺流程和要求。</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产品制作过程中存在质量问题进而导致损坏，无法使用。</w:t>
            </w:r>
          </w:p>
        </w:tc>
      </w:tr>
      <w:tr w:rsidR="000C33FB">
        <w:trPr>
          <w:cantSplit/>
          <w:trHeight w:val="2135"/>
          <w:jc w:val="center"/>
        </w:trPr>
        <w:tc>
          <w:tcPr>
            <w:tcW w:w="1666" w:type="dxa"/>
            <w:vMerge/>
            <w:vAlign w:val="center"/>
          </w:tcPr>
          <w:p w:rsidR="000C33FB" w:rsidRDefault="000C33FB">
            <w:pPr>
              <w:spacing w:line="500" w:lineRule="exact"/>
              <w:ind w:rightChars="-32" w:right="-67" w:firstLineChars="200" w:firstLine="560"/>
              <w:jc w:val="center"/>
              <w:rPr>
                <w:rFonts w:eastAsia="仿宋_GB2312"/>
                <w:bCs/>
                <w:color w:val="000000"/>
                <w:sz w:val="28"/>
                <w:szCs w:val="28"/>
              </w:rPr>
            </w:pPr>
          </w:p>
        </w:tc>
        <w:tc>
          <w:tcPr>
            <w:tcW w:w="1695"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由不熟练</w:t>
            </w:r>
            <w:r>
              <w:rPr>
                <w:rFonts w:eastAsia="仿宋_GB2312"/>
                <w:bCs/>
                <w:color w:val="000000"/>
                <w:sz w:val="28"/>
                <w:szCs w:val="28"/>
              </w:rPr>
              <w:t>/</w:t>
            </w:r>
            <w:r>
              <w:rPr>
                <w:rFonts w:eastAsia="仿宋_GB2312"/>
                <w:bCs/>
                <w:color w:val="000000"/>
                <w:sz w:val="28"/>
                <w:szCs w:val="28"/>
              </w:rPr>
              <w:t>未经培训的人员使用。</w:t>
            </w:r>
          </w:p>
        </w:tc>
        <w:tc>
          <w:tcPr>
            <w:tcW w:w="2841" w:type="dxa"/>
            <w:vAlign w:val="center"/>
          </w:tcPr>
          <w:p w:rsidR="000C33FB" w:rsidRDefault="004D3C1D">
            <w:pPr>
              <w:spacing w:line="400" w:lineRule="exact"/>
              <w:rPr>
                <w:rFonts w:eastAsia="仿宋_GB2312"/>
                <w:sz w:val="28"/>
                <w:szCs w:val="28"/>
              </w:rPr>
            </w:pPr>
            <w:r>
              <w:rPr>
                <w:rFonts w:eastAsia="仿宋_GB2312"/>
                <w:bCs/>
                <w:color w:val="000000"/>
                <w:sz w:val="28"/>
                <w:szCs w:val="28"/>
              </w:rPr>
              <w:t>医生取样不准确，</w:t>
            </w:r>
            <w:r>
              <w:rPr>
                <w:rFonts w:eastAsia="仿宋_GB2312"/>
                <w:sz w:val="28"/>
                <w:szCs w:val="28"/>
              </w:rPr>
              <w:t>规格型号选用错误，操作不熟练、操作失误。</w:t>
            </w:r>
          </w:p>
        </w:tc>
        <w:tc>
          <w:tcPr>
            <w:tcW w:w="2854" w:type="dxa"/>
            <w:vAlign w:val="center"/>
          </w:tcPr>
          <w:p w:rsidR="000C33FB" w:rsidRDefault="004D3C1D">
            <w:pPr>
              <w:spacing w:line="500" w:lineRule="exact"/>
              <w:ind w:rightChars="-32" w:right="-67"/>
              <w:rPr>
                <w:rFonts w:eastAsia="仿宋_GB2312"/>
                <w:bCs/>
                <w:color w:val="000000"/>
                <w:sz w:val="28"/>
                <w:szCs w:val="28"/>
              </w:rPr>
            </w:pPr>
            <w:r>
              <w:rPr>
                <w:rFonts w:eastAsia="仿宋_GB2312"/>
                <w:bCs/>
                <w:color w:val="000000"/>
                <w:sz w:val="28"/>
                <w:szCs w:val="28"/>
              </w:rPr>
              <w:t>牙模采集后的变形，制成的义齿与患者不匹配，患者口腔黏膜、牙龈受刺激破溃充血等牙龈刺激、出现红肿。</w:t>
            </w:r>
          </w:p>
        </w:tc>
      </w:tr>
    </w:tbl>
    <w:p w:rsidR="000C33FB" w:rsidRDefault="000C33FB">
      <w:pPr>
        <w:overflowPunct w:val="0"/>
        <w:spacing w:line="20" w:lineRule="exact"/>
        <w:rPr>
          <w:rFonts w:eastAsia="方正仿宋简体"/>
          <w:color w:val="000000"/>
          <w:sz w:val="28"/>
          <w:szCs w:val="28"/>
        </w:rPr>
      </w:pPr>
    </w:p>
    <w:p w:rsidR="000C33FB" w:rsidRDefault="000C33FB">
      <w:pPr>
        <w:spacing w:line="520" w:lineRule="exact"/>
        <w:ind w:rightChars="-32" w:right="-67" w:firstLineChars="200" w:firstLine="640"/>
        <w:rPr>
          <w:rFonts w:ascii="Times New Roman" w:eastAsia="仿宋_GB2312" w:hAnsi="Times New Roman"/>
          <w:color w:val="000000"/>
          <w:sz w:val="32"/>
          <w:szCs w:val="32"/>
        </w:rPr>
      </w:pPr>
    </w:p>
    <w:sectPr w:rsidR="000C33FB">
      <w:pgSz w:w="11906" w:h="16838"/>
      <w:pgMar w:top="2155" w:right="1474" w:bottom="2041"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14" w:rsidRDefault="00895C14">
      <w:r>
        <w:separator/>
      </w:r>
    </w:p>
  </w:endnote>
  <w:endnote w:type="continuationSeparator" w:id="0">
    <w:p w:rsidR="00895C14" w:rsidRDefault="0089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方正仿宋_GBK"/>
    <w:charset w:val="00"/>
    <w:family w:val="script"/>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FB" w:rsidRDefault="004D3C1D">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-179070</wp:posOffset>
              </wp:positionV>
              <wp:extent cx="826770" cy="3187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26770" cy="318976"/>
                      </a:xfrm>
                      <a:prstGeom prst="rect">
                        <a:avLst/>
                      </a:prstGeom>
                      <a:noFill/>
                      <a:ln w="6350">
                        <a:noFill/>
                      </a:ln>
                      <a:effectLst/>
                    </wps:spPr>
                    <wps:txbx>
                      <w:txbxContent>
                        <w:p w:rsidR="000C33FB" w:rsidRDefault="004D3C1D">
                          <w:pPr>
                            <w:pStyle w:val="a3"/>
                            <w:ind w:leftChars="100" w:left="210"/>
                            <w:rPr>
                              <w:sz w:val="28"/>
                              <w:szCs w:val="28"/>
                            </w:rPr>
                          </w:pPr>
                          <w:r>
                            <w:rPr>
                              <w:sz w:val="28"/>
                              <w:szCs w:val="28"/>
                            </w:rPr>
                            <w:t xml:space="preserve">— </w:t>
                          </w:r>
                          <w:r w:rsidRPr="008C7FEE">
                            <w:rPr>
                              <w:rFonts w:ascii="Times New Roman" w:hAnsi="Times New Roman"/>
                              <w:sz w:val="28"/>
                              <w:szCs w:val="28"/>
                            </w:rPr>
                            <w:fldChar w:fldCharType="begin"/>
                          </w:r>
                          <w:r w:rsidRPr="008C7FEE">
                            <w:rPr>
                              <w:rFonts w:ascii="Times New Roman" w:hAnsi="Times New Roman"/>
                              <w:sz w:val="28"/>
                              <w:szCs w:val="28"/>
                            </w:rPr>
                            <w:instrText xml:space="preserve"> PAGE  \* MERGEFORMAT </w:instrText>
                          </w:r>
                          <w:r w:rsidRPr="008C7FEE">
                            <w:rPr>
                              <w:rFonts w:ascii="Times New Roman" w:hAnsi="Times New Roman"/>
                              <w:sz w:val="28"/>
                              <w:szCs w:val="28"/>
                            </w:rPr>
                            <w:fldChar w:fldCharType="separate"/>
                          </w:r>
                          <w:r w:rsidR="006A1E0D">
                            <w:rPr>
                              <w:rFonts w:ascii="Times New Roman" w:hAnsi="Times New Roman"/>
                              <w:noProof/>
                              <w:sz w:val="28"/>
                              <w:szCs w:val="28"/>
                            </w:rPr>
                            <w:t>18</w:t>
                          </w:r>
                          <w:r w:rsidRPr="008C7FEE">
                            <w:rPr>
                              <w:rFonts w:ascii="Times New Roman" w:hAnsi="Times New Roman"/>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14.1pt;width:65.1pt;height:25.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" filled="f" stroked="f" strokeweight=".5pt">
              <v:textbox inset="0,0,0,0">
                <w:txbxContent>
                  <w:p w:rsidR="000C33FB" w:rsidRDefault="004D3C1D">
                    <w:pPr>
                      <w:pStyle w:val="a3"/>
                      <w:ind w:leftChars="100" w:left="210"/>
                      <w:rPr>
                        <w:sz w:val="28"/>
                        <w:szCs w:val="28"/>
                      </w:rPr>
                    </w:pPr>
                    <w:r>
                      <w:rPr>
                        <w:sz w:val="28"/>
                        <w:szCs w:val="28"/>
                      </w:rPr>
                      <w:t xml:space="preserve">— </w:t>
                    </w:r>
                    <w:r w:rsidRPr="008C7FEE">
                      <w:rPr>
                        <w:rFonts w:ascii="Times New Roman" w:hAnsi="Times New Roman"/>
                        <w:sz w:val="28"/>
                        <w:szCs w:val="28"/>
                      </w:rPr>
                      <w:fldChar w:fldCharType="begin"/>
                    </w:r>
                    <w:r w:rsidRPr="008C7FEE">
                      <w:rPr>
                        <w:rFonts w:ascii="Times New Roman" w:hAnsi="Times New Roman"/>
                        <w:sz w:val="28"/>
                        <w:szCs w:val="28"/>
                      </w:rPr>
                      <w:instrText xml:space="preserve"> PAGE  \* MERGEFORMAT </w:instrText>
                    </w:r>
                    <w:r w:rsidRPr="008C7FEE">
                      <w:rPr>
                        <w:rFonts w:ascii="Times New Roman" w:hAnsi="Times New Roman"/>
                        <w:sz w:val="28"/>
                        <w:szCs w:val="28"/>
                      </w:rPr>
                      <w:fldChar w:fldCharType="separate"/>
                    </w:r>
                    <w:r w:rsidR="006A1E0D">
                      <w:rPr>
                        <w:rFonts w:ascii="Times New Roman" w:hAnsi="Times New Roman"/>
                        <w:noProof/>
                        <w:sz w:val="28"/>
                        <w:szCs w:val="28"/>
                      </w:rPr>
                      <w:t>18</w:t>
                    </w:r>
                    <w:r w:rsidRPr="008C7FEE">
                      <w:rPr>
                        <w:rFonts w:ascii="Times New Roman" w:hAnsi="Times New Roman"/>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FB" w:rsidRDefault="004D3C1D">
    <w:pPr>
      <w:pStyle w:val="a3"/>
      <w:ind w:rightChars="100" w:right="21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margin">
                <wp:posOffset>4851400</wp:posOffset>
              </wp:positionH>
              <wp:positionV relativeFrom="paragraph">
                <wp:posOffset>-81280</wp:posOffset>
              </wp:positionV>
              <wp:extent cx="880745" cy="2978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0745" cy="297712"/>
                      </a:xfrm>
                      <a:prstGeom prst="rect">
                        <a:avLst/>
                      </a:prstGeom>
                      <a:noFill/>
                      <a:ln w="6350">
                        <a:noFill/>
                      </a:ln>
                      <a:effectLst/>
                    </wps:spPr>
                    <wps:txbx>
                      <w:txbxContent>
                        <w:p w:rsidR="000C33FB" w:rsidRDefault="004D3C1D">
                          <w:pPr>
                            <w:pStyle w:val="a3"/>
                            <w:ind w:rightChars="100" w:right="210"/>
                            <w:rPr>
                              <w:sz w:val="28"/>
                              <w:szCs w:val="28"/>
                            </w:rPr>
                          </w:pPr>
                          <w:r>
                            <w:rPr>
                              <w:sz w:val="28"/>
                              <w:szCs w:val="28"/>
                            </w:rPr>
                            <w:t xml:space="preserve">— </w:t>
                          </w:r>
                          <w:r w:rsidRPr="008C7FEE">
                            <w:rPr>
                              <w:rFonts w:ascii="Times New Roman" w:hAnsi="Times New Roman"/>
                              <w:sz w:val="28"/>
                              <w:szCs w:val="28"/>
                            </w:rPr>
                            <w:fldChar w:fldCharType="begin"/>
                          </w:r>
                          <w:r w:rsidRPr="008C7FEE">
                            <w:rPr>
                              <w:rFonts w:ascii="Times New Roman" w:hAnsi="Times New Roman"/>
                              <w:sz w:val="28"/>
                              <w:szCs w:val="28"/>
                            </w:rPr>
                            <w:instrText xml:space="preserve"> PAGE  \* MERGEFORMAT </w:instrText>
                          </w:r>
                          <w:r w:rsidRPr="008C7FEE">
                            <w:rPr>
                              <w:rFonts w:ascii="Times New Roman" w:hAnsi="Times New Roman"/>
                              <w:sz w:val="28"/>
                              <w:szCs w:val="28"/>
                            </w:rPr>
                            <w:fldChar w:fldCharType="separate"/>
                          </w:r>
                          <w:r w:rsidR="006A1E0D">
                            <w:rPr>
                              <w:rFonts w:ascii="Times New Roman" w:hAnsi="Times New Roman"/>
                              <w:noProof/>
                              <w:sz w:val="28"/>
                              <w:szCs w:val="28"/>
                            </w:rPr>
                            <w:t>17</w:t>
                          </w:r>
                          <w:r w:rsidRPr="008C7FEE">
                            <w:rPr>
                              <w:rFonts w:ascii="Times New Roman" w:hAnsi="Times New Roman"/>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82pt;margin-top:-6.4pt;width:69.35pt;height:23.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" filled="f" stroked="f" strokeweight=".5pt">
              <v:textbox inset="0,0,0,0">
                <w:txbxContent>
                  <w:p w:rsidR="000C33FB" w:rsidRDefault="004D3C1D">
                    <w:pPr>
                      <w:pStyle w:val="a3"/>
                      <w:ind w:rightChars="100" w:right="210"/>
                      <w:rPr>
                        <w:sz w:val="28"/>
                        <w:szCs w:val="28"/>
                      </w:rPr>
                    </w:pPr>
                    <w:r>
                      <w:rPr>
                        <w:sz w:val="28"/>
                        <w:szCs w:val="28"/>
                      </w:rPr>
                      <w:t xml:space="preserve">— </w:t>
                    </w:r>
                    <w:r w:rsidRPr="008C7FEE">
                      <w:rPr>
                        <w:rFonts w:ascii="Times New Roman" w:hAnsi="Times New Roman"/>
                        <w:sz w:val="28"/>
                        <w:szCs w:val="28"/>
                      </w:rPr>
                      <w:fldChar w:fldCharType="begin"/>
                    </w:r>
                    <w:r w:rsidRPr="008C7FEE">
                      <w:rPr>
                        <w:rFonts w:ascii="Times New Roman" w:hAnsi="Times New Roman"/>
                        <w:sz w:val="28"/>
                        <w:szCs w:val="28"/>
                      </w:rPr>
                      <w:instrText xml:space="preserve"> PAGE  \* MERGEFORMAT </w:instrText>
                    </w:r>
                    <w:r w:rsidRPr="008C7FEE">
                      <w:rPr>
                        <w:rFonts w:ascii="Times New Roman" w:hAnsi="Times New Roman"/>
                        <w:sz w:val="28"/>
                        <w:szCs w:val="28"/>
                      </w:rPr>
                      <w:fldChar w:fldCharType="separate"/>
                    </w:r>
                    <w:r w:rsidR="006A1E0D">
                      <w:rPr>
                        <w:rFonts w:ascii="Times New Roman" w:hAnsi="Times New Roman"/>
                        <w:noProof/>
                        <w:sz w:val="28"/>
                        <w:szCs w:val="28"/>
                      </w:rPr>
                      <w:t>17</w:t>
                    </w:r>
                    <w:r w:rsidRPr="008C7FEE">
                      <w:rPr>
                        <w:rFonts w:ascii="Times New Roman" w:hAnsi="Times New Roman"/>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14" w:rsidRDefault="00895C14">
      <w:r>
        <w:separator/>
      </w:r>
    </w:p>
  </w:footnote>
  <w:footnote w:type="continuationSeparator" w:id="0">
    <w:p w:rsidR="00895C14" w:rsidRDefault="00895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E8F939B"/>
    <w:rsid w:val="877D85C8"/>
    <w:rsid w:val="D9F85BA3"/>
    <w:rsid w:val="EDFE992B"/>
    <w:rsid w:val="EE8F939B"/>
    <w:rsid w:val="FBDBB328"/>
    <w:rsid w:val="000C33FB"/>
    <w:rsid w:val="004858C7"/>
    <w:rsid w:val="004D3C1D"/>
    <w:rsid w:val="006005AF"/>
    <w:rsid w:val="00614915"/>
    <w:rsid w:val="006A1E0D"/>
    <w:rsid w:val="006C094C"/>
    <w:rsid w:val="00895C14"/>
    <w:rsid w:val="008C7FEE"/>
    <w:rsid w:val="00AD3A3D"/>
    <w:rsid w:val="00AF364E"/>
    <w:rsid w:val="00CB40F2"/>
    <w:rsid w:val="00D378C5"/>
    <w:rsid w:val="00E17C12"/>
    <w:rsid w:val="00E309D6"/>
    <w:rsid w:val="6F0B9FED"/>
    <w:rsid w:val="7FFF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FD740D-0D7F-43E9-BA68-D28CBD3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表段落1"/>
    <w:basedOn w:val="a"/>
    <w:qFormat/>
    <w:pPr>
      <w:ind w:firstLineChars="200" w:firstLine="420"/>
    </w:pPr>
    <w:rPr>
      <w:rFonts w:cs="Calibri"/>
      <w:szCs w:val="21"/>
    </w:rPr>
  </w:style>
  <w:style w:type="paragraph" w:styleId="a5">
    <w:name w:val="No Spacing"/>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1192</Words>
  <Characters>6795</Characters>
  <Application>Microsoft Office Word</Application>
  <DocSecurity>0</DocSecurity>
  <Lines>56</Lines>
  <Paragraphs>15</Paragraphs>
  <ScaleCrop>false</ScaleCrop>
  <Company>神州网信技术有限公司</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办公室发文</cp:lastModifiedBy>
  <cp:revision>5</cp:revision>
  <dcterms:created xsi:type="dcterms:W3CDTF">2026-07-21T06:37:00Z</dcterms:created>
  <dcterms:modified xsi:type="dcterms:W3CDTF">2026-07-21T07:22:00Z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53E59D49682B95DB1BCA5D6A5FE5D224_43</vt:lpwstr>
  </property>
</Properties>
</file>