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3032AB">
      <w:pPr>
        <w:spacing w:before="435" w:beforeLines="100" w:line="560" w:lineRule="exact"/>
        <w:jc w:val="center"/>
        <w:rPr>
          <w:rFonts w:eastAsia="方正小标宋简体"/>
          <w:sz w:val="44"/>
          <w:szCs w:val="44"/>
        </w:rPr>
      </w:pPr>
      <w:r>
        <w:rPr>
          <w:rFonts w:eastAsia="方正小标宋简体"/>
          <w:sz w:val="44"/>
          <w:szCs w:val="44"/>
        </w:rPr>
        <w:t>骨科外固定支架注册技术审查指导原则</w:t>
      </w:r>
    </w:p>
    <w:p w14:paraId="460C986F">
      <w:pPr>
        <w:spacing w:line="560" w:lineRule="exact"/>
        <w:jc w:val="center"/>
        <w:rPr>
          <w:rFonts w:eastAsia="方正小标宋简体"/>
          <w:sz w:val="44"/>
          <w:szCs w:val="44"/>
        </w:rPr>
      </w:pPr>
      <w:r>
        <w:rPr>
          <w:rFonts w:eastAsia="方正小标宋简体"/>
          <w:sz w:val="44"/>
          <w:szCs w:val="36"/>
        </w:rPr>
        <w:t>（</w:t>
      </w:r>
      <w:r>
        <w:rPr>
          <w:rFonts w:hint="eastAsia" w:ascii="方正小标宋简体" w:eastAsia="方正小标宋简体"/>
          <w:sz w:val="44"/>
          <w:szCs w:val="36"/>
        </w:rPr>
        <w:t>2026</w:t>
      </w:r>
      <w:r>
        <w:rPr>
          <w:rFonts w:eastAsia="方正小标宋简体"/>
          <w:sz w:val="44"/>
          <w:szCs w:val="36"/>
        </w:rPr>
        <w:t>年修订版）</w:t>
      </w:r>
    </w:p>
    <w:p w14:paraId="4CA6EE6D">
      <w:pPr>
        <w:spacing w:line="560" w:lineRule="exact"/>
        <w:jc w:val="center"/>
        <w:rPr>
          <w:rFonts w:eastAsia="方正小标宋简体"/>
          <w:sz w:val="44"/>
          <w:szCs w:val="36"/>
        </w:rPr>
      </w:pPr>
    </w:p>
    <w:p w14:paraId="2B47E0D6">
      <w:pPr>
        <w:spacing w:line="520" w:lineRule="exact"/>
        <w:ind w:firstLine="640" w:firstLineChars="200"/>
        <w:rPr>
          <w:rFonts w:eastAsia="仿宋_GB2312"/>
          <w:szCs w:val="32"/>
        </w:rPr>
      </w:pPr>
      <w:r>
        <w:rPr>
          <w:rFonts w:eastAsia="仿宋_GB2312"/>
          <w:szCs w:val="32"/>
        </w:rPr>
        <w:t>本指导原则旨在帮助和指导注册申请人对骨科外固定支架注册申报资料的准备及撰写，同时也为医疗器械技术审评部门对注册申报资料的技术审评提供参考。</w:t>
      </w:r>
    </w:p>
    <w:p w14:paraId="341EB703">
      <w:pPr>
        <w:spacing w:line="520" w:lineRule="exact"/>
        <w:ind w:firstLine="640" w:firstLineChars="200"/>
        <w:rPr>
          <w:rFonts w:eastAsia="仿宋_GB2312"/>
          <w:szCs w:val="32"/>
        </w:rPr>
      </w:pPr>
      <w:r>
        <w:rPr>
          <w:rFonts w:eastAsia="仿宋_GB2312"/>
          <w:szCs w:val="32"/>
        </w:rPr>
        <w:t>本指导原则是对骨科外固定支架注册申报资料的一般要求，注册申请人应依据具体产品的特性对注册申报资料的内容进行充分说明和细化，并依据具体产品的特性确定其中的具体内容是否适用。若不适用，需具体阐述其理由及相应的科学依据。</w:t>
      </w:r>
    </w:p>
    <w:p w14:paraId="6B575A01">
      <w:pPr>
        <w:spacing w:line="520" w:lineRule="exact"/>
        <w:ind w:firstLine="640" w:firstLineChars="200"/>
        <w:rPr>
          <w:rFonts w:eastAsia="仿宋_GB2312"/>
          <w:szCs w:val="32"/>
        </w:rPr>
      </w:pPr>
      <w:r>
        <w:rPr>
          <w:rFonts w:eastAsia="仿宋_GB2312"/>
          <w:szCs w:val="32"/>
        </w:rPr>
        <w:t>本指导原则是供注册申请人和技术审评人员的指导性文件，但不包括注册审批所涉及的行政事项，亦不作为法规强制执行，需在遵循相关法规和现行有效的国家标准或行业标准的前提下使用本指导原则。如果有能够满足相关法规要求的其他方法，也可以采用，但是需要提供详细的研究资料和验证资料。</w:t>
      </w:r>
    </w:p>
    <w:p w14:paraId="7E5B2B85">
      <w:pPr>
        <w:spacing w:line="520" w:lineRule="exact"/>
        <w:ind w:firstLine="640" w:firstLineChars="200"/>
        <w:rPr>
          <w:rFonts w:eastAsia="黑体"/>
          <w:szCs w:val="32"/>
        </w:rPr>
      </w:pPr>
      <w:r>
        <w:rPr>
          <w:rFonts w:eastAsia="仿宋_GB2312"/>
          <w:szCs w:val="32"/>
        </w:rPr>
        <w:t>本指导原则是在现行法规和标准体系以及当前认知水平下制定的，随着法规和标准的不断更新与完善，以及科学技术的不断发展，相关内容也将适时进行调整。</w:t>
      </w:r>
    </w:p>
    <w:p w14:paraId="3FB583DE">
      <w:pPr>
        <w:spacing w:line="520" w:lineRule="exact"/>
        <w:ind w:firstLine="640" w:firstLineChars="200"/>
        <w:rPr>
          <w:rFonts w:eastAsia="黑体"/>
          <w:szCs w:val="32"/>
        </w:rPr>
      </w:pPr>
      <w:r>
        <w:rPr>
          <w:rFonts w:eastAsia="黑体"/>
          <w:szCs w:val="32"/>
        </w:rPr>
        <w:t>一、适用范围</w:t>
      </w:r>
    </w:p>
    <w:p w14:paraId="55D19897">
      <w:pPr>
        <w:spacing w:line="520" w:lineRule="exact"/>
        <w:ind w:firstLine="640" w:firstLineChars="200"/>
        <w:rPr>
          <w:rFonts w:eastAsia="仿宋_GB2312"/>
          <w:szCs w:val="32"/>
        </w:rPr>
      </w:pPr>
      <w:r>
        <w:rPr>
          <w:rFonts w:eastAsia="仿宋_GB2312"/>
          <w:szCs w:val="32"/>
        </w:rPr>
        <w:t>本指导原则适用于按照第二类医疗器械管理的骨科外固定支架。该产品通常由针杆链接装置、杆、环、连接部件等组成，不包括骨针。连接体内骨针使用，通过固定、加压或牵拉骨端，实现骨折复位等治疗目的。</w:t>
      </w:r>
    </w:p>
    <w:p w14:paraId="37548A33">
      <w:pPr>
        <w:spacing w:line="520" w:lineRule="exact"/>
        <w:ind w:firstLine="640" w:firstLineChars="200"/>
        <w:rPr>
          <w:rFonts w:eastAsia="仿宋_GB2312"/>
          <w:szCs w:val="32"/>
        </w:rPr>
      </w:pPr>
      <w:r>
        <w:rPr>
          <w:rFonts w:eastAsia="仿宋_GB2312"/>
          <w:szCs w:val="32"/>
        </w:rPr>
        <w:t>本指导原则不包含与其配套使用的金属骨针产品。本指导原则不包含矫形用外固定支架。矫形用外固定支架及骨融合术后辅助固定用外固定支架产品可参考本指导原则进行注册申报。</w:t>
      </w:r>
    </w:p>
    <w:p w14:paraId="24F4536A">
      <w:pPr>
        <w:spacing w:line="520" w:lineRule="exact"/>
        <w:ind w:firstLine="640" w:firstLineChars="200"/>
        <w:rPr>
          <w:rFonts w:eastAsia="黑体"/>
          <w:szCs w:val="32"/>
        </w:rPr>
      </w:pPr>
      <w:r>
        <w:rPr>
          <w:rFonts w:eastAsia="黑体"/>
          <w:szCs w:val="32"/>
        </w:rPr>
        <w:t>二、注册审查要点</w:t>
      </w:r>
    </w:p>
    <w:p w14:paraId="70A3A9D8">
      <w:pPr>
        <w:spacing w:line="520" w:lineRule="exact"/>
        <w:ind w:firstLine="640" w:firstLineChars="200"/>
        <w:rPr>
          <w:rFonts w:eastAsia="楷体_GB2312"/>
          <w:szCs w:val="32"/>
        </w:rPr>
      </w:pPr>
      <w:r>
        <w:rPr>
          <w:rFonts w:eastAsia="楷体_GB2312"/>
          <w:szCs w:val="32"/>
        </w:rPr>
        <w:t>（一）监管信息</w:t>
      </w:r>
    </w:p>
    <w:p w14:paraId="78F6A9AA">
      <w:pPr>
        <w:spacing w:line="520" w:lineRule="exact"/>
        <w:ind w:firstLine="640" w:firstLineChars="200"/>
        <w:rPr>
          <w:rFonts w:eastAsia="仿宋_GB2312"/>
          <w:szCs w:val="32"/>
        </w:rPr>
      </w:pPr>
      <w:r>
        <w:rPr>
          <w:rFonts w:eastAsia="仿宋_GB2312"/>
          <w:szCs w:val="32"/>
        </w:rPr>
        <w:t>1.产品名称</w:t>
      </w:r>
    </w:p>
    <w:p w14:paraId="6B384976">
      <w:pPr>
        <w:spacing w:line="520" w:lineRule="exact"/>
        <w:ind w:firstLine="640" w:firstLineChars="200"/>
        <w:rPr>
          <w:rFonts w:eastAsia="仿宋_GB2312"/>
          <w:szCs w:val="32"/>
        </w:rPr>
      </w:pPr>
      <w:r>
        <w:rPr>
          <w:rFonts w:eastAsia="仿宋_GB2312"/>
          <w:szCs w:val="32"/>
        </w:rPr>
        <w:t>骨科外固定支架应符合《医疗器械通用名称命名规则》（国家食品药品监督管理总局令第19号）的要求，可采用相关国家标准、行业标准上的通用名称，或以产品结构和适用范围为依据命名。例如：一体式骨科外固定支架、组合式骨科外固定支架等。</w:t>
      </w:r>
    </w:p>
    <w:p w14:paraId="70ACDAA6">
      <w:pPr>
        <w:spacing w:line="520" w:lineRule="exact"/>
        <w:ind w:firstLine="640" w:firstLineChars="200"/>
        <w:rPr>
          <w:rFonts w:eastAsia="仿宋_GB2312"/>
          <w:szCs w:val="32"/>
        </w:rPr>
      </w:pPr>
      <w:r>
        <w:rPr>
          <w:rFonts w:eastAsia="仿宋_GB2312"/>
          <w:szCs w:val="32"/>
        </w:rPr>
        <w:t>2.分类编码和管理类别</w:t>
      </w:r>
    </w:p>
    <w:p w14:paraId="585AD469">
      <w:pPr>
        <w:spacing w:line="520" w:lineRule="exact"/>
        <w:ind w:firstLine="640" w:firstLineChars="200"/>
        <w:rPr>
          <w:rFonts w:eastAsia="仿宋_GB2312"/>
          <w:szCs w:val="32"/>
        </w:rPr>
      </w:pPr>
      <w:r>
        <w:rPr>
          <w:rFonts w:eastAsia="仿宋_GB2312"/>
          <w:szCs w:val="32"/>
        </w:rPr>
        <w:t>根据《医疗器械分类目录》，分类编码为04-13-02，管理类别为II类。</w:t>
      </w:r>
    </w:p>
    <w:p w14:paraId="48961C05">
      <w:pPr>
        <w:spacing w:line="520" w:lineRule="exact"/>
        <w:ind w:firstLine="640" w:firstLineChars="200"/>
        <w:rPr>
          <w:rFonts w:eastAsia="仿宋_GB2312"/>
          <w:szCs w:val="32"/>
        </w:rPr>
      </w:pPr>
      <w:r>
        <w:rPr>
          <w:rFonts w:eastAsia="仿宋_GB2312"/>
          <w:szCs w:val="32"/>
        </w:rPr>
        <w:t>3.注册单元划分的原则和实例</w:t>
      </w:r>
    </w:p>
    <w:p w14:paraId="211FE059">
      <w:pPr>
        <w:spacing w:line="520" w:lineRule="exact"/>
        <w:ind w:firstLine="640" w:firstLineChars="200"/>
        <w:rPr>
          <w:rFonts w:eastAsia="仿宋_GB2312"/>
          <w:szCs w:val="32"/>
        </w:rPr>
      </w:pPr>
      <w:r>
        <w:rPr>
          <w:rFonts w:eastAsia="仿宋_GB2312"/>
          <w:szCs w:val="32"/>
        </w:rPr>
        <w:t>外固定支架的注册单元的划分原则上以技术原理、结构组成、性能指标和适用范围为划分依据。注册申请人应根据上述原则，按照产品自身特点划分注册单元。一般情况下一体式骨科外固定支架与组合式骨科外固定支架应划分成不同的注册单元。</w:t>
      </w:r>
    </w:p>
    <w:p w14:paraId="230590D3">
      <w:pPr>
        <w:spacing w:line="520" w:lineRule="exact"/>
        <w:ind w:firstLine="640" w:firstLineChars="200"/>
        <w:rPr>
          <w:rFonts w:eastAsia="仿宋_GB2312"/>
          <w:szCs w:val="32"/>
        </w:rPr>
      </w:pPr>
      <w:r>
        <w:rPr>
          <w:rFonts w:eastAsia="仿宋_GB2312"/>
          <w:szCs w:val="32"/>
        </w:rPr>
        <w:t>4.产品列表</w:t>
      </w:r>
    </w:p>
    <w:p w14:paraId="3BDCBA33">
      <w:pPr>
        <w:spacing w:line="520" w:lineRule="exact"/>
        <w:ind w:firstLine="640" w:firstLineChars="200"/>
        <w:rPr>
          <w:rFonts w:eastAsia="仿宋_GB2312"/>
          <w:szCs w:val="32"/>
        </w:rPr>
      </w:pPr>
      <w:r>
        <w:rPr>
          <w:rFonts w:eastAsia="仿宋_GB2312"/>
          <w:szCs w:val="32"/>
        </w:rPr>
        <w:t>以表格形式列出拟申报产品的型号、规格、结构及组成，以及每个型号规格的标识（如型号或部件的编号等）和描述说明（如材质等）。</w:t>
      </w:r>
    </w:p>
    <w:p w14:paraId="5622EA76">
      <w:pPr>
        <w:spacing w:line="520" w:lineRule="exact"/>
        <w:ind w:firstLine="640" w:firstLineChars="200"/>
        <w:rPr>
          <w:rFonts w:eastAsia="仿宋_GB2312"/>
          <w:szCs w:val="32"/>
        </w:rPr>
      </w:pPr>
      <w:r>
        <w:rPr>
          <w:rFonts w:eastAsia="仿宋_GB2312"/>
          <w:szCs w:val="32"/>
        </w:rPr>
        <w:t>5.应按照《医疗器械注册申报资料要求及说明》的要求提交申请表、术语（如适用）、缩写词列表（如适用）、关联文件、申报前与监管机构的联系情况和沟通记录（如适用）、主文档授权信（如适用）、符合性声明等。</w:t>
      </w:r>
    </w:p>
    <w:p w14:paraId="48E5AD91">
      <w:pPr>
        <w:spacing w:line="520" w:lineRule="exact"/>
        <w:ind w:firstLine="640" w:firstLineChars="200"/>
        <w:rPr>
          <w:rFonts w:eastAsia="楷体_GB2312"/>
          <w:szCs w:val="32"/>
        </w:rPr>
      </w:pPr>
      <w:r>
        <w:rPr>
          <w:rFonts w:eastAsia="楷体_GB2312"/>
          <w:szCs w:val="32"/>
        </w:rPr>
        <w:t>（二）综述资料</w:t>
      </w:r>
    </w:p>
    <w:p w14:paraId="2CE637D9">
      <w:pPr>
        <w:spacing w:line="520" w:lineRule="exact"/>
        <w:ind w:firstLine="640" w:firstLineChars="200"/>
        <w:rPr>
          <w:rFonts w:eastAsia="仿宋_GB2312"/>
          <w:szCs w:val="32"/>
        </w:rPr>
      </w:pPr>
      <w:r>
        <w:rPr>
          <w:rFonts w:eastAsia="仿宋_GB2312"/>
          <w:szCs w:val="32"/>
        </w:rPr>
        <w:t>1.产品描述</w:t>
      </w:r>
    </w:p>
    <w:p w14:paraId="493D4DD7">
      <w:pPr>
        <w:spacing w:line="520" w:lineRule="exact"/>
        <w:ind w:firstLine="640" w:firstLineChars="200"/>
        <w:rPr>
          <w:rFonts w:eastAsia="仿宋_GB2312"/>
          <w:szCs w:val="32"/>
        </w:rPr>
      </w:pPr>
      <w:r>
        <w:rPr>
          <w:rFonts w:eastAsia="仿宋_GB2312"/>
          <w:szCs w:val="32"/>
        </w:rPr>
        <w:t>需在产品描述中明确产品的通用名称及其确定依据；明确产品的管理类别，包括：所属分类子目录名称、一级产品类别、二级产品类别，管理类别，分类编码；明确产品的适用范围；明确产品的背景信息概述或特别细节，如：申报产品的历史概述、历次提交的信息，与其他经批准上市产品的关系等。如不适用，需说明。</w:t>
      </w:r>
    </w:p>
    <w:p w14:paraId="517D18E7">
      <w:pPr>
        <w:spacing w:line="520" w:lineRule="exact"/>
        <w:ind w:firstLine="640" w:firstLineChars="200"/>
        <w:jc w:val="left"/>
        <w:rPr>
          <w:rFonts w:eastAsia="仿宋_GB2312"/>
          <w:szCs w:val="32"/>
        </w:rPr>
      </w:pPr>
      <w:r>
        <w:rPr>
          <w:rFonts w:eastAsia="仿宋_GB2312"/>
          <w:szCs w:val="32"/>
        </w:rPr>
        <w:t>2.器械及操作原理描述</w:t>
      </w:r>
    </w:p>
    <w:p w14:paraId="541BD53D">
      <w:pPr>
        <w:spacing w:line="520" w:lineRule="exact"/>
        <w:ind w:firstLine="640" w:firstLineChars="200"/>
        <w:jc w:val="left"/>
        <w:rPr>
          <w:rFonts w:eastAsia="仿宋_GB2312"/>
          <w:szCs w:val="32"/>
        </w:rPr>
      </w:pPr>
      <w:r>
        <w:rPr>
          <w:rFonts w:eastAsia="仿宋_GB2312"/>
          <w:szCs w:val="32"/>
        </w:rPr>
        <w:t>2.1产品的结构和组成</w:t>
      </w:r>
    </w:p>
    <w:p w14:paraId="1B4CA21A">
      <w:pPr>
        <w:spacing w:line="520" w:lineRule="exact"/>
        <w:ind w:firstLine="640" w:firstLineChars="200"/>
        <w:jc w:val="left"/>
        <w:rPr>
          <w:rFonts w:eastAsia="仿宋_GB2312"/>
          <w:szCs w:val="32"/>
        </w:rPr>
      </w:pPr>
      <w:r>
        <w:rPr>
          <w:rFonts w:eastAsia="仿宋_GB2312"/>
          <w:szCs w:val="32"/>
        </w:rPr>
        <w:t>外固定支架按结构组成可分为一体式和组合式两种类型。按照交付状态可分为非无菌形式提供和无菌形式提供两种。</w:t>
      </w:r>
    </w:p>
    <w:p w14:paraId="09DC7A72">
      <w:pPr>
        <w:spacing w:line="520" w:lineRule="exact"/>
        <w:ind w:firstLine="640" w:firstLineChars="200"/>
        <w:jc w:val="left"/>
        <w:rPr>
          <w:rFonts w:eastAsia="仿宋_GB2312"/>
          <w:szCs w:val="32"/>
        </w:rPr>
      </w:pPr>
      <w:r>
        <w:rPr>
          <w:rFonts w:eastAsia="仿宋_GB2312"/>
          <w:szCs w:val="32"/>
        </w:rPr>
        <w:t>一体式外固定支架主要由横（竖）针夹、延长接头、撑开架、偏心轴、万向球等部件组成。按照结构组成可分为多种型式，每种型式按照使用部位又可分为多种型号。</w:t>
      </w:r>
    </w:p>
    <w:p w14:paraId="3ACD51AB">
      <w:pPr>
        <w:spacing w:line="520" w:lineRule="exact"/>
        <w:ind w:firstLine="640" w:firstLineChars="200"/>
        <w:jc w:val="left"/>
        <w:rPr>
          <w:rFonts w:eastAsia="仿宋_GB2312"/>
          <w:szCs w:val="32"/>
        </w:rPr>
      </w:pPr>
      <w:r>
        <w:rPr>
          <w:rFonts w:eastAsia="仿宋_GB2312"/>
          <w:szCs w:val="32"/>
        </w:rPr>
        <w:t>组合式外固定支架可根据使用部位由闭合环、开放环、环针夹、环杆（管）夹、直形杆（管）等组成。组合式外固定支架按照构成型式可分为棒结构型、环结构型、半环型等多种型式，每种型式按照使用部位又可分为多种型号。</w:t>
      </w:r>
    </w:p>
    <w:p w14:paraId="1A621CFF">
      <w:pPr>
        <w:spacing w:line="520" w:lineRule="exact"/>
        <w:ind w:firstLine="640" w:firstLineChars="200"/>
        <w:jc w:val="left"/>
        <w:rPr>
          <w:rFonts w:eastAsia="仿宋_GB2312"/>
          <w:szCs w:val="32"/>
        </w:rPr>
      </w:pPr>
      <w:r>
        <w:rPr>
          <w:rFonts w:eastAsia="仿宋_GB2312"/>
          <w:szCs w:val="32"/>
        </w:rPr>
        <w:t>2.2典型产品结构示意图举例</w:t>
      </w:r>
    </w:p>
    <w:p w14:paraId="54A5F82B">
      <w:pPr>
        <w:spacing w:line="520" w:lineRule="exact"/>
        <w:ind w:firstLine="640" w:firstLineChars="200"/>
        <w:jc w:val="left"/>
        <w:rPr>
          <w:rFonts w:eastAsia="仿宋_GB2312"/>
          <w:szCs w:val="32"/>
        </w:rPr>
      </w:pPr>
      <w:r>
        <w:rPr>
          <w:rFonts w:eastAsia="仿宋_GB2312"/>
          <w:szCs w:val="32"/>
        </w:rPr>
        <w:t>图1-4为一体式外固定支架的典型结构示意图，图5-8为组合式外固定支架的典型结构示意图，其中结构示意图中的各组件名称不同注册申请人的可能有所不同。</w:t>
      </w:r>
    </w:p>
    <w:p w14:paraId="2779EAB4">
      <w:pPr>
        <w:spacing w:line="600" w:lineRule="exact"/>
        <w:ind w:firstLine="156" w:firstLineChars="49"/>
        <w:rPr>
          <w:rFonts w:eastAsia="仿宋"/>
          <w:bCs/>
          <w:szCs w:val="32"/>
        </w:rPr>
      </w:pPr>
    </w:p>
    <w:p w14:paraId="36BE06AC">
      <w:pPr>
        <w:spacing w:line="600" w:lineRule="exact"/>
        <w:rPr>
          <w:rFonts w:eastAsia="仿宋"/>
          <w:bCs/>
          <w:szCs w:val="32"/>
        </w:rPr>
      </w:pPr>
      <w:r>
        <w:drawing>
          <wp:anchor distT="0" distB="0" distL="114300" distR="114300" simplePos="0" relativeHeight="251661312" behindDoc="0" locked="0" layoutInCell="1" allowOverlap="1">
            <wp:simplePos x="0" y="0"/>
            <wp:positionH relativeFrom="margin">
              <wp:posOffset>1388110</wp:posOffset>
            </wp:positionH>
            <wp:positionV relativeFrom="page">
              <wp:posOffset>1968500</wp:posOffset>
            </wp:positionV>
            <wp:extent cx="2515235" cy="1054100"/>
            <wp:effectExtent l="0" t="0" r="18415" b="12700"/>
            <wp:wrapNone/>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6"/>
                    <a:srcRect l="20761" t="39214" r="48087" b="29926"/>
                    <a:stretch>
                      <a:fillRect/>
                    </a:stretch>
                  </pic:blipFill>
                  <pic:spPr>
                    <a:xfrm>
                      <a:off x="0" y="0"/>
                      <a:ext cx="2515235" cy="1054100"/>
                    </a:xfrm>
                    <a:prstGeom prst="rect">
                      <a:avLst/>
                    </a:prstGeom>
                    <a:noFill/>
                    <a:ln>
                      <a:noFill/>
                    </a:ln>
                  </pic:spPr>
                </pic:pic>
              </a:graphicData>
            </a:graphic>
          </wp:anchor>
        </w:drawing>
      </w:r>
    </w:p>
    <w:p w14:paraId="42773C91">
      <w:pPr>
        <w:spacing w:line="600" w:lineRule="exact"/>
        <w:rPr>
          <w:rFonts w:eastAsia="仿宋"/>
          <w:bCs/>
          <w:szCs w:val="32"/>
        </w:rPr>
      </w:pPr>
    </w:p>
    <w:p w14:paraId="5FA5560A">
      <w:pPr>
        <w:spacing w:line="600" w:lineRule="exact"/>
        <w:rPr>
          <w:rFonts w:eastAsia="仿宋"/>
          <w:bCs/>
          <w:szCs w:val="32"/>
        </w:rPr>
      </w:pPr>
    </w:p>
    <w:p w14:paraId="4DB77DC4">
      <w:pPr>
        <w:spacing w:line="600" w:lineRule="exact"/>
        <w:jc w:val="center"/>
        <w:rPr>
          <w:bCs/>
          <w:color w:val="000000"/>
          <w:sz w:val="28"/>
          <w:szCs w:val="28"/>
        </w:rPr>
      </w:pPr>
      <w:r>
        <w:rPr>
          <w:bCs/>
          <w:sz w:val="28"/>
          <w:szCs w:val="28"/>
        </w:rPr>
        <w:t>1-竖（横</w:t>
      </w:r>
      <w:r>
        <w:rPr>
          <w:bCs/>
          <w:color w:val="000000"/>
          <w:sz w:val="28"/>
          <w:szCs w:val="28"/>
        </w:rPr>
        <w:t>）针夹  2-伸缩体    3-撑开架</w:t>
      </w:r>
    </w:p>
    <w:p w14:paraId="2E3962A1">
      <w:pPr>
        <w:spacing w:line="600" w:lineRule="exact"/>
        <w:jc w:val="center"/>
        <w:rPr>
          <w:rFonts w:eastAsia="仿宋"/>
          <w:bCs/>
          <w:color w:val="000000"/>
          <w:szCs w:val="32"/>
        </w:rPr>
      </w:pPr>
      <w:r>
        <w:rPr>
          <w:bCs/>
          <w:color w:val="000000"/>
          <w:sz w:val="28"/>
          <w:szCs w:val="28"/>
        </w:rPr>
        <w:t>4-偏心轴  5-竖针夹</w:t>
      </w:r>
    </w:p>
    <w:p w14:paraId="23B7DCD0">
      <w:pPr>
        <w:spacing w:line="600" w:lineRule="exact"/>
        <w:jc w:val="center"/>
        <w:rPr>
          <w:rFonts w:eastAsia="黑体"/>
          <w:bCs/>
          <w:sz w:val="28"/>
          <w:szCs w:val="28"/>
        </w:rPr>
      </w:pPr>
      <w:r>
        <w:rPr>
          <w:rFonts w:eastAsia="黑体"/>
          <w:bCs/>
          <w:sz w:val="28"/>
          <w:szCs w:val="28"/>
        </w:rPr>
        <w:t xml:space="preserve">图1 </w:t>
      </w:r>
    </w:p>
    <w:p w14:paraId="25042977">
      <w:pPr>
        <w:spacing w:line="600" w:lineRule="exact"/>
        <w:jc w:val="center"/>
        <w:rPr>
          <w:rFonts w:eastAsia="仿宋_GB2312"/>
          <w:szCs w:val="32"/>
        </w:rPr>
      </w:pPr>
      <w:r>
        <w:drawing>
          <wp:anchor distT="0" distB="0" distL="114300" distR="114300" simplePos="0" relativeHeight="251662336" behindDoc="0" locked="0" layoutInCell="1" allowOverlap="1">
            <wp:simplePos x="0" y="0"/>
            <wp:positionH relativeFrom="margin">
              <wp:posOffset>1097915</wp:posOffset>
            </wp:positionH>
            <wp:positionV relativeFrom="page">
              <wp:posOffset>4486910</wp:posOffset>
            </wp:positionV>
            <wp:extent cx="3058795" cy="1534160"/>
            <wp:effectExtent l="0" t="0" r="0" b="8890"/>
            <wp:wrapNone/>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7"/>
                    <a:srcRect l="30696" t="13072" r="45670" b="58185"/>
                    <a:stretch>
                      <a:fillRect/>
                    </a:stretch>
                  </pic:blipFill>
                  <pic:spPr>
                    <a:xfrm>
                      <a:off x="0" y="0"/>
                      <a:ext cx="3058795" cy="1534160"/>
                    </a:xfrm>
                    <a:prstGeom prst="rect">
                      <a:avLst/>
                    </a:prstGeom>
                    <a:noFill/>
                    <a:ln>
                      <a:noFill/>
                    </a:ln>
                  </pic:spPr>
                </pic:pic>
              </a:graphicData>
            </a:graphic>
          </wp:anchor>
        </w:drawing>
      </w:r>
    </w:p>
    <w:p w14:paraId="3BA4C50B">
      <w:pPr>
        <w:spacing w:line="600" w:lineRule="exact"/>
        <w:jc w:val="center"/>
        <w:rPr>
          <w:rFonts w:eastAsia="仿宋_GB2312"/>
          <w:szCs w:val="32"/>
        </w:rPr>
      </w:pPr>
    </w:p>
    <w:p w14:paraId="1C116295">
      <w:pPr>
        <w:spacing w:line="600" w:lineRule="exact"/>
        <w:jc w:val="center"/>
        <w:rPr>
          <w:rFonts w:eastAsia="仿宋_GB2312"/>
          <w:szCs w:val="32"/>
        </w:rPr>
      </w:pPr>
    </w:p>
    <w:p w14:paraId="296C4FC0">
      <w:pPr>
        <w:spacing w:line="600" w:lineRule="exact"/>
        <w:jc w:val="center"/>
        <w:rPr>
          <w:rFonts w:eastAsia="仿宋_GB2312"/>
          <w:szCs w:val="32"/>
        </w:rPr>
      </w:pPr>
    </w:p>
    <w:p w14:paraId="1583C6D8">
      <w:pPr>
        <w:spacing w:line="600" w:lineRule="exact"/>
        <w:jc w:val="center"/>
        <w:rPr>
          <w:rFonts w:eastAsia="仿宋_GB2312"/>
          <w:szCs w:val="32"/>
        </w:rPr>
      </w:pPr>
    </w:p>
    <w:p w14:paraId="1BA20B3D">
      <w:pPr>
        <w:spacing w:line="600" w:lineRule="exact"/>
        <w:jc w:val="center"/>
        <w:rPr>
          <w:rFonts w:eastAsia="仿宋"/>
          <w:bCs/>
          <w:color w:val="000000"/>
          <w:szCs w:val="32"/>
        </w:rPr>
      </w:pPr>
      <w:r>
        <w:rPr>
          <w:bCs/>
          <w:color w:val="000000"/>
          <w:sz w:val="28"/>
          <w:szCs w:val="28"/>
        </w:rPr>
        <w:t>1-针夹    2-伸缩体    3-针夹</w:t>
      </w:r>
    </w:p>
    <w:p w14:paraId="49AA0E88">
      <w:pPr>
        <w:spacing w:line="600" w:lineRule="exact"/>
        <w:jc w:val="center"/>
        <w:rPr>
          <w:szCs w:val="32"/>
        </w:rPr>
      </w:pPr>
      <w:r>
        <w:rPr>
          <w:rFonts w:eastAsia="黑体"/>
          <w:bCs/>
          <w:sz w:val="28"/>
          <w:szCs w:val="28"/>
        </w:rPr>
        <w:t>图2</w:t>
      </w:r>
      <w:r>
        <w:rPr>
          <w:rFonts w:eastAsia="仿宋"/>
          <w:bCs/>
          <w:sz w:val="28"/>
          <w:szCs w:val="28"/>
        </w:rPr>
        <w:t xml:space="preserve"> </w:t>
      </w:r>
    </w:p>
    <w:p w14:paraId="442C7071">
      <w:pPr>
        <w:spacing w:line="600" w:lineRule="exact"/>
        <w:jc w:val="center"/>
        <w:rPr>
          <w:szCs w:val="32"/>
        </w:rPr>
      </w:pPr>
      <w:r>
        <w:drawing>
          <wp:anchor distT="0" distB="0" distL="114300" distR="114300" simplePos="0" relativeHeight="251663360" behindDoc="0" locked="0" layoutInCell="1" allowOverlap="1">
            <wp:simplePos x="0" y="0"/>
            <wp:positionH relativeFrom="margin">
              <wp:posOffset>647065</wp:posOffset>
            </wp:positionH>
            <wp:positionV relativeFrom="page">
              <wp:posOffset>7014845</wp:posOffset>
            </wp:positionV>
            <wp:extent cx="3852545" cy="1447800"/>
            <wp:effectExtent l="0" t="0" r="0" b="0"/>
            <wp:wrapNone/>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8"/>
                    <a:srcRect l="34395" t="9662" r="24878" b="53993"/>
                    <a:stretch>
                      <a:fillRect/>
                    </a:stretch>
                  </pic:blipFill>
                  <pic:spPr>
                    <a:xfrm>
                      <a:off x="0" y="0"/>
                      <a:ext cx="3852545" cy="1447800"/>
                    </a:xfrm>
                    <a:prstGeom prst="rect">
                      <a:avLst/>
                    </a:prstGeom>
                    <a:noFill/>
                    <a:ln>
                      <a:noFill/>
                    </a:ln>
                  </pic:spPr>
                </pic:pic>
              </a:graphicData>
            </a:graphic>
          </wp:anchor>
        </w:drawing>
      </w:r>
    </w:p>
    <w:p w14:paraId="172B4EA9">
      <w:pPr>
        <w:spacing w:line="600" w:lineRule="exact"/>
        <w:jc w:val="center"/>
        <w:rPr>
          <w:szCs w:val="32"/>
        </w:rPr>
      </w:pPr>
    </w:p>
    <w:p w14:paraId="27432851">
      <w:pPr>
        <w:spacing w:line="600" w:lineRule="exact"/>
        <w:jc w:val="center"/>
        <w:rPr>
          <w:szCs w:val="32"/>
        </w:rPr>
      </w:pPr>
    </w:p>
    <w:p w14:paraId="35356CFE">
      <w:pPr>
        <w:spacing w:line="600" w:lineRule="exact"/>
        <w:jc w:val="center"/>
        <w:rPr>
          <w:szCs w:val="32"/>
        </w:rPr>
      </w:pPr>
    </w:p>
    <w:p w14:paraId="5EC00284">
      <w:pPr>
        <w:spacing w:line="600" w:lineRule="exact"/>
        <w:jc w:val="center"/>
        <w:rPr>
          <w:bCs/>
          <w:color w:val="000000"/>
          <w:sz w:val="28"/>
          <w:szCs w:val="28"/>
        </w:rPr>
      </w:pPr>
      <w:r>
        <w:rPr>
          <w:bCs/>
          <w:color w:val="000000"/>
          <w:sz w:val="28"/>
          <w:szCs w:val="28"/>
        </w:rPr>
        <w:t xml:space="preserve">1-竖针夹   2-伸缩体   3-撑开架   </w:t>
      </w:r>
    </w:p>
    <w:p w14:paraId="5D1298D3">
      <w:pPr>
        <w:spacing w:line="600" w:lineRule="exact"/>
        <w:jc w:val="center"/>
        <w:rPr>
          <w:rFonts w:eastAsia="仿宋"/>
          <w:bCs/>
          <w:color w:val="000000"/>
          <w:szCs w:val="32"/>
        </w:rPr>
      </w:pPr>
      <w:r>
        <w:rPr>
          <w:bCs/>
          <w:color w:val="000000"/>
          <w:sz w:val="28"/>
          <w:szCs w:val="28"/>
        </w:rPr>
        <w:t>4-竖针夹   5-偏心轴</w:t>
      </w:r>
    </w:p>
    <w:p w14:paraId="71796C59">
      <w:pPr>
        <w:spacing w:line="600" w:lineRule="exact"/>
        <w:jc w:val="center"/>
        <w:rPr>
          <w:szCs w:val="32"/>
        </w:rPr>
      </w:pPr>
      <w:r>
        <w:rPr>
          <w:rFonts w:eastAsia="黑体"/>
          <w:bCs/>
          <w:sz w:val="28"/>
          <w:szCs w:val="28"/>
        </w:rPr>
        <w:t>图3</w:t>
      </w:r>
      <w:r>
        <w:rPr>
          <w:rFonts w:eastAsia="仿宋"/>
          <w:bCs/>
          <w:sz w:val="28"/>
          <w:szCs w:val="28"/>
        </w:rPr>
        <w:t xml:space="preserve"> </w:t>
      </w:r>
    </w:p>
    <w:p w14:paraId="062E7118">
      <w:pPr>
        <w:spacing w:line="600" w:lineRule="exact"/>
        <w:rPr>
          <w:szCs w:val="32"/>
        </w:rPr>
      </w:pPr>
      <w:r>
        <w:drawing>
          <wp:anchor distT="0" distB="0" distL="114300" distR="114300" simplePos="0" relativeHeight="251664384" behindDoc="0" locked="0" layoutInCell="1" allowOverlap="1">
            <wp:simplePos x="0" y="0"/>
            <wp:positionH relativeFrom="margin">
              <wp:posOffset>1289050</wp:posOffset>
            </wp:positionH>
            <wp:positionV relativeFrom="page">
              <wp:posOffset>1198245</wp:posOffset>
            </wp:positionV>
            <wp:extent cx="2991485" cy="1220470"/>
            <wp:effectExtent l="0" t="0" r="0" b="17780"/>
            <wp:wrapNone/>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9"/>
                    <a:srcRect l="52441" t="22450" r="21954" b="52429"/>
                    <a:stretch>
                      <a:fillRect/>
                    </a:stretch>
                  </pic:blipFill>
                  <pic:spPr>
                    <a:xfrm>
                      <a:off x="0" y="0"/>
                      <a:ext cx="2991485" cy="1220470"/>
                    </a:xfrm>
                    <a:prstGeom prst="rect">
                      <a:avLst/>
                    </a:prstGeom>
                    <a:noFill/>
                    <a:ln>
                      <a:noFill/>
                    </a:ln>
                  </pic:spPr>
                </pic:pic>
              </a:graphicData>
            </a:graphic>
          </wp:anchor>
        </w:drawing>
      </w:r>
    </w:p>
    <w:p w14:paraId="07BB7361">
      <w:pPr>
        <w:spacing w:line="600" w:lineRule="exact"/>
        <w:rPr>
          <w:szCs w:val="32"/>
        </w:rPr>
      </w:pPr>
    </w:p>
    <w:p w14:paraId="7FC95A38">
      <w:pPr>
        <w:spacing w:line="600" w:lineRule="exact"/>
        <w:rPr>
          <w:szCs w:val="32"/>
        </w:rPr>
      </w:pPr>
    </w:p>
    <w:p w14:paraId="69D9C57D">
      <w:pPr>
        <w:spacing w:line="600" w:lineRule="exact"/>
        <w:jc w:val="center"/>
        <w:rPr>
          <w:szCs w:val="32"/>
        </w:rPr>
      </w:pPr>
    </w:p>
    <w:p w14:paraId="5813B0E8">
      <w:pPr>
        <w:spacing w:line="600" w:lineRule="exact"/>
        <w:jc w:val="center"/>
        <w:rPr>
          <w:bCs/>
          <w:color w:val="000000"/>
          <w:sz w:val="28"/>
          <w:szCs w:val="28"/>
        </w:rPr>
      </w:pPr>
      <w:r>
        <w:rPr>
          <w:bCs/>
          <w:color w:val="000000"/>
          <w:sz w:val="28"/>
          <w:szCs w:val="28"/>
        </w:rPr>
        <w:t xml:space="preserve">1-横（竖）针夹    2-偏心轴    3-撑开架    </w:t>
      </w:r>
    </w:p>
    <w:p w14:paraId="10DA7F83">
      <w:pPr>
        <w:spacing w:line="600" w:lineRule="exact"/>
        <w:jc w:val="center"/>
        <w:rPr>
          <w:bCs/>
          <w:color w:val="000000"/>
          <w:sz w:val="28"/>
          <w:szCs w:val="28"/>
        </w:rPr>
      </w:pPr>
      <w:r>
        <w:rPr>
          <w:bCs/>
          <w:color w:val="000000"/>
          <w:sz w:val="28"/>
          <w:szCs w:val="28"/>
        </w:rPr>
        <w:t>4-伸缩体    5-竖针夹</w:t>
      </w:r>
    </w:p>
    <w:p w14:paraId="70889C72">
      <w:pPr>
        <w:spacing w:line="600" w:lineRule="exact"/>
        <w:jc w:val="center"/>
        <w:rPr>
          <w:rFonts w:eastAsia="仿宋"/>
          <w:bCs/>
          <w:sz w:val="28"/>
          <w:szCs w:val="32"/>
        </w:rPr>
      </w:pPr>
      <w:r>
        <w:rPr>
          <w:rFonts w:eastAsia="黑体"/>
          <w:bCs/>
          <w:sz w:val="28"/>
          <w:szCs w:val="28"/>
        </w:rPr>
        <w:t>图4</w:t>
      </w:r>
      <w:r>
        <w:rPr>
          <w:rFonts w:eastAsia="仿宋"/>
          <w:bCs/>
          <w:sz w:val="28"/>
          <w:szCs w:val="32"/>
        </w:rPr>
        <w:t xml:space="preserve"> </w:t>
      </w:r>
    </w:p>
    <w:p w14:paraId="2D677A66">
      <w:pPr>
        <w:spacing w:line="600" w:lineRule="exact"/>
        <w:jc w:val="center"/>
        <w:rPr>
          <w:rFonts w:eastAsia="仿宋"/>
          <w:bCs/>
          <w:szCs w:val="32"/>
        </w:rPr>
      </w:pPr>
      <w:r>
        <w:drawing>
          <wp:anchor distT="0" distB="0" distL="114300" distR="114300" simplePos="0" relativeHeight="251665408" behindDoc="0" locked="0" layoutInCell="1" allowOverlap="1">
            <wp:simplePos x="0" y="0"/>
            <wp:positionH relativeFrom="margin">
              <wp:posOffset>1539240</wp:posOffset>
            </wp:positionH>
            <wp:positionV relativeFrom="page">
              <wp:posOffset>3629660</wp:posOffset>
            </wp:positionV>
            <wp:extent cx="2150110" cy="1923415"/>
            <wp:effectExtent l="0" t="0" r="0" b="635"/>
            <wp:wrapNone/>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0"/>
                    <a:srcRect l="36423" t="14209" r="48712" b="53922"/>
                    <a:stretch>
                      <a:fillRect/>
                    </a:stretch>
                  </pic:blipFill>
                  <pic:spPr>
                    <a:xfrm>
                      <a:off x="0" y="0"/>
                      <a:ext cx="2150110" cy="1923415"/>
                    </a:xfrm>
                    <a:prstGeom prst="rect">
                      <a:avLst/>
                    </a:prstGeom>
                    <a:noFill/>
                    <a:ln>
                      <a:noFill/>
                    </a:ln>
                  </pic:spPr>
                </pic:pic>
              </a:graphicData>
            </a:graphic>
          </wp:anchor>
        </w:drawing>
      </w:r>
    </w:p>
    <w:p w14:paraId="695EEB5F">
      <w:pPr>
        <w:spacing w:line="600" w:lineRule="exact"/>
        <w:jc w:val="center"/>
        <w:rPr>
          <w:rFonts w:eastAsia="仿宋"/>
          <w:bCs/>
          <w:szCs w:val="32"/>
        </w:rPr>
      </w:pPr>
    </w:p>
    <w:p w14:paraId="118F2A5F">
      <w:pPr>
        <w:spacing w:line="600" w:lineRule="exact"/>
        <w:jc w:val="center"/>
        <w:rPr>
          <w:rFonts w:eastAsia="仿宋"/>
          <w:bCs/>
          <w:szCs w:val="32"/>
        </w:rPr>
      </w:pPr>
    </w:p>
    <w:p w14:paraId="57F8F7C1">
      <w:pPr>
        <w:spacing w:line="600" w:lineRule="exact"/>
        <w:jc w:val="center"/>
        <w:rPr>
          <w:rFonts w:eastAsia="仿宋"/>
          <w:bCs/>
          <w:szCs w:val="32"/>
        </w:rPr>
      </w:pPr>
    </w:p>
    <w:p w14:paraId="733D84CF">
      <w:pPr>
        <w:spacing w:line="600" w:lineRule="exact"/>
        <w:jc w:val="center"/>
        <w:rPr>
          <w:rFonts w:eastAsia="仿宋"/>
          <w:bCs/>
          <w:szCs w:val="32"/>
        </w:rPr>
      </w:pPr>
    </w:p>
    <w:p w14:paraId="22EA6EE1">
      <w:pPr>
        <w:spacing w:line="600" w:lineRule="exact"/>
        <w:jc w:val="center"/>
        <w:rPr>
          <w:bCs/>
          <w:sz w:val="28"/>
          <w:szCs w:val="32"/>
        </w:rPr>
      </w:pPr>
      <w:r>
        <w:rPr>
          <w:bCs/>
          <w:sz w:val="28"/>
          <w:szCs w:val="32"/>
        </w:rPr>
        <w:t xml:space="preserve">1-棒针夹钳  2-球头杆  3-偏心轴  </w:t>
      </w:r>
    </w:p>
    <w:p w14:paraId="1A381E25">
      <w:pPr>
        <w:spacing w:line="600" w:lineRule="exact"/>
        <w:jc w:val="center"/>
        <w:rPr>
          <w:rFonts w:eastAsia="仿宋"/>
          <w:bCs/>
          <w:szCs w:val="32"/>
        </w:rPr>
      </w:pPr>
      <w:r>
        <w:rPr>
          <w:bCs/>
          <w:sz w:val="28"/>
          <w:szCs w:val="32"/>
        </w:rPr>
        <w:t>4-偏心环架  5-环架  6-连接装置</w:t>
      </w:r>
    </w:p>
    <w:p w14:paraId="2C17B52F">
      <w:pPr>
        <w:spacing w:line="600" w:lineRule="exact"/>
        <w:jc w:val="center"/>
        <w:rPr>
          <w:rFonts w:eastAsia="黑体"/>
          <w:bCs/>
          <w:sz w:val="28"/>
          <w:szCs w:val="28"/>
        </w:rPr>
      </w:pPr>
      <w:r>
        <w:rPr>
          <w:rFonts w:eastAsia="黑体"/>
          <w:bCs/>
          <w:sz w:val="28"/>
          <w:szCs w:val="28"/>
        </w:rPr>
        <w:t>图5</w:t>
      </w:r>
    </w:p>
    <w:p w14:paraId="2BF3B732">
      <w:pPr>
        <w:spacing w:line="600" w:lineRule="exact"/>
        <w:jc w:val="center"/>
        <w:rPr>
          <w:rFonts w:eastAsia="仿宋"/>
          <w:bCs/>
          <w:sz w:val="28"/>
          <w:szCs w:val="28"/>
        </w:rPr>
      </w:pPr>
      <w:r>
        <w:drawing>
          <wp:anchor distT="0" distB="0" distL="114300" distR="114300" simplePos="0" relativeHeight="251666432" behindDoc="0" locked="0" layoutInCell="1" allowOverlap="1">
            <wp:simplePos x="0" y="0"/>
            <wp:positionH relativeFrom="margin">
              <wp:posOffset>1037590</wp:posOffset>
            </wp:positionH>
            <wp:positionV relativeFrom="page">
              <wp:posOffset>6805930</wp:posOffset>
            </wp:positionV>
            <wp:extent cx="3060700" cy="1562100"/>
            <wp:effectExtent l="0" t="0" r="0" b="0"/>
            <wp:wrapNone/>
            <wp:docPr id="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pic:cNvPicPr>
                      <a:picLocks noChangeAspect="1"/>
                    </pic:cNvPicPr>
                  </pic:nvPicPr>
                  <pic:blipFill>
                    <a:blip r:embed="rId11"/>
                    <a:srcRect l="40689" t="26428" r="26251" b="33319"/>
                    <a:stretch>
                      <a:fillRect/>
                    </a:stretch>
                  </pic:blipFill>
                  <pic:spPr>
                    <a:xfrm>
                      <a:off x="0" y="0"/>
                      <a:ext cx="3060700" cy="1562100"/>
                    </a:xfrm>
                    <a:prstGeom prst="rect">
                      <a:avLst/>
                    </a:prstGeom>
                    <a:noFill/>
                    <a:ln>
                      <a:noFill/>
                    </a:ln>
                  </pic:spPr>
                </pic:pic>
              </a:graphicData>
            </a:graphic>
          </wp:anchor>
        </w:drawing>
      </w:r>
    </w:p>
    <w:p w14:paraId="378DA75E">
      <w:pPr>
        <w:spacing w:line="600" w:lineRule="exact"/>
        <w:jc w:val="center"/>
        <w:rPr>
          <w:rFonts w:eastAsia="仿宋"/>
          <w:bCs/>
          <w:sz w:val="28"/>
          <w:szCs w:val="28"/>
        </w:rPr>
      </w:pPr>
    </w:p>
    <w:p w14:paraId="5D598DCB">
      <w:pPr>
        <w:spacing w:line="600" w:lineRule="exact"/>
        <w:jc w:val="center"/>
        <w:rPr>
          <w:rFonts w:eastAsia="仿宋"/>
          <w:bCs/>
          <w:sz w:val="28"/>
          <w:szCs w:val="28"/>
        </w:rPr>
      </w:pPr>
    </w:p>
    <w:p w14:paraId="681055B3">
      <w:pPr>
        <w:spacing w:line="600" w:lineRule="exact"/>
        <w:jc w:val="center"/>
        <w:rPr>
          <w:rFonts w:eastAsia="仿宋"/>
          <w:bCs/>
          <w:sz w:val="28"/>
          <w:szCs w:val="28"/>
        </w:rPr>
      </w:pPr>
    </w:p>
    <w:p w14:paraId="7E88C658">
      <w:pPr>
        <w:spacing w:line="600" w:lineRule="exact"/>
        <w:jc w:val="center"/>
        <w:rPr>
          <w:rFonts w:eastAsia="仿宋"/>
          <w:bCs/>
          <w:sz w:val="28"/>
          <w:szCs w:val="28"/>
        </w:rPr>
      </w:pPr>
    </w:p>
    <w:p w14:paraId="6C1C1950">
      <w:pPr>
        <w:spacing w:line="480" w:lineRule="exact"/>
        <w:jc w:val="center"/>
        <w:rPr>
          <w:bCs/>
          <w:color w:val="000000"/>
          <w:sz w:val="28"/>
          <w:szCs w:val="28"/>
        </w:rPr>
      </w:pPr>
      <w:r>
        <w:rPr>
          <w:bCs/>
          <w:color w:val="000000"/>
          <w:sz w:val="28"/>
          <w:szCs w:val="28"/>
        </w:rPr>
        <w:t>1-环架   2-直形针夹3-双头连接杆</w:t>
      </w:r>
    </w:p>
    <w:p w14:paraId="0318A1FA">
      <w:pPr>
        <w:spacing w:line="480" w:lineRule="exact"/>
        <w:jc w:val="center"/>
        <w:rPr>
          <w:rFonts w:eastAsia="仿宋"/>
          <w:bCs/>
          <w:color w:val="000000"/>
          <w:szCs w:val="32"/>
        </w:rPr>
      </w:pPr>
      <w:r>
        <w:rPr>
          <w:bCs/>
          <w:color w:val="000000"/>
          <w:sz w:val="28"/>
          <w:szCs w:val="28"/>
        </w:rPr>
        <w:t>4-偏心轴  5-螺纹针夹  6-环架  7-丝杠</w:t>
      </w:r>
    </w:p>
    <w:p w14:paraId="5D3C26A3">
      <w:pPr>
        <w:spacing w:line="600" w:lineRule="exact"/>
        <w:jc w:val="center"/>
        <w:rPr>
          <w:rFonts w:eastAsia="仿宋"/>
          <w:bCs/>
          <w:sz w:val="28"/>
          <w:szCs w:val="32"/>
        </w:rPr>
      </w:pPr>
      <w:r>
        <w:rPr>
          <w:rFonts w:eastAsia="黑体"/>
          <w:bCs/>
          <w:sz w:val="28"/>
          <w:szCs w:val="28"/>
        </w:rPr>
        <w:t>图6</w:t>
      </w:r>
      <w:r>
        <w:rPr>
          <w:rFonts w:eastAsia="仿宋"/>
          <w:bCs/>
          <w:sz w:val="28"/>
          <w:szCs w:val="32"/>
        </w:rPr>
        <w:t xml:space="preserve"> </w:t>
      </w:r>
    </w:p>
    <w:p w14:paraId="5C460F90">
      <w:pPr>
        <w:spacing w:line="600" w:lineRule="exact"/>
        <w:jc w:val="center"/>
        <w:rPr>
          <w:rFonts w:eastAsia="仿宋"/>
          <w:bCs/>
          <w:sz w:val="28"/>
          <w:szCs w:val="32"/>
        </w:rPr>
      </w:pPr>
      <w:r>
        <w:drawing>
          <wp:anchor distT="0" distB="0" distL="114300" distR="114300" simplePos="0" relativeHeight="251667456" behindDoc="0" locked="0" layoutInCell="1" allowOverlap="1">
            <wp:simplePos x="0" y="0"/>
            <wp:positionH relativeFrom="page">
              <wp:posOffset>1305560</wp:posOffset>
            </wp:positionH>
            <wp:positionV relativeFrom="page">
              <wp:posOffset>1227455</wp:posOffset>
            </wp:positionV>
            <wp:extent cx="2742565" cy="1110615"/>
            <wp:effectExtent l="0" t="0" r="0" b="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a:srcRect l="12469" t="16908" r="25266" b="22662"/>
                    <a:stretch>
                      <a:fillRect/>
                    </a:stretch>
                  </pic:blipFill>
                  <pic:spPr>
                    <a:xfrm>
                      <a:off x="0" y="0"/>
                      <a:ext cx="2742565" cy="1110615"/>
                    </a:xfrm>
                    <a:prstGeom prst="rect">
                      <a:avLst/>
                    </a:prstGeom>
                    <a:noFill/>
                    <a:ln>
                      <a:noFill/>
                    </a:ln>
                  </pic:spPr>
                </pic:pic>
              </a:graphicData>
            </a:graphic>
          </wp:anchor>
        </w:drawing>
      </w:r>
      <w:r>
        <w:drawing>
          <wp:anchor distT="0" distB="0" distL="114300" distR="114300" simplePos="0" relativeHeight="251668480" behindDoc="0" locked="0" layoutInCell="1" allowOverlap="1">
            <wp:simplePos x="0" y="0"/>
            <wp:positionH relativeFrom="page">
              <wp:posOffset>4128770</wp:posOffset>
            </wp:positionH>
            <wp:positionV relativeFrom="page">
              <wp:posOffset>1027430</wp:posOffset>
            </wp:positionV>
            <wp:extent cx="2139950" cy="1370965"/>
            <wp:effectExtent l="0" t="0" r="0" b="0"/>
            <wp:wrapNone/>
            <wp:docPr id="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
                    <pic:cNvPicPr>
                      <a:picLocks noChangeAspect="1"/>
                    </pic:cNvPicPr>
                  </pic:nvPicPr>
                  <pic:blipFill>
                    <a:blip r:embed="rId13"/>
                    <a:srcRect l="27592" t="18045" r="42299" b="36588"/>
                    <a:stretch>
                      <a:fillRect/>
                    </a:stretch>
                  </pic:blipFill>
                  <pic:spPr>
                    <a:xfrm>
                      <a:off x="0" y="0"/>
                      <a:ext cx="2139950" cy="1370965"/>
                    </a:xfrm>
                    <a:prstGeom prst="rect">
                      <a:avLst/>
                    </a:prstGeom>
                    <a:noFill/>
                    <a:ln>
                      <a:noFill/>
                    </a:ln>
                  </pic:spPr>
                </pic:pic>
              </a:graphicData>
            </a:graphic>
          </wp:anchor>
        </w:drawing>
      </w:r>
    </w:p>
    <w:p w14:paraId="78504CE7">
      <w:pPr>
        <w:spacing w:line="600" w:lineRule="exact"/>
        <w:jc w:val="center"/>
        <w:rPr>
          <w:rFonts w:eastAsia="仿宋"/>
          <w:bCs/>
          <w:sz w:val="28"/>
          <w:szCs w:val="32"/>
        </w:rPr>
      </w:pPr>
    </w:p>
    <w:p w14:paraId="3EA0F127">
      <w:pPr>
        <w:spacing w:line="600" w:lineRule="exact"/>
        <w:jc w:val="center"/>
        <w:rPr>
          <w:rFonts w:eastAsia="仿宋"/>
          <w:bCs/>
          <w:sz w:val="28"/>
          <w:szCs w:val="32"/>
        </w:rPr>
      </w:pPr>
    </w:p>
    <w:p w14:paraId="75093730">
      <w:pPr>
        <w:spacing w:line="600" w:lineRule="exact"/>
        <w:jc w:val="center"/>
        <w:rPr>
          <w:szCs w:val="32"/>
        </w:rPr>
      </w:pPr>
    </w:p>
    <w:p w14:paraId="6012AB4E">
      <w:pPr>
        <w:numPr>
          <w:ilvl w:val="0"/>
          <w:numId w:val="1"/>
        </w:numPr>
        <w:spacing w:line="480" w:lineRule="exact"/>
        <w:jc w:val="center"/>
        <w:rPr>
          <w:bCs/>
          <w:sz w:val="28"/>
          <w:szCs w:val="28"/>
        </w:rPr>
      </w:pPr>
      <w:r>
        <w:rPr>
          <w:bCs/>
          <w:sz w:val="28"/>
          <w:szCs w:val="28"/>
        </w:rPr>
        <w:t>棒针夹钳2   2-棒棒夹钳4   3-连接棒</w:t>
      </w:r>
    </w:p>
    <w:p w14:paraId="7622F366">
      <w:pPr>
        <w:spacing w:line="600" w:lineRule="exact"/>
        <w:jc w:val="center"/>
        <w:rPr>
          <w:rFonts w:eastAsia="黑体"/>
          <w:bCs/>
          <w:sz w:val="28"/>
          <w:szCs w:val="28"/>
        </w:rPr>
      </w:pPr>
      <w:r>
        <w:rPr>
          <w:rFonts w:eastAsia="黑体"/>
          <w:bCs/>
          <w:sz w:val="28"/>
          <w:szCs w:val="28"/>
        </w:rPr>
        <w:t>图7</w:t>
      </w:r>
    </w:p>
    <w:p w14:paraId="1484C82F">
      <w:pPr>
        <w:spacing w:line="600" w:lineRule="exact"/>
        <w:jc w:val="left"/>
        <w:rPr>
          <w:bCs/>
          <w:color w:val="000000"/>
          <w:sz w:val="28"/>
          <w:szCs w:val="32"/>
        </w:rPr>
      </w:pPr>
      <w:r>
        <w:rPr>
          <w:szCs w:val="32"/>
        </w:rPr>
        <mc:AlternateContent>
          <mc:Choice Requires="wps">
            <w:drawing>
              <wp:anchor distT="0" distB="0" distL="114300" distR="114300" simplePos="0" relativeHeight="251660288" behindDoc="0" locked="0" layoutInCell="1" allowOverlap="1">
                <wp:simplePos x="0" y="0"/>
                <wp:positionH relativeFrom="column">
                  <wp:posOffset>1270635</wp:posOffset>
                </wp:positionH>
                <wp:positionV relativeFrom="paragraph">
                  <wp:posOffset>109855</wp:posOffset>
                </wp:positionV>
                <wp:extent cx="4157980" cy="2251710"/>
                <wp:effectExtent l="4445" t="4445" r="9525" b="10795"/>
                <wp:wrapNone/>
                <wp:docPr id="10" name="文本框 2"/>
                <wp:cNvGraphicFramePr/>
                <a:graphic xmlns:a="http://schemas.openxmlformats.org/drawingml/2006/main">
                  <a:graphicData uri="http://schemas.microsoft.com/office/word/2010/wordprocessingShape">
                    <wps:wsp>
                      <wps:cNvSpPr txBox="1"/>
                      <wps:spPr>
                        <a:xfrm>
                          <a:off x="0" y="0"/>
                          <a:ext cx="4157980" cy="225171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478B433E">
                            <w:r>
                              <w:object>
                                <v:shape id="_x0000_i1025" o:spt="75" type="#_x0000_t75" style="height:156.85pt;width:312pt;" o:ole="t" filled="f" o:preferrelative="t" stroked="f" coordsize="21600,21600">
                                  <v:path/>
                                  <v:fill on="f" focussize="0,0"/>
                                  <v:stroke on="f" joinstyle="miter"/>
                                  <v:imagedata r:id="rId15" o:title=""/>
                                  <o:lock v:ext="edit" aspectratio="t"/>
                                  <w10:wrap type="none"/>
                                  <w10:anchorlock/>
                                </v:shape>
                                <o:OLEObject Type="Embed" ProgID="AutoCAD.Drawing.17" ShapeID="_x0000_i1025" DrawAspect="Content" ObjectID="_1468075725" r:id="rId14">
                                  <o:LockedField>false</o:LockedField>
                                </o:OLEObject>
                              </w:object>
                            </w:r>
                          </w:p>
                        </w:txbxContent>
                      </wps:txbx>
                      <wps:bodyPr wrap="none" upright="1"/>
                    </wps:wsp>
                  </a:graphicData>
                </a:graphic>
              </wp:anchor>
            </w:drawing>
          </mc:Choice>
          <mc:Fallback>
            <w:pict>
              <v:shape id="文本框 2" o:spid="_x0000_s1026" o:spt="202" type="#_x0000_t202" style="position:absolute;left:0pt;margin-left:100.05pt;margin-top:8.65pt;height:177.3pt;width:327.4pt;mso-wrap-style:none;z-index:251660288;mso-width-relative:page;mso-height-relative:page;" fillcolor="#FFFFFF" filled="t" stroked="t" coordsize="21600,21600" o:gfxdata="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Ku03F2QAAAAoBAAAPAAAAAAAAAAEAIAAA&#10;ACIAAABkcnMvZG93bnJldi54bWxQSwECFAAUAAAACACHTuJAYQqDEQsCAABEBAAADgAAAAAAAAAB&#10;ACAAAAAoAQAAZHJzL2Uyb0RvYy54bWxQSwUGAAAAAAYABgBZAQAApQUAAAAA&#10;">
                <v:fill on="t" focussize="0,0"/>
                <v:stroke color="#FFFFFF" joinstyle="miter"/>
                <v:imagedata o:title=""/>
                <o:lock v:ext="edit" aspectratio="f"/>
                <v:textbox>
                  <w:txbxContent>
                    <w:p w14:paraId="478B433E">
                      <w:r>
                        <w:object>
                          <v:shape id="_x0000_i1025" o:spt="75" type="#_x0000_t75" style="height:156.85pt;width:312pt;" o:ole="t" filled="f" o:preferrelative="t" stroked="f" coordsize="21600,21600">
                            <v:path/>
                            <v:fill on="f" focussize="0,0"/>
                            <v:stroke on="f" joinstyle="miter"/>
                            <v:imagedata r:id="rId15" o:title=""/>
                            <o:lock v:ext="edit" aspectratio="t"/>
                            <w10:wrap type="none"/>
                            <w10:anchorlock/>
                          </v:shape>
                          <o:OLEObject Type="Embed" ProgID="AutoCAD.Drawing.17" ShapeID="_x0000_i1025" DrawAspect="Content" ObjectID="_1468075726" r:id="rId16">
                            <o:LockedField>false</o:LockedField>
                          </o:OLEObject>
                        </w:object>
                      </w:r>
                    </w:p>
                  </w:txbxContent>
                </v:textbox>
              </v:shape>
            </w:pict>
          </mc:Fallback>
        </mc:AlternateContent>
      </w:r>
      <w:r>
        <w:rPr>
          <w:szCs w:val="32"/>
        </w:rPr>
        <w:drawing>
          <wp:anchor distT="0" distB="0" distL="114300" distR="114300" simplePos="0" relativeHeight="251659264" behindDoc="0" locked="0" layoutInCell="1" allowOverlap="1">
            <wp:simplePos x="0" y="0"/>
            <wp:positionH relativeFrom="column">
              <wp:posOffset>-589915</wp:posOffset>
            </wp:positionH>
            <wp:positionV relativeFrom="paragraph">
              <wp:posOffset>311785</wp:posOffset>
            </wp:positionV>
            <wp:extent cx="1866900" cy="1933575"/>
            <wp:effectExtent l="0" t="0" r="0" b="0"/>
            <wp:wrapTopAndBottom/>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7"/>
                    <a:srcRect l="30409" t="1784" r="46013" b="40237"/>
                    <a:stretch>
                      <a:fillRect/>
                    </a:stretch>
                  </pic:blipFill>
                  <pic:spPr>
                    <a:xfrm>
                      <a:off x="0" y="0"/>
                      <a:ext cx="1866900" cy="1933575"/>
                    </a:xfrm>
                    <a:prstGeom prst="rect">
                      <a:avLst/>
                    </a:prstGeom>
                    <a:noFill/>
                    <a:ln>
                      <a:noFill/>
                    </a:ln>
                  </pic:spPr>
                </pic:pic>
              </a:graphicData>
            </a:graphic>
          </wp:anchor>
        </w:drawing>
      </w:r>
      <w:r>
        <w:rPr>
          <w:szCs w:val="32"/>
        </w:rPr>
        <w:t xml:space="preserve">      </w:t>
      </w:r>
      <w:r>
        <w:rPr>
          <w:bCs/>
          <w:sz w:val="28"/>
          <w:szCs w:val="32"/>
        </w:rPr>
        <w:t>1-连接棒   2-棒针夹钳4   3-多边</w:t>
      </w:r>
      <w:r>
        <w:rPr>
          <w:bCs/>
          <w:color w:val="000000"/>
          <w:sz w:val="28"/>
          <w:szCs w:val="32"/>
        </w:rPr>
        <w:t>形棒   4-棒棒夹钳3</w:t>
      </w:r>
    </w:p>
    <w:p w14:paraId="03789C8C">
      <w:pPr>
        <w:spacing w:line="480" w:lineRule="exact"/>
        <w:jc w:val="center"/>
        <w:rPr>
          <w:bCs/>
          <w:color w:val="000000"/>
          <w:sz w:val="28"/>
          <w:szCs w:val="32"/>
        </w:rPr>
      </w:pPr>
      <w:r>
        <w:rPr>
          <w:bCs/>
          <w:color w:val="000000"/>
          <w:sz w:val="28"/>
          <w:szCs w:val="32"/>
        </w:rPr>
        <w:t>5-角度连接棒   6-棒针夹钳11   7-近关节针夹</w:t>
      </w:r>
    </w:p>
    <w:p w14:paraId="5EBE2305">
      <w:pPr>
        <w:spacing w:line="600" w:lineRule="exact"/>
        <w:jc w:val="center"/>
        <w:rPr>
          <w:rFonts w:eastAsia="黑体"/>
          <w:bCs/>
          <w:sz w:val="28"/>
          <w:szCs w:val="28"/>
        </w:rPr>
      </w:pPr>
      <w:r>
        <w:rPr>
          <w:rFonts w:eastAsia="黑体"/>
          <w:bCs/>
          <w:sz w:val="28"/>
          <w:szCs w:val="28"/>
        </w:rPr>
        <w:t xml:space="preserve">图8 </w:t>
      </w:r>
    </w:p>
    <w:p w14:paraId="37F653FC">
      <w:pPr>
        <w:spacing w:line="520" w:lineRule="exact"/>
        <w:ind w:firstLine="640" w:firstLineChars="200"/>
        <w:jc w:val="left"/>
        <w:rPr>
          <w:rFonts w:eastAsia="仿宋_GB2312"/>
          <w:szCs w:val="32"/>
        </w:rPr>
      </w:pPr>
      <w:r>
        <w:rPr>
          <w:rFonts w:eastAsia="仿宋_GB2312"/>
          <w:szCs w:val="32"/>
        </w:rPr>
        <w:t>2.3产品材料</w:t>
      </w:r>
    </w:p>
    <w:p w14:paraId="7EF27788">
      <w:pPr>
        <w:spacing w:line="520" w:lineRule="exact"/>
        <w:ind w:firstLine="640" w:firstLineChars="200"/>
        <w:rPr>
          <w:rFonts w:eastAsia="仿宋_GB2312"/>
          <w:szCs w:val="32"/>
        </w:rPr>
      </w:pPr>
      <w:r>
        <w:rPr>
          <w:rFonts w:eastAsia="仿宋_GB2312"/>
          <w:szCs w:val="32"/>
        </w:rPr>
        <w:t>骨科外固定支架一般采用铝合金、不锈钢、碳纤维、钛合金、聚醚醚酮（PEEK）及增强型聚醚醚酮等材料制成。不锈钢可采用GB/T 1220、GB 4234.1、GB/T 3280或GB/T 4226标准中规定的牌号；铝合金可采用GB/T 3190或GB/T 3191标准中规定的牌号；钛合金可采用GB/T 2965、GB/T 3621或GB/T 13810标准中规定的牌号；聚醚醚酮材质可采用GB/T 41873标准中规定的牌号（注：本指导原则中标准适用最新版本，下同）；若上述材料采用其他标准，或所用材料无现行国家标准、行业标准（如碳纤维、增强型聚醚醚酮等），</w:t>
      </w:r>
      <w:r>
        <w:t>相关部件</w:t>
      </w:r>
      <w:r>
        <w:rPr>
          <w:rFonts w:eastAsia="仿宋_GB2312"/>
          <w:szCs w:val="32"/>
        </w:rPr>
        <w:t>的力学性能应符合注册申请人的产品技术要求。</w:t>
      </w:r>
    </w:p>
    <w:p w14:paraId="6BBE652A">
      <w:pPr>
        <w:spacing w:line="520" w:lineRule="exact"/>
        <w:ind w:firstLine="640" w:firstLineChars="200"/>
        <w:rPr>
          <w:rFonts w:eastAsia="仿宋_GB2312"/>
          <w:szCs w:val="32"/>
        </w:rPr>
      </w:pPr>
      <w:r>
        <w:rPr>
          <w:rFonts w:eastAsia="仿宋_GB2312"/>
          <w:szCs w:val="32"/>
        </w:rPr>
        <w:t>2.4产品工作原理/作用机理</w:t>
      </w:r>
    </w:p>
    <w:p w14:paraId="63BEB316">
      <w:pPr>
        <w:spacing w:line="520" w:lineRule="exact"/>
        <w:ind w:firstLine="640" w:firstLineChars="200"/>
        <w:jc w:val="left"/>
        <w:rPr>
          <w:rFonts w:eastAsia="仿宋_GB2312"/>
          <w:szCs w:val="32"/>
        </w:rPr>
      </w:pPr>
      <w:r>
        <w:rPr>
          <w:rFonts w:eastAsia="仿宋_GB2312"/>
          <w:szCs w:val="32"/>
        </w:rPr>
        <w:t>注册申请人需对产品工作原理及作用机理进行描述，常见的骨科外固定支架是一种体外固定装置，它通过金属骨针将骨折各端与一个或多个的纵行杆（管）和/或环连接而达到稳定、复位的作用。</w:t>
      </w:r>
    </w:p>
    <w:p w14:paraId="74D1399A">
      <w:pPr>
        <w:spacing w:line="520" w:lineRule="exact"/>
        <w:ind w:firstLine="640" w:firstLineChars="200"/>
        <w:jc w:val="left"/>
        <w:rPr>
          <w:rFonts w:eastAsia="仿宋_GB2312"/>
          <w:szCs w:val="32"/>
        </w:rPr>
      </w:pPr>
      <w:r>
        <w:rPr>
          <w:rFonts w:eastAsia="仿宋_GB2312"/>
          <w:szCs w:val="32"/>
        </w:rPr>
        <w:t>3.型号规格</w:t>
      </w:r>
    </w:p>
    <w:p w14:paraId="20A65C5E">
      <w:pPr>
        <w:spacing w:line="520" w:lineRule="exact"/>
        <w:ind w:firstLine="640" w:firstLineChars="200"/>
        <w:jc w:val="left"/>
        <w:rPr>
          <w:rFonts w:eastAsia="仿宋_GB2312"/>
          <w:szCs w:val="32"/>
        </w:rPr>
      </w:pPr>
      <w:r>
        <w:rPr>
          <w:rFonts w:eastAsia="仿宋_GB2312"/>
          <w:szCs w:val="32"/>
        </w:rPr>
        <w:t>对于存在多种型号规格的产品，需明确各型号规格的区别，推荐采用对比表及带有说明性文字的图片、图表，如提供各组件组配关系示意图等，对各种型号规格的结构组成、产品特征、技术参数、功能等方面加以描述。</w:t>
      </w:r>
    </w:p>
    <w:p w14:paraId="2DEAEF4B">
      <w:pPr>
        <w:spacing w:line="520" w:lineRule="exact"/>
        <w:ind w:firstLine="640" w:firstLineChars="200"/>
        <w:rPr>
          <w:rFonts w:eastAsia="仿宋_GB2312"/>
          <w:szCs w:val="32"/>
        </w:rPr>
      </w:pPr>
      <w:r>
        <w:rPr>
          <w:rFonts w:eastAsia="仿宋_GB2312"/>
          <w:szCs w:val="32"/>
        </w:rPr>
        <w:t>4.包装说明</w:t>
      </w:r>
    </w:p>
    <w:p w14:paraId="79BE67B6">
      <w:pPr>
        <w:spacing w:line="520" w:lineRule="exact"/>
        <w:ind w:firstLine="640" w:firstLineChars="200"/>
        <w:rPr>
          <w:rFonts w:eastAsia="仿宋_GB2312"/>
          <w:szCs w:val="32"/>
        </w:rPr>
      </w:pPr>
      <w:r>
        <w:rPr>
          <w:rFonts w:eastAsia="仿宋_GB2312"/>
          <w:szCs w:val="32"/>
        </w:rPr>
        <w:t>明确产品所有组成部分的包装形式及初包装（无菌屏障系统）材料信息。建议提供初包装的照片及图示，明确初包装的尺寸信息和材料信息，并以列表形式说明所有包装内容物。</w:t>
      </w:r>
    </w:p>
    <w:p w14:paraId="375EB4F0">
      <w:pPr>
        <w:spacing w:line="520" w:lineRule="exact"/>
        <w:ind w:firstLine="640" w:firstLineChars="200"/>
        <w:rPr>
          <w:rFonts w:eastAsia="仿宋_GB2312"/>
          <w:szCs w:val="32"/>
        </w:rPr>
      </w:pPr>
      <w:r>
        <w:rPr>
          <w:rFonts w:eastAsia="仿宋_GB2312"/>
          <w:szCs w:val="32"/>
        </w:rPr>
        <w:t>5.与同类和/或前代产品的参考和比较</w:t>
      </w:r>
    </w:p>
    <w:p w14:paraId="1924B7AE">
      <w:pPr>
        <w:spacing w:line="520" w:lineRule="exact"/>
        <w:ind w:firstLine="640" w:firstLineChars="200"/>
        <w:rPr>
          <w:rFonts w:eastAsia="仿宋_GB2312"/>
          <w:szCs w:val="32"/>
        </w:rPr>
      </w:pPr>
      <w:r>
        <w:rPr>
          <w:rFonts w:eastAsia="仿宋_GB2312"/>
          <w:szCs w:val="32"/>
        </w:rPr>
        <w:t>阐述申请注册产品的研发背景和目的。如有参考的同类产品或前代产品，需提供同类产品或前代产品的信息，并说明选择其作为研发参考的原因。</w:t>
      </w:r>
    </w:p>
    <w:p w14:paraId="3E7DEFE6">
      <w:pPr>
        <w:spacing w:line="520" w:lineRule="exact"/>
        <w:ind w:firstLine="640" w:firstLineChars="200"/>
        <w:rPr>
          <w:rFonts w:eastAsia="仿宋_GB2312"/>
          <w:szCs w:val="32"/>
        </w:rPr>
      </w:pPr>
      <w:r>
        <w:rPr>
          <w:rFonts w:eastAsia="仿宋_GB2312"/>
          <w:szCs w:val="32"/>
        </w:rPr>
        <w:t>6.适用范围和禁忌证</w:t>
      </w:r>
    </w:p>
    <w:p w14:paraId="149090CB">
      <w:pPr>
        <w:spacing w:line="520" w:lineRule="exact"/>
        <w:ind w:firstLine="640" w:firstLineChars="200"/>
        <w:rPr>
          <w:rFonts w:eastAsia="仿宋_GB2312"/>
          <w:szCs w:val="32"/>
        </w:rPr>
      </w:pPr>
      <w:r>
        <w:rPr>
          <w:rFonts w:eastAsia="仿宋_GB2312"/>
          <w:szCs w:val="32"/>
        </w:rPr>
        <w:t>6.1适用范围</w:t>
      </w:r>
    </w:p>
    <w:p w14:paraId="782BB3A8">
      <w:pPr>
        <w:spacing w:line="520" w:lineRule="exact"/>
        <w:ind w:firstLine="640" w:firstLineChars="200"/>
        <w:rPr>
          <w:rFonts w:eastAsia="仿宋_GB2312"/>
          <w:szCs w:val="32"/>
        </w:rPr>
      </w:pPr>
      <w:r>
        <w:rPr>
          <w:rFonts w:eastAsia="仿宋_GB2312"/>
          <w:szCs w:val="32"/>
        </w:rPr>
        <w:t>该产品通过与金属骨针的配合，应用于骨折部位的体外固定复位。</w:t>
      </w:r>
    </w:p>
    <w:p w14:paraId="42D91B0B">
      <w:pPr>
        <w:spacing w:line="520" w:lineRule="exact"/>
        <w:ind w:firstLine="640" w:firstLineChars="200"/>
        <w:rPr>
          <w:rFonts w:eastAsia="仿宋_GB2312"/>
          <w:szCs w:val="32"/>
        </w:rPr>
      </w:pPr>
      <w:r>
        <w:rPr>
          <w:rFonts w:eastAsia="仿宋_GB2312"/>
          <w:szCs w:val="32"/>
        </w:rPr>
        <w:t>6.2适用人群</w:t>
      </w:r>
    </w:p>
    <w:p w14:paraId="19A94B4C">
      <w:pPr>
        <w:spacing w:line="520" w:lineRule="exact"/>
        <w:ind w:firstLine="640" w:firstLineChars="200"/>
        <w:rPr>
          <w:rFonts w:eastAsia="仿宋_GB2312"/>
          <w:szCs w:val="32"/>
        </w:rPr>
      </w:pPr>
      <w:r>
        <w:rPr>
          <w:rFonts w:eastAsia="仿宋_GB2312"/>
          <w:szCs w:val="32"/>
        </w:rPr>
        <w:t>闭合性、开放性骨折、伴严重的软组织损伤或感染的骨折、有严重内脏疾病或年老体弱者不适合开放性手术的骨折患者。</w:t>
      </w:r>
    </w:p>
    <w:p w14:paraId="6ADBB823">
      <w:pPr>
        <w:spacing w:line="520" w:lineRule="exact"/>
        <w:ind w:firstLine="640" w:firstLineChars="200"/>
        <w:rPr>
          <w:rFonts w:eastAsia="仿宋_GB2312"/>
          <w:szCs w:val="32"/>
        </w:rPr>
      </w:pPr>
      <w:r>
        <w:rPr>
          <w:rFonts w:eastAsia="仿宋_GB2312"/>
          <w:szCs w:val="32"/>
        </w:rPr>
        <w:t>6.3禁忌症</w:t>
      </w:r>
    </w:p>
    <w:p w14:paraId="2EBC9AC4">
      <w:pPr>
        <w:spacing w:line="520" w:lineRule="exact"/>
        <w:ind w:firstLine="640" w:firstLineChars="200"/>
        <w:rPr>
          <w:rFonts w:eastAsia="仿宋_GB2312"/>
          <w:szCs w:val="32"/>
        </w:rPr>
      </w:pPr>
      <w:r>
        <w:rPr>
          <w:rFonts w:eastAsia="仿宋_GB2312"/>
          <w:szCs w:val="32"/>
        </w:rPr>
        <w:t>严重骨质疏松、严重的粉碎性骨折、骨缺损骨感染、骨不连；不能配合术后管理的患者。</w:t>
      </w:r>
    </w:p>
    <w:p w14:paraId="2558DB6F">
      <w:pPr>
        <w:spacing w:line="520" w:lineRule="exact"/>
        <w:ind w:firstLine="640" w:firstLineChars="200"/>
        <w:rPr>
          <w:rFonts w:eastAsia="仿宋_GB2312"/>
          <w:szCs w:val="32"/>
        </w:rPr>
      </w:pPr>
      <w:r>
        <w:rPr>
          <w:rFonts w:eastAsia="仿宋_GB2312"/>
          <w:szCs w:val="32"/>
        </w:rPr>
        <w:t>6.4预期使用环境要求</w:t>
      </w:r>
    </w:p>
    <w:p w14:paraId="44C59F06">
      <w:pPr>
        <w:spacing w:line="520" w:lineRule="exact"/>
        <w:ind w:firstLine="640" w:firstLineChars="200"/>
        <w:rPr>
          <w:rFonts w:eastAsia="仿宋_GB2312"/>
          <w:szCs w:val="32"/>
        </w:rPr>
      </w:pPr>
      <w:r>
        <w:rPr>
          <w:rFonts w:eastAsia="仿宋_GB2312"/>
          <w:szCs w:val="32"/>
        </w:rPr>
        <w:t>申报产品预期使用的地点（如医疗机构），可能影响其安全性和有效性的环境条件，如温度、湿度、移动、振动、大气压力等。</w:t>
      </w:r>
    </w:p>
    <w:p w14:paraId="5D642FE6">
      <w:pPr>
        <w:spacing w:line="520" w:lineRule="exact"/>
        <w:ind w:firstLine="640" w:firstLineChars="200"/>
        <w:rPr>
          <w:rFonts w:eastAsia="仿宋_GB2312"/>
          <w:szCs w:val="32"/>
        </w:rPr>
      </w:pPr>
      <w:r>
        <w:rPr>
          <w:rFonts w:eastAsia="仿宋_GB2312"/>
          <w:szCs w:val="32"/>
        </w:rPr>
        <w:t>7.申报产品上市历史</w:t>
      </w:r>
    </w:p>
    <w:p w14:paraId="73F4F77F">
      <w:pPr>
        <w:spacing w:line="520" w:lineRule="exact"/>
        <w:ind w:firstLine="640" w:firstLineChars="200"/>
        <w:rPr>
          <w:rFonts w:eastAsia="仿宋_GB2312"/>
          <w:szCs w:val="32"/>
        </w:rPr>
      </w:pPr>
      <w:r>
        <w:rPr>
          <w:rFonts w:eastAsia="仿宋_GB2312"/>
          <w:szCs w:val="32"/>
        </w:rPr>
        <w:t>如适用，提交申报产品在各国家或地区的上市批准时间、销售情况。如有不良事件和召回，分别对申报产品上市后发生的不良事件、召回的发生时间、注册申请人采取的处理和解决方案、相关部门的调查处理情况等进行描述。</w:t>
      </w:r>
    </w:p>
    <w:p w14:paraId="7E418802">
      <w:pPr>
        <w:spacing w:line="520" w:lineRule="exact"/>
        <w:ind w:firstLine="640" w:firstLineChars="200"/>
        <w:rPr>
          <w:rFonts w:eastAsia="仿宋_GB2312"/>
          <w:szCs w:val="32"/>
        </w:rPr>
      </w:pPr>
      <w:r>
        <w:rPr>
          <w:rFonts w:eastAsia="仿宋_GB2312"/>
          <w:szCs w:val="32"/>
        </w:rPr>
        <w:t>8.其他需说明的内容</w:t>
      </w:r>
    </w:p>
    <w:p w14:paraId="26D0800B">
      <w:pPr>
        <w:spacing w:line="520" w:lineRule="exact"/>
        <w:ind w:firstLine="640" w:firstLineChars="200"/>
        <w:rPr>
          <w:rFonts w:eastAsia="仿宋_GB2312"/>
          <w:szCs w:val="32"/>
        </w:rPr>
      </w:pPr>
      <w:r>
        <w:rPr>
          <w:rFonts w:eastAsia="仿宋_GB2312"/>
          <w:szCs w:val="32"/>
        </w:rPr>
        <w:t>明确与申报产品联合使用实现预期用途的其他产品的详细信息，如配合使用的骨针规格、材质等信息。</w:t>
      </w:r>
    </w:p>
    <w:p w14:paraId="7654A34A">
      <w:pPr>
        <w:spacing w:line="520" w:lineRule="exact"/>
        <w:ind w:firstLine="640" w:firstLineChars="200"/>
        <w:rPr>
          <w:rFonts w:eastAsia="仿宋_GB2312"/>
          <w:szCs w:val="32"/>
        </w:rPr>
      </w:pPr>
      <w:r>
        <w:rPr>
          <w:rFonts w:eastAsia="仿宋_GB2312"/>
          <w:szCs w:val="32"/>
        </w:rPr>
        <w:t>对于已获得批准的部件或配合使用的附件，应当提供注册证编号和国家药监局官方网站公布的注册证信息。</w:t>
      </w:r>
    </w:p>
    <w:p w14:paraId="10B81C07">
      <w:pPr>
        <w:spacing w:line="520" w:lineRule="exact"/>
        <w:ind w:firstLine="640" w:firstLineChars="200"/>
        <w:rPr>
          <w:rFonts w:eastAsia="楷体_GB2312"/>
          <w:b/>
          <w:szCs w:val="32"/>
        </w:rPr>
      </w:pPr>
      <w:r>
        <w:rPr>
          <w:rFonts w:eastAsia="楷体_GB2312"/>
          <w:szCs w:val="32"/>
        </w:rPr>
        <w:t>（三）非临床资料</w:t>
      </w:r>
    </w:p>
    <w:p w14:paraId="17EB1F6C">
      <w:pPr>
        <w:spacing w:line="520" w:lineRule="exact"/>
        <w:ind w:firstLine="640" w:firstLineChars="200"/>
        <w:rPr>
          <w:rFonts w:eastAsia="仿宋_GB2312"/>
          <w:szCs w:val="32"/>
        </w:rPr>
      </w:pPr>
      <w:r>
        <w:rPr>
          <w:rFonts w:eastAsia="仿宋_GB2312"/>
          <w:szCs w:val="32"/>
        </w:rPr>
        <w:t>1.产品风险管理资料</w:t>
      </w:r>
    </w:p>
    <w:p w14:paraId="5742ABC7">
      <w:pPr>
        <w:spacing w:line="520" w:lineRule="exact"/>
        <w:ind w:firstLine="640" w:firstLineChars="200"/>
        <w:rPr>
          <w:rFonts w:eastAsia="仿宋_GB2312"/>
          <w:szCs w:val="32"/>
        </w:rPr>
      </w:pPr>
      <w:r>
        <w:rPr>
          <w:rFonts w:eastAsia="仿宋_GB2312"/>
          <w:szCs w:val="32"/>
        </w:rPr>
        <w:t>应按照GB/T 42062《医疗器械 风险管理对医疗器械的应用》的要求，对产品生命周期全过程实施风险管理。产品风险管理过程包括风险分析、风险评价、风险控制、综合剩余风险的可接受性评价、生产和生产后信息。产品风险分析应包含产品原材料选择、设计开发、生产加工过程、产品包装、灭菌、运输、存储和使用等产品生命周期的各个环节。</w:t>
      </w:r>
    </w:p>
    <w:p w14:paraId="74D14A7D">
      <w:pPr>
        <w:spacing w:line="520" w:lineRule="exact"/>
        <w:ind w:firstLine="640" w:firstLineChars="200"/>
        <w:rPr>
          <w:rFonts w:eastAsia="仿宋_GB2312"/>
          <w:szCs w:val="32"/>
        </w:rPr>
      </w:pPr>
      <w:r>
        <w:rPr>
          <w:rFonts w:eastAsia="仿宋_GB2312"/>
          <w:szCs w:val="32"/>
        </w:rPr>
        <w:t>注册申请人在进行风险分析时，至少考虑下述风险因素：产品灭菌不彻底、采用不适宜的灭菌方式、环氧乙烷残留量超标、由不熟练/未经培训的人员使用、非无菌与无菌状态包装相似导致错误使用、适应人群和禁忌症的说明不充分等。骨科外固定支架常见的风险示例详见附件。</w:t>
      </w:r>
    </w:p>
    <w:p w14:paraId="714AABC9">
      <w:pPr>
        <w:spacing w:line="520" w:lineRule="exact"/>
        <w:ind w:firstLine="640" w:firstLineChars="200"/>
        <w:rPr>
          <w:rFonts w:eastAsia="仿宋_GB2312"/>
          <w:szCs w:val="32"/>
        </w:rPr>
      </w:pPr>
      <w:r>
        <w:rPr>
          <w:rFonts w:eastAsia="仿宋_GB2312"/>
          <w:szCs w:val="32"/>
        </w:rPr>
        <w:t>2.医疗器械安全和性能基本原则清单</w:t>
      </w:r>
    </w:p>
    <w:p w14:paraId="31D97F22">
      <w:pPr>
        <w:spacing w:line="520" w:lineRule="exact"/>
        <w:ind w:firstLine="640" w:firstLineChars="200"/>
        <w:rPr>
          <w:rFonts w:eastAsia="仿宋_GB2312"/>
          <w:szCs w:val="32"/>
        </w:rPr>
      </w:pPr>
      <w:r>
        <w:rPr>
          <w:rFonts w:eastAsia="仿宋_GB2312"/>
          <w:szCs w:val="32"/>
        </w:rPr>
        <w:t>应按照《医疗器械注册申报资料要求及说明》的要求提交《医疗器械安全和性能基本原则清单》，说明产品符合《医疗器械安全和性能基本原则清单》各项适用要求所采用的方法，以及证明其符合性的文件。对于《医疗器械安全和性能基本原则清单》中不适用的各项要求，应当说明理由。</w:t>
      </w:r>
    </w:p>
    <w:p w14:paraId="08251044">
      <w:pPr>
        <w:spacing w:line="520" w:lineRule="exact"/>
        <w:ind w:firstLine="640" w:firstLineChars="200"/>
        <w:rPr>
          <w:rFonts w:eastAsia="仿宋_GB2312"/>
          <w:szCs w:val="32"/>
        </w:rPr>
      </w:pPr>
      <w:r>
        <w:rPr>
          <w:rFonts w:eastAsia="仿宋_GB2312"/>
          <w:szCs w:val="32"/>
        </w:rPr>
        <w:t>对于包含在产品注册申报资料中的文件，应当说明其在申报资料中的具体位置；对于未包含在产品注册申报资料中的文件，应当注明该证据文件名称及其在质量管理体系文件中的编号备查。</w:t>
      </w:r>
    </w:p>
    <w:p w14:paraId="2F644713">
      <w:pPr>
        <w:spacing w:line="520" w:lineRule="exact"/>
        <w:ind w:firstLine="640" w:firstLineChars="200"/>
        <w:rPr>
          <w:rFonts w:eastAsia="仿宋_GB2312"/>
          <w:szCs w:val="32"/>
        </w:rPr>
      </w:pPr>
      <w:r>
        <w:rPr>
          <w:rFonts w:eastAsia="仿宋_GB2312"/>
          <w:szCs w:val="32"/>
        </w:rPr>
        <w:t>3.产品技术要求</w:t>
      </w:r>
    </w:p>
    <w:p w14:paraId="4345A7EC">
      <w:pPr>
        <w:spacing w:line="520" w:lineRule="exact"/>
        <w:ind w:firstLine="640" w:firstLineChars="200"/>
        <w:rPr>
          <w:rFonts w:eastAsia="仿宋_GB2312"/>
          <w:szCs w:val="32"/>
        </w:rPr>
      </w:pPr>
      <w:r>
        <w:rPr>
          <w:rFonts w:eastAsia="仿宋_GB2312"/>
          <w:szCs w:val="32"/>
        </w:rPr>
        <w:t>申请人应根据产品的实际情况，拟定产品技术要求应符合《医疗器械注册与备案管理办法》等相关规定，应不低于产品适用的强制性国家标准/行业标准，按照《医疗器械产品技术要求编写指导原则》要求编写。</w:t>
      </w:r>
    </w:p>
    <w:p w14:paraId="0F243017">
      <w:pPr>
        <w:spacing w:line="520" w:lineRule="exact"/>
        <w:ind w:firstLine="640" w:firstLineChars="200"/>
        <w:rPr>
          <w:rFonts w:eastAsia="仿宋_GB2312"/>
          <w:szCs w:val="32"/>
        </w:rPr>
      </w:pPr>
      <w:r>
        <w:rPr>
          <w:rFonts w:eastAsia="仿宋_GB2312"/>
          <w:szCs w:val="32"/>
        </w:rPr>
        <w:t>3.1产品型号/规格及其划分的说明</w:t>
      </w:r>
    </w:p>
    <w:p w14:paraId="6642CFC0">
      <w:pPr>
        <w:spacing w:line="520" w:lineRule="exact"/>
        <w:ind w:firstLine="640" w:firstLineChars="200"/>
        <w:rPr>
          <w:rFonts w:eastAsia="仿宋_GB2312"/>
          <w:szCs w:val="32"/>
        </w:rPr>
      </w:pPr>
      <w:r>
        <w:rPr>
          <w:rFonts w:eastAsia="仿宋_GB2312"/>
          <w:szCs w:val="32"/>
        </w:rPr>
        <w:t>列表说明产品的型号、规格，明确产品型号、规格的划分说明。提供各型号产品的结构图并标识关键尺寸。</w:t>
      </w:r>
    </w:p>
    <w:p w14:paraId="07B1B638">
      <w:pPr>
        <w:spacing w:line="520" w:lineRule="exact"/>
        <w:ind w:firstLine="640" w:firstLineChars="200"/>
        <w:rPr>
          <w:rFonts w:eastAsia="仿宋_GB2312"/>
          <w:szCs w:val="32"/>
        </w:rPr>
      </w:pPr>
      <w:r>
        <w:rPr>
          <w:rFonts w:eastAsia="仿宋_GB2312"/>
          <w:szCs w:val="32"/>
        </w:rPr>
        <w:t>3.2申报产品适用标准情况</w:t>
      </w:r>
    </w:p>
    <w:p w14:paraId="149B8A87">
      <w:pPr>
        <w:spacing w:line="520" w:lineRule="exact"/>
        <w:ind w:firstLine="640" w:firstLineChars="200"/>
        <w:rPr>
          <w:rFonts w:eastAsia="仿宋_GB2312"/>
          <w:szCs w:val="32"/>
        </w:rPr>
      </w:pPr>
      <w:r>
        <w:rPr>
          <w:rFonts w:eastAsia="仿宋_GB2312"/>
          <w:szCs w:val="32"/>
        </w:rPr>
        <w:t>申报产品应当符合适用的强制性标准。对于强制性标准，若申报产品结构特征、预期用途、使用方式等与强制性标准的适用范围不一致，申请人应当提出不适用强制性标准的说明，并提供经验证的证明性资料。</w:t>
      </w:r>
    </w:p>
    <w:p w14:paraId="0D850D2F">
      <w:pPr>
        <w:spacing w:line="520" w:lineRule="exact"/>
        <w:ind w:firstLine="640" w:firstLineChars="200"/>
        <w:rPr>
          <w:rFonts w:eastAsia="仿宋_GB2312"/>
          <w:szCs w:val="32"/>
        </w:rPr>
      </w:pPr>
      <w:r>
        <w:rPr>
          <w:rFonts w:eastAsia="仿宋_GB2312"/>
          <w:szCs w:val="32"/>
        </w:rPr>
        <w:t>产品引用的标准应适宜且齐全，在产品技术要求中所引用的相关国家、行业标准应完整并准确。针对所引用的标准中的具体条款，文字表述繁多内容复杂的可以直接引用标准及条文号，比较简单的可直接引述具体内容。</w:t>
      </w:r>
    </w:p>
    <w:p w14:paraId="3ABAC31A">
      <w:pPr>
        <w:spacing w:line="520" w:lineRule="exact"/>
        <w:ind w:firstLine="640" w:firstLineChars="200"/>
        <w:rPr>
          <w:rFonts w:eastAsia="仿宋_GB2312"/>
          <w:szCs w:val="32"/>
        </w:rPr>
      </w:pPr>
      <w:r>
        <w:rPr>
          <w:rFonts w:eastAsia="仿宋_GB2312"/>
          <w:szCs w:val="32"/>
        </w:rPr>
        <w:t>如涉及强制性国家、行业标准发布或修订，产品性能指标等要求应符合最新的强制性国家、行业标准。</w:t>
      </w:r>
    </w:p>
    <w:p w14:paraId="2F4CABCE">
      <w:pPr>
        <w:spacing w:line="520" w:lineRule="exact"/>
        <w:ind w:firstLine="640" w:firstLineChars="200"/>
        <w:rPr>
          <w:rFonts w:eastAsia="仿宋_GB2312"/>
          <w:szCs w:val="32"/>
        </w:rPr>
      </w:pPr>
      <w:r>
        <w:rPr>
          <w:rFonts w:eastAsia="仿宋_GB2312"/>
          <w:szCs w:val="32"/>
        </w:rPr>
        <w:t>以下表1中的标准为骨科外固定支架涉及的常用标准。申请人根据产品的特点可引用与之相适应行业外标准和其他标准，且需说明理由。</w:t>
      </w:r>
    </w:p>
    <w:p w14:paraId="3AB84BE2">
      <w:pPr>
        <w:spacing w:line="600" w:lineRule="exact"/>
        <w:jc w:val="center"/>
        <w:rPr>
          <w:rFonts w:eastAsia="仿宋_GB2312"/>
          <w:szCs w:val="32"/>
        </w:rPr>
      </w:pPr>
      <w:r>
        <w:rPr>
          <w:rFonts w:eastAsia="黑体"/>
          <w:bCs/>
          <w:sz w:val="28"/>
          <w:szCs w:val="28"/>
        </w:rPr>
        <w:t>表1相关产品标准</w:t>
      </w:r>
    </w:p>
    <w:tbl>
      <w:tblPr>
        <w:tblStyle w:val="8"/>
        <w:tblW w:w="87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1"/>
        <w:gridCol w:w="6079"/>
      </w:tblGrid>
      <w:tr w14:paraId="32BFC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681" w:type="dxa"/>
          </w:tcPr>
          <w:p w14:paraId="26F179D2">
            <w:pPr>
              <w:spacing w:line="440" w:lineRule="exact"/>
              <w:jc w:val="center"/>
              <w:rPr>
                <w:rFonts w:eastAsia="黑体"/>
                <w:bCs/>
                <w:sz w:val="28"/>
                <w:szCs w:val="28"/>
              </w:rPr>
            </w:pPr>
            <w:r>
              <w:rPr>
                <w:rFonts w:eastAsia="黑体"/>
                <w:bCs/>
                <w:sz w:val="28"/>
                <w:szCs w:val="28"/>
              </w:rPr>
              <w:t>标准编号</w:t>
            </w:r>
          </w:p>
        </w:tc>
        <w:tc>
          <w:tcPr>
            <w:tcW w:w="6079" w:type="dxa"/>
          </w:tcPr>
          <w:p w14:paraId="1FFD2891">
            <w:pPr>
              <w:spacing w:line="440" w:lineRule="exact"/>
              <w:jc w:val="center"/>
              <w:rPr>
                <w:rFonts w:eastAsia="黑体"/>
                <w:bCs/>
                <w:sz w:val="28"/>
                <w:szCs w:val="28"/>
              </w:rPr>
            </w:pPr>
            <w:r>
              <w:rPr>
                <w:rFonts w:eastAsia="黑体"/>
                <w:bCs/>
                <w:sz w:val="28"/>
                <w:szCs w:val="28"/>
              </w:rPr>
              <w:t>标准名称</w:t>
            </w:r>
          </w:p>
        </w:tc>
      </w:tr>
      <w:tr w14:paraId="58DEF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1" w:type="dxa"/>
            <w:vAlign w:val="center"/>
          </w:tcPr>
          <w:p w14:paraId="4F3BA203">
            <w:pPr>
              <w:spacing w:line="440" w:lineRule="exact"/>
              <w:rPr>
                <w:rFonts w:eastAsia="仿宋_GB2312"/>
                <w:bCs/>
                <w:sz w:val="28"/>
                <w:szCs w:val="28"/>
              </w:rPr>
            </w:pPr>
            <w:r>
              <w:rPr>
                <w:rFonts w:eastAsia="仿宋_GB2312"/>
                <w:bCs/>
                <w:sz w:val="28"/>
                <w:szCs w:val="28"/>
              </w:rPr>
              <w:t>GB/T 230.1-2018</w:t>
            </w:r>
          </w:p>
        </w:tc>
        <w:tc>
          <w:tcPr>
            <w:tcW w:w="6079" w:type="dxa"/>
            <w:vAlign w:val="center"/>
          </w:tcPr>
          <w:p w14:paraId="1E7F0A71">
            <w:pPr>
              <w:wordWrap w:val="0"/>
              <w:spacing w:line="440" w:lineRule="exact"/>
              <w:rPr>
                <w:rFonts w:eastAsia="仿宋_GB2312"/>
                <w:bCs/>
                <w:sz w:val="28"/>
                <w:szCs w:val="28"/>
              </w:rPr>
            </w:pPr>
            <w:r>
              <w:rPr>
                <w:rFonts w:eastAsia="仿宋_GB2312"/>
                <w:bCs/>
                <w:sz w:val="28"/>
                <w:szCs w:val="28"/>
              </w:rPr>
              <w:t>金属材料 洛氏硬度试验 第1部分：试验方法</w:t>
            </w:r>
          </w:p>
        </w:tc>
      </w:tr>
      <w:tr w14:paraId="2A1C2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1" w:type="dxa"/>
            <w:vAlign w:val="center"/>
          </w:tcPr>
          <w:p w14:paraId="03962644">
            <w:pPr>
              <w:spacing w:line="440" w:lineRule="exact"/>
              <w:rPr>
                <w:rFonts w:eastAsia="仿宋_GB2312"/>
                <w:bCs/>
                <w:sz w:val="28"/>
                <w:szCs w:val="28"/>
              </w:rPr>
            </w:pPr>
            <w:r>
              <w:rPr>
                <w:rFonts w:eastAsia="仿宋_GB2312"/>
                <w:bCs/>
                <w:sz w:val="28"/>
                <w:szCs w:val="28"/>
              </w:rPr>
              <w:t>GB/T 231.1-2018</w:t>
            </w:r>
          </w:p>
        </w:tc>
        <w:tc>
          <w:tcPr>
            <w:tcW w:w="6079" w:type="dxa"/>
            <w:vAlign w:val="center"/>
          </w:tcPr>
          <w:p w14:paraId="2DEAA92C">
            <w:pPr>
              <w:wordWrap w:val="0"/>
              <w:spacing w:line="440" w:lineRule="exact"/>
              <w:rPr>
                <w:rFonts w:eastAsia="仿宋_GB2312"/>
                <w:bCs/>
                <w:sz w:val="28"/>
                <w:szCs w:val="28"/>
              </w:rPr>
            </w:pPr>
            <w:r>
              <w:rPr>
                <w:rFonts w:eastAsia="仿宋_GB2312"/>
                <w:bCs/>
                <w:sz w:val="28"/>
                <w:szCs w:val="28"/>
              </w:rPr>
              <w:t>金属材料 布氏硬度试验 第1部分：试验方法</w:t>
            </w:r>
          </w:p>
        </w:tc>
      </w:tr>
      <w:tr w14:paraId="7B184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1" w:type="dxa"/>
            <w:vAlign w:val="center"/>
          </w:tcPr>
          <w:p w14:paraId="55926958">
            <w:pPr>
              <w:spacing w:line="440" w:lineRule="exact"/>
              <w:rPr>
                <w:rFonts w:eastAsia="仿宋_GB2312"/>
                <w:bCs/>
                <w:sz w:val="28"/>
                <w:szCs w:val="28"/>
              </w:rPr>
            </w:pPr>
            <w:r>
              <w:rPr>
                <w:rFonts w:eastAsia="仿宋_GB2312"/>
                <w:bCs/>
                <w:sz w:val="28"/>
                <w:szCs w:val="28"/>
              </w:rPr>
              <w:t>GB/T 1031-2009</w:t>
            </w:r>
          </w:p>
        </w:tc>
        <w:tc>
          <w:tcPr>
            <w:tcW w:w="6079" w:type="dxa"/>
            <w:vAlign w:val="center"/>
          </w:tcPr>
          <w:p w14:paraId="5F7E7315">
            <w:pPr>
              <w:wordWrap w:val="0"/>
              <w:spacing w:line="440" w:lineRule="exact"/>
              <w:rPr>
                <w:rFonts w:eastAsia="仿宋_GB2312"/>
                <w:bCs/>
                <w:sz w:val="28"/>
                <w:szCs w:val="28"/>
              </w:rPr>
            </w:pPr>
            <w:r>
              <w:rPr>
                <w:rFonts w:eastAsia="仿宋_GB2312"/>
                <w:bCs/>
                <w:sz w:val="28"/>
                <w:szCs w:val="28"/>
              </w:rPr>
              <w:t>产品几何技术规范（GPS）表面结构 轮廓法 表面粗糙度参数及其数值</w:t>
            </w:r>
          </w:p>
        </w:tc>
      </w:tr>
      <w:tr w14:paraId="4F2CA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1" w:type="dxa"/>
            <w:vAlign w:val="center"/>
          </w:tcPr>
          <w:p w14:paraId="083918BC">
            <w:pPr>
              <w:spacing w:line="440" w:lineRule="exact"/>
              <w:rPr>
                <w:rFonts w:eastAsia="仿宋_GB2312"/>
                <w:bCs/>
                <w:sz w:val="28"/>
                <w:szCs w:val="28"/>
              </w:rPr>
            </w:pPr>
            <w:r>
              <w:rPr>
                <w:rFonts w:eastAsia="仿宋_GB2312"/>
                <w:bCs/>
                <w:sz w:val="28"/>
                <w:szCs w:val="28"/>
              </w:rPr>
              <w:t>GB/T 1220-2007</w:t>
            </w:r>
          </w:p>
        </w:tc>
        <w:tc>
          <w:tcPr>
            <w:tcW w:w="6079" w:type="dxa"/>
            <w:vAlign w:val="center"/>
          </w:tcPr>
          <w:p w14:paraId="7032C414">
            <w:pPr>
              <w:wordWrap w:val="0"/>
              <w:spacing w:line="440" w:lineRule="exact"/>
              <w:rPr>
                <w:rFonts w:eastAsia="仿宋_GB2312"/>
                <w:bCs/>
                <w:sz w:val="28"/>
                <w:szCs w:val="28"/>
              </w:rPr>
            </w:pPr>
            <w:r>
              <w:rPr>
                <w:rFonts w:eastAsia="仿宋_GB2312"/>
                <w:bCs/>
                <w:sz w:val="28"/>
                <w:szCs w:val="28"/>
              </w:rPr>
              <w:t>不锈钢棒</w:t>
            </w:r>
          </w:p>
        </w:tc>
      </w:tr>
      <w:tr w14:paraId="6F299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1" w:type="dxa"/>
            <w:vAlign w:val="center"/>
          </w:tcPr>
          <w:p w14:paraId="298FCA66">
            <w:pPr>
              <w:spacing w:line="440" w:lineRule="exact"/>
              <w:rPr>
                <w:rFonts w:eastAsia="仿宋_GB2312"/>
                <w:bCs/>
                <w:sz w:val="28"/>
                <w:szCs w:val="28"/>
              </w:rPr>
            </w:pPr>
            <w:r>
              <w:rPr>
                <w:rFonts w:eastAsia="仿宋_GB2312"/>
                <w:bCs/>
                <w:sz w:val="28"/>
                <w:szCs w:val="28"/>
              </w:rPr>
              <w:t>GB/T 3280-2015</w:t>
            </w:r>
          </w:p>
        </w:tc>
        <w:tc>
          <w:tcPr>
            <w:tcW w:w="6079" w:type="dxa"/>
            <w:vAlign w:val="center"/>
          </w:tcPr>
          <w:p w14:paraId="280339A8">
            <w:pPr>
              <w:wordWrap w:val="0"/>
              <w:spacing w:line="440" w:lineRule="exact"/>
              <w:rPr>
                <w:rFonts w:eastAsia="仿宋_GB2312"/>
                <w:bCs/>
                <w:sz w:val="28"/>
                <w:szCs w:val="28"/>
              </w:rPr>
            </w:pPr>
            <w:r>
              <w:rPr>
                <w:rFonts w:eastAsia="仿宋_GB2312"/>
                <w:bCs/>
                <w:sz w:val="28"/>
                <w:szCs w:val="28"/>
              </w:rPr>
              <w:t>不锈钢冷轧钢板和钢带</w:t>
            </w:r>
          </w:p>
        </w:tc>
      </w:tr>
      <w:tr w14:paraId="74600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1" w:type="dxa"/>
            <w:vAlign w:val="center"/>
          </w:tcPr>
          <w:p w14:paraId="0E151B5F">
            <w:pPr>
              <w:spacing w:line="440" w:lineRule="exact"/>
              <w:rPr>
                <w:rFonts w:eastAsia="仿宋_GB2312"/>
                <w:bCs/>
                <w:sz w:val="28"/>
                <w:szCs w:val="28"/>
              </w:rPr>
            </w:pPr>
            <w:r>
              <w:rPr>
                <w:rFonts w:eastAsia="仿宋_GB2312"/>
                <w:bCs/>
                <w:sz w:val="28"/>
                <w:szCs w:val="28"/>
              </w:rPr>
              <w:t xml:space="preserve">GB/T 4226-2009   </w:t>
            </w:r>
          </w:p>
        </w:tc>
        <w:tc>
          <w:tcPr>
            <w:tcW w:w="6079" w:type="dxa"/>
            <w:vAlign w:val="center"/>
          </w:tcPr>
          <w:p w14:paraId="3664CD67">
            <w:pPr>
              <w:wordWrap w:val="0"/>
              <w:spacing w:line="440" w:lineRule="exact"/>
              <w:rPr>
                <w:rFonts w:eastAsia="仿宋_GB2312"/>
                <w:bCs/>
                <w:sz w:val="28"/>
                <w:szCs w:val="28"/>
              </w:rPr>
            </w:pPr>
            <w:r>
              <w:rPr>
                <w:rFonts w:eastAsia="仿宋_GB2312"/>
                <w:bCs/>
                <w:sz w:val="28"/>
                <w:szCs w:val="28"/>
              </w:rPr>
              <w:t>不锈钢冷加工钢棒</w:t>
            </w:r>
          </w:p>
        </w:tc>
      </w:tr>
      <w:tr w14:paraId="550B1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2681" w:type="dxa"/>
            <w:vAlign w:val="center"/>
          </w:tcPr>
          <w:p w14:paraId="12394CF8">
            <w:pPr>
              <w:spacing w:line="440" w:lineRule="exact"/>
              <w:rPr>
                <w:rFonts w:eastAsia="仿宋_GB2312"/>
                <w:bCs/>
                <w:sz w:val="28"/>
                <w:szCs w:val="28"/>
              </w:rPr>
            </w:pPr>
            <w:r>
              <w:rPr>
                <w:rFonts w:eastAsia="仿宋_GB2312"/>
                <w:bCs/>
                <w:sz w:val="28"/>
                <w:szCs w:val="28"/>
              </w:rPr>
              <w:t>GB/T 1804-2000</w:t>
            </w:r>
          </w:p>
        </w:tc>
        <w:tc>
          <w:tcPr>
            <w:tcW w:w="6079" w:type="dxa"/>
            <w:vAlign w:val="center"/>
          </w:tcPr>
          <w:p w14:paraId="74D1B27C">
            <w:pPr>
              <w:wordWrap w:val="0"/>
              <w:spacing w:line="440" w:lineRule="exact"/>
              <w:rPr>
                <w:rFonts w:eastAsia="仿宋_GB2312"/>
                <w:bCs/>
                <w:sz w:val="28"/>
                <w:szCs w:val="28"/>
              </w:rPr>
            </w:pPr>
            <w:r>
              <w:rPr>
                <w:rFonts w:eastAsia="仿宋_GB2312"/>
                <w:bCs/>
                <w:sz w:val="28"/>
                <w:szCs w:val="28"/>
              </w:rPr>
              <w:t>一般公差 未注公差的线性和角度尺寸的公差</w:t>
            </w:r>
          </w:p>
        </w:tc>
      </w:tr>
      <w:tr w14:paraId="2A053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2681" w:type="dxa"/>
            <w:vAlign w:val="center"/>
          </w:tcPr>
          <w:p w14:paraId="49799C53">
            <w:pPr>
              <w:spacing w:line="440" w:lineRule="exact"/>
              <w:rPr>
                <w:rFonts w:eastAsia="仿宋_GB2312"/>
                <w:bCs/>
                <w:sz w:val="28"/>
                <w:szCs w:val="28"/>
              </w:rPr>
            </w:pPr>
            <w:r>
              <w:rPr>
                <w:rFonts w:eastAsia="仿宋_GB2312"/>
                <w:bCs/>
                <w:sz w:val="28"/>
                <w:szCs w:val="28"/>
              </w:rPr>
              <w:t>GB 4234.1-2017</w:t>
            </w:r>
          </w:p>
        </w:tc>
        <w:tc>
          <w:tcPr>
            <w:tcW w:w="6079" w:type="dxa"/>
            <w:vAlign w:val="center"/>
          </w:tcPr>
          <w:p w14:paraId="5F4C0F6A">
            <w:pPr>
              <w:wordWrap w:val="0"/>
              <w:spacing w:line="440" w:lineRule="exact"/>
              <w:rPr>
                <w:rFonts w:eastAsia="仿宋_GB2312"/>
                <w:bCs/>
                <w:sz w:val="28"/>
                <w:szCs w:val="28"/>
              </w:rPr>
            </w:pPr>
            <w:r>
              <w:rPr>
                <w:rFonts w:eastAsia="仿宋_GB2312"/>
                <w:bCs/>
                <w:sz w:val="28"/>
                <w:szCs w:val="28"/>
              </w:rPr>
              <w:t>外科植入物 金属材料 第1部分：锻造不锈钢</w:t>
            </w:r>
          </w:p>
        </w:tc>
      </w:tr>
      <w:tr w14:paraId="32D74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2681" w:type="dxa"/>
            <w:vAlign w:val="center"/>
          </w:tcPr>
          <w:p w14:paraId="7FA9B694">
            <w:pPr>
              <w:spacing w:line="440" w:lineRule="exact"/>
              <w:rPr>
                <w:rFonts w:eastAsia="仿宋_GB2312"/>
                <w:bCs/>
                <w:sz w:val="28"/>
                <w:szCs w:val="28"/>
              </w:rPr>
            </w:pPr>
            <w:r>
              <w:rPr>
                <w:rFonts w:eastAsia="仿宋_GB2312"/>
                <w:bCs/>
                <w:sz w:val="28"/>
                <w:szCs w:val="28"/>
              </w:rPr>
              <w:t>GB/T 4237-2015</w:t>
            </w:r>
          </w:p>
        </w:tc>
        <w:tc>
          <w:tcPr>
            <w:tcW w:w="6079" w:type="dxa"/>
            <w:vAlign w:val="center"/>
          </w:tcPr>
          <w:p w14:paraId="32CA0EE9">
            <w:pPr>
              <w:wordWrap w:val="0"/>
              <w:spacing w:line="440" w:lineRule="exact"/>
              <w:rPr>
                <w:rFonts w:eastAsia="仿宋_GB2312"/>
                <w:bCs/>
                <w:sz w:val="28"/>
                <w:szCs w:val="28"/>
              </w:rPr>
            </w:pPr>
            <w:r>
              <w:rPr>
                <w:rFonts w:eastAsia="仿宋_GB2312"/>
                <w:bCs/>
                <w:sz w:val="28"/>
                <w:szCs w:val="28"/>
              </w:rPr>
              <w:t>不锈钢热轧钢板和钢带</w:t>
            </w:r>
          </w:p>
        </w:tc>
      </w:tr>
      <w:tr w14:paraId="3F4EB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1" w:type="dxa"/>
            <w:vAlign w:val="center"/>
          </w:tcPr>
          <w:p w14:paraId="13981FE2">
            <w:pPr>
              <w:spacing w:line="440" w:lineRule="exact"/>
              <w:rPr>
                <w:rFonts w:eastAsia="仿宋_GB2312"/>
                <w:bCs/>
                <w:sz w:val="28"/>
                <w:szCs w:val="28"/>
              </w:rPr>
            </w:pPr>
            <w:r>
              <w:rPr>
                <w:rFonts w:eastAsia="仿宋_GB2312"/>
                <w:bCs/>
                <w:sz w:val="28"/>
                <w:szCs w:val="28"/>
              </w:rPr>
              <w:t>GB/T 2965-2023</w:t>
            </w:r>
          </w:p>
        </w:tc>
        <w:tc>
          <w:tcPr>
            <w:tcW w:w="6079" w:type="dxa"/>
            <w:vAlign w:val="center"/>
          </w:tcPr>
          <w:p w14:paraId="490CBF02">
            <w:pPr>
              <w:wordWrap w:val="0"/>
              <w:spacing w:line="440" w:lineRule="exact"/>
              <w:rPr>
                <w:rFonts w:eastAsia="仿宋_GB2312"/>
                <w:bCs/>
                <w:sz w:val="28"/>
                <w:szCs w:val="28"/>
              </w:rPr>
            </w:pPr>
            <w:r>
              <w:rPr>
                <w:rFonts w:eastAsia="仿宋_GB2312"/>
                <w:bCs/>
                <w:sz w:val="28"/>
                <w:szCs w:val="28"/>
              </w:rPr>
              <w:t>钛及钛合金棒材</w:t>
            </w:r>
          </w:p>
        </w:tc>
      </w:tr>
      <w:tr w14:paraId="0DC91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1" w:type="dxa"/>
            <w:vAlign w:val="center"/>
          </w:tcPr>
          <w:p w14:paraId="5E1FDE6A">
            <w:pPr>
              <w:spacing w:line="440" w:lineRule="exact"/>
              <w:rPr>
                <w:rFonts w:eastAsia="仿宋_GB2312"/>
                <w:bCs/>
                <w:sz w:val="28"/>
                <w:szCs w:val="28"/>
              </w:rPr>
            </w:pPr>
            <w:r>
              <w:rPr>
                <w:rFonts w:eastAsia="仿宋_GB2312"/>
                <w:bCs/>
                <w:sz w:val="28"/>
                <w:szCs w:val="28"/>
              </w:rPr>
              <w:t>GB/T 13810-2017</w:t>
            </w:r>
          </w:p>
        </w:tc>
        <w:tc>
          <w:tcPr>
            <w:tcW w:w="6079" w:type="dxa"/>
            <w:vAlign w:val="center"/>
          </w:tcPr>
          <w:p w14:paraId="2F84A508">
            <w:pPr>
              <w:wordWrap w:val="0"/>
              <w:spacing w:line="440" w:lineRule="exact"/>
              <w:rPr>
                <w:rFonts w:eastAsia="仿宋_GB2312"/>
                <w:bCs/>
                <w:sz w:val="28"/>
                <w:szCs w:val="28"/>
              </w:rPr>
            </w:pPr>
            <w:r>
              <w:rPr>
                <w:rFonts w:eastAsia="仿宋_GB2312"/>
                <w:bCs/>
                <w:sz w:val="28"/>
                <w:szCs w:val="28"/>
              </w:rPr>
              <w:t>外科植入物用钛及钛合金加工材</w:t>
            </w:r>
          </w:p>
        </w:tc>
      </w:tr>
      <w:tr w14:paraId="580AB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1" w:type="dxa"/>
            <w:vAlign w:val="center"/>
          </w:tcPr>
          <w:p w14:paraId="24F6B006">
            <w:pPr>
              <w:spacing w:line="440" w:lineRule="exact"/>
              <w:rPr>
                <w:rFonts w:eastAsia="仿宋_GB2312"/>
                <w:bCs/>
                <w:sz w:val="28"/>
                <w:szCs w:val="28"/>
              </w:rPr>
            </w:pPr>
            <w:r>
              <w:rPr>
                <w:rFonts w:eastAsia="仿宋_GB2312"/>
                <w:bCs/>
                <w:sz w:val="28"/>
                <w:szCs w:val="28"/>
              </w:rPr>
              <w:t>GB/T 228.1-2021</w:t>
            </w:r>
          </w:p>
        </w:tc>
        <w:tc>
          <w:tcPr>
            <w:tcW w:w="6079" w:type="dxa"/>
            <w:vAlign w:val="center"/>
          </w:tcPr>
          <w:p w14:paraId="6B095118">
            <w:pPr>
              <w:wordWrap w:val="0"/>
              <w:spacing w:line="440" w:lineRule="exact"/>
              <w:rPr>
                <w:rFonts w:eastAsia="仿宋_GB2312"/>
                <w:bCs/>
                <w:sz w:val="28"/>
                <w:szCs w:val="28"/>
              </w:rPr>
            </w:pPr>
            <w:r>
              <w:rPr>
                <w:rFonts w:eastAsia="仿宋_GB2312"/>
                <w:bCs/>
                <w:sz w:val="28"/>
                <w:szCs w:val="28"/>
              </w:rPr>
              <w:t>金属材料 拉伸试验 第1部分：室温试验方法</w:t>
            </w:r>
          </w:p>
        </w:tc>
      </w:tr>
      <w:tr w14:paraId="64F80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1" w:type="dxa"/>
            <w:vAlign w:val="center"/>
          </w:tcPr>
          <w:p w14:paraId="5528FA49">
            <w:pPr>
              <w:spacing w:line="440" w:lineRule="exact"/>
              <w:rPr>
                <w:rFonts w:eastAsia="仿宋_GB2312"/>
                <w:bCs/>
                <w:sz w:val="28"/>
                <w:szCs w:val="28"/>
              </w:rPr>
            </w:pPr>
            <w:r>
              <w:rPr>
                <w:rFonts w:eastAsia="仿宋_GB2312"/>
                <w:bCs/>
                <w:sz w:val="28"/>
                <w:szCs w:val="28"/>
              </w:rPr>
              <w:t>GB/T 3621-2022</w:t>
            </w:r>
          </w:p>
        </w:tc>
        <w:tc>
          <w:tcPr>
            <w:tcW w:w="6079" w:type="dxa"/>
            <w:vAlign w:val="center"/>
          </w:tcPr>
          <w:p w14:paraId="2F087408">
            <w:pPr>
              <w:wordWrap w:val="0"/>
              <w:spacing w:line="440" w:lineRule="exact"/>
              <w:rPr>
                <w:rFonts w:eastAsia="仿宋_GB2312"/>
                <w:bCs/>
                <w:sz w:val="28"/>
                <w:szCs w:val="28"/>
              </w:rPr>
            </w:pPr>
            <w:r>
              <w:rPr>
                <w:rFonts w:eastAsia="仿宋_GB2312"/>
                <w:bCs/>
                <w:sz w:val="28"/>
                <w:szCs w:val="28"/>
              </w:rPr>
              <w:t>钛及钛合金板材</w:t>
            </w:r>
          </w:p>
        </w:tc>
      </w:tr>
      <w:tr w14:paraId="27254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1" w:type="dxa"/>
            <w:vAlign w:val="center"/>
          </w:tcPr>
          <w:p w14:paraId="11642640">
            <w:pPr>
              <w:spacing w:line="440" w:lineRule="exact"/>
              <w:rPr>
                <w:rFonts w:eastAsia="仿宋_GB2312"/>
                <w:bCs/>
                <w:sz w:val="28"/>
                <w:szCs w:val="28"/>
              </w:rPr>
            </w:pPr>
            <w:r>
              <w:rPr>
                <w:rFonts w:eastAsia="仿宋_GB2312"/>
                <w:bCs/>
                <w:sz w:val="28"/>
                <w:szCs w:val="28"/>
              </w:rPr>
              <w:t>GB/T 3191-2019</w:t>
            </w:r>
          </w:p>
        </w:tc>
        <w:tc>
          <w:tcPr>
            <w:tcW w:w="6079" w:type="dxa"/>
            <w:vAlign w:val="center"/>
          </w:tcPr>
          <w:p w14:paraId="009401B7">
            <w:pPr>
              <w:wordWrap w:val="0"/>
              <w:spacing w:line="440" w:lineRule="exact"/>
              <w:rPr>
                <w:rFonts w:eastAsia="仿宋_GB2312"/>
                <w:bCs/>
                <w:sz w:val="28"/>
                <w:szCs w:val="28"/>
              </w:rPr>
            </w:pPr>
            <w:r>
              <w:rPr>
                <w:rFonts w:eastAsia="仿宋_GB2312"/>
                <w:bCs/>
                <w:sz w:val="28"/>
                <w:szCs w:val="28"/>
              </w:rPr>
              <w:t>铝及铝合金挤压棒材</w:t>
            </w:r>
          </w:p>
        </w:tc>
      </w:tr>
      <w:tr w14:paraId="2E1B8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1" w:type="dxa"/>
            <w:vAlign w:val="center"/>
          </w:tcPr>
          <w:p w14:paraId="01681F13">
            <w:pPr>
              <w:spacing w:line="440" w:lineRule="exact"/>
              <w:rPr>
                <w:rFonts w:eastAsia="仿宋_GB2312"/>
                <w:bCs/>
                <w:sz w:val="28"/>
                <w:szCs w:val="28"/>
              </w:rPr>
            </w:pPr>
            <w:r>
              <w:rPr>
                <w:rFonts w:eastAsia="仿宋_GB2312"/>
                <w:bCs/>
                <w:sz w:val="28"/>
                <w:szCs w:val="28"/>
              </w:rPr>
              <w:t>GB/T 3190-2020</w:t>
            </w:r>
          </w:p>
        </w:tc>
        <w:tc>
          <w:tcPr>
            <w:tcW w:w="6079" w:type="dxa"/>
            <w:vAlign w:val="center"/>
          </w:tcPr>
          <w:p w14:paraId="239544D2">
            <w:pPr>
              <w:wordWrap w:val="0"/>
              <w:spacing w:line="440" w:lineRule="exact"/>
              <w:rPr>
                <w:rFonts w:eastAsia="仿宋_GB2312"/>
                <w:bCs/>
                <w:sz w:val="28"/>
                <w:szCs w:val="28"/>
              </w:rPr>
            </w:pPr>
            <w:r>
              <w:rPr>
                <w:rFonts w:eastAsia="仿宋_GB2312"/>
                <w:bCs/>
                <w:sz w:val="28"/>
                <w:szCs w:val="28"/>
              </w:rPr>
              <w:t>变形铝及铝合金化学成分</w:t>
            </w:r>
          </w:p>
        </w:tc>
      </w:tr>
      <w:tr w14:paraId="40FA4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1" w:type="dxa"/>
            <w:vAlign w:val="center"/>
          </w:tcPr>
          <w:p w14:paraId="1BDFBEAD">
            <w:pPr>
              <w:spacing w:line="440" w:lineRule="exact"/>
              <w:rPr>
                <w:rFonts w:eastAsia="仿宋_GB2312"/>
                <w:bCs/>
                <w:sz w:val="28"/>
                <w:szCs w:val="28"/>
              </w:rPr>
            </w:pPr>
            <w:r>
              <w:rPr>
                <w:rFonts w:eastAsia="仿宋_GB2312"/>
                <w:bCs/>
                <w:sz w:val="28"/>
                <w:szCs w:val="28"/>
              </w:rPr>
              <w:t>GB/T 3880.1-2023</w:t>
            </w:r>
          </w:p>
        </w:tc>
        <w:tc>
          <w:tcPr>
            <w:tcW w:w="6079" w:type="dxa"/>
            <w:vAlign w:val="center"/>
          </w:tcPr>
          <w:p w14:paraId="140D0161">
            <w:pPr>
              <w:wordWrap w:val="0"/>
              <w:spacing w:line="440" w:lineRule="exact"/>
              <w:rPr>
                <w:rFonts w:eastAsia="仿宋_GB2312"/>
                <w:bCs/>
                <w:sz w:val="28"/>
                <w:szCs w:val="28"/>
              </w:rPr>
            </w:pPr>
            <w:r>
              <w:rPr>
                <w:rFonts w:eastAsia="仿宋_GB2312"/>
                <w:bCs/>
                <w:sz w:val="28"/>
                <w:szCs w:val="28"/>
              </w:rPr>
              <w:t>一般工业用铝及铝合金板、带材 第1部分：一般要求</w:t>
            </w:r>
          </w:p>
        </w:tc>
      </w:tr>
      <w:tr w14:paraId="1548E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1" w:type="dxa"/>
            <w:vAlign w:val="center"/>
          </w:tcPr>
          <w:p w14:paraId="5F04CAB3">
            <w:pPr>
              <w:spacing w:line="440" w:lineRule="exact"/>
              <w:rPr>
                <w:rFonts w:eastAsia="仿宋_GB2312"/>
                <w:bCs/>
                <w:sz w:val="28"/>
                <w:szCs w:val="28"/>
              </w:rPr>
            </w:pPr>
            <w:r>
              <w:rPr>
                <w:rFonts w:eastAsia="仿宋_GB2312"/>
                <w:bCs/>
                <w:sz w:val="28"/>
                <w:szCs w:val="28"/>
              </w:rPr>
              <w:t>GB/T 4340.1-2024</w:t>
            </w:r>
          </w:p>
        </w:tc>
        <w:tc>
          <w:tcPr>
            <w:tcW w:w="6079" w:type="dxa"/>
            <w:vAlign w:val="center"/>
          </w:tcPr>
          <w:p w14:paraId="48EAF530">
            <w:pPr>
              <w:wordWrap w:val="0"/>
              <w:spacing w:line="440" w:lineRule="exact"/>
              <w:rPr>
                <w:rFonts w:eastAsia="仿宋_GB2312"/>
                <w:bCs/>
                <w:sz w:val="28"/>
                <w:szCs w:val="28"/>
              </w:rPr>
            </w:pPr>
            <w:r>
              <w:rPr>
                <w:rFonts w:eastAsia="仿宋_GB2312"/>
                <w:bCs/>
                <w:sz w:val="28"/>
                <w:szCs w:val="28"/>
              </w:rPr>
              <w:t>金属材料 维氏硬度试验 第1部分：试验方法</w:t>
            </w:r>
          </w:p>
        </w:tc>
      </w:tr>
      <w:tr w14:paraId="6C967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1" w:type="dxa"/>
            <w:vAlign w:val="center"/>
          </w:tcPr>
          <w:p w14:paraId="4E563FCB">
            <w:pPr>
              <w:spacing w:line="440" w:lineRule="exact"/>
              <w:rPr>
                <w:rFonts w:eastAsia="仿宋_GB2312"/>
                <w:bCs/>
                <w:sz w:val="28"/>
                <w:szCs w:val="28"/>
              </w:rPr>
            </w:pPr>
            <w:r>
              <w:rPr>
                <w:rFonts w:eastAsia="仿宋_GB2312"/>
                <w:bCs/>
                <w:sz w:val="28"/>
                <w:szCs w:val="28"/>
              </w:rPr>
              <w:t>GB/T 10128-2007</w:t>
            </w:r>
          </w:p>
        </w:tc>
        <w:tc>
          <w:tcPr>
            <w:tcW w:w="6079" w:type="dxa"/>
            <w:vAlign w:val="center"/>
          </w:tcPr>
          <w:p w14:paraId="0042953D">
            <w:pPr>
              <w:wordWrap w:val="0"/>
              <w:spacing w:line="440" w:lineRule="exact"/>
              <w:rPr>
                <w:rFonts w:eastAsia="仿宋_GB2312"/>
                <w:bCs/>
                <w:sz w:val="28"/>
                <w:szCs w:val="28"/>
              </w:rPr>
            </w:pPr>
            <w:r>
              <w:rPr>
                <w:rFonts w:eastAsia="仿宋_GB2312"/>
                <w:bCs/>
                <w:sz w:val="28"/>
                <w:szCs w:val="28"/>
              </w:rPr>
              <w:t>金属材料 室温扭转试验方法</w:t>
            </w:r>
          </w:p>
        </w:tc>
      </w:tr>
      <w:tr w14:paraId="7A5E0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1" w:type="dxa"/>
            <w:vAlign w:val="center"/>
          </w:tcPr>
          <w:p w14:paraId="43681D5F">
            <w:pPr>
              <w:spacing w:line="440" w:lineRule="exact"/>
              <w:rPr>
                <w:rFonts w:eastAsia="仿宋_GB2312"/>
                <w:bCs/>
                <w:sz w:val="28"/>
                <w:szCs w:val="28"/>
              </w:rPr>
            </w:pPr>
            <w:r>
              <w:rPr>
                <w:rFonts w:eastAsia="仿宋_GB2312"/>
                <w:bCs/>
                <w:sz w:val="28"/>
                <w:szCs w:val="28"/>
              </w:rPr>
              <w:t>GB/T 8013.1-2018</w:t>
            </w:r>
          </w:p>
        </w:tc>
        <w:tc>
          <w:tcPr>
            <w:tcW w:w="6079" w:type="dxa"/>
            <w:vAlign w:val="center"/>
          </w:tcPr>
          <w:p w14:paraId="1CC4D765">
            <w:pPr>
              <w:wordWrap w:val="0"/>
              <w:spacing w:line="440" w:lineRule="exact"/>
              <w:rPr>
                <w:rFonts w:eastAsia="仿宋_GB2312"/>
                <w:bCs/>
                <w:sz w:val="28"/>
                <w:szCs w:val="28"/>
              </w:rPr>
            </w:pPr>
            <w:r>
              <w:rPr>
                <w:rFonts w:eastAsia="仿宋_GB2312"/>
                <w:bCs/>
                <w:sz w:val="28"/>
                <w:szCs w:val="28"/>
              </w:rPr>
              <w:t>铝及铝合金阳极氧化膜与有机聚合物膜 第1部分：阳极氧化膜</w:t>
            </w:r>
          </w:p>
        </w:tc>
      </w:tr>
      <w:tr w14:paraId="3B5F2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1" w:type="dxa"/>
            <w:vAlign w:val="center"/>
          </w:tcPr>
          <w:p w14:paraId="52B22405">
            <w:pPr>
              <w:spacing w:line="440" w:lineRule="exact"/>
              <w:rPr>
                <w:rFonts w:eastAsia="仿宋_GB2312"/>
                <w:bCs/>
                <w:sz w:val="28"/>
                <w:szCs w:val="28"/>
              </w:rPr>
            </w:pPr>
            <w:r>
              <w:rPr>
                <w:rFonts w:eastAsia="仿宋_GB2312"/>
                <w:bCs/>
                <w:sz w:val="28"/>
                <w:szCs w:val="28"/>
              </w:rPr>
              <w:t>GB/T 41873-2022</w:t>
            </w:r>
          </w:p>
        </w:tc>
        <w:tc>
          <w:tcPr>
            <w:tcW w:w="6079" w:type="dxa"/>
            <w:vAlign w:val="center"/>
          </w:tcPr>
          <w:p w14:paraId="737E461F">
            <w:pPr>
              <w:wordWrap w:val="0"/>
              <w:spacing w:line="440" w:lineRule="exact"/>
              <w:rPr>
                <w:rFonts w:eastAsia="仿宋_GB2312"/>
                <w:bCs/>
                <w:sz w:val="28"/>
                <w:szCs w:val="28"/>
              </w:rPr>
            </w:pPr>
            <w:r>
              <w:rPr>
                <w:rFonts w:eastAsia="仿宋_GB2312"/>
                <w:bCs/>
                <w:sz w:val="28"/>
                <w:szCs w:val="28"/>
              </w:rPr>
              <w:t>塑料 聚醚醚酮（PEEK）树脂</w:t>
            </w:r>
          </w:p>
        </w:tc>
      </w:tr>
      <w:tr w14:paraId="37A71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1" w:type="dxa"/>
            <w:vAlign w:val="center"/>
          </w:tcPr>
          <w:p w14:paraId="0616F289">
            <w:pPr>
              <w:spacing w:line="440" w:lineRule="exact"/>
              <w:rPr>
                <w:rFonts w:eastAsia="仿宋_GB2312"/>
                <w:bCs/>
                <w:sz w:val="28"/>
                <w:szCs w:val="28"/>
              </w:rPr>
            </w:pPr>
            <w:r>
              <w:rPr>
                <w:rFonts w:eastAsia="仿宋_GB2312"/>
                <w:bCs/>
                <w:sz w:val="28"/>
                <w:szCs w:val="28"/>
              </w:rPr>
              <w:t>GB 18279.1-2015</w:t>
            </w:r>
          </w:p>
        </w:tc>
        <w:tc>
          <w:tcPr>
            <w:tcW w:w="6079" w:type="dxa"/>
            <w:vAlign w:val="center"/>
          </w:tcPr>
          <w:p w14:paraId="66DB67FC">
            <w:pPr>
              <w:wordWrap w:val="0"/>
              <w:spacing w:line="440" w:lineRule="exact"/>
              <w:rPr>
                <w:rFonts w:eastAsia="仿宋_GB2312"/>
                <w:bCs/>
                <w:sz w:val="28"/>
                <w:szCs w:val="28"/>
              </w:rPr>
            </w:pPr>
            <w:r>
              <w:rPr>
                <w:rFonts w:eastAsia="仿宋_GB2312"/>
                <w:bCs/>
                <w:sz w:val="28"/>
                <w:szCs w:val="28"/>
              </w:rPr>
              <w:t>医疗保健产品灭菌 环氧乙烷 第1部分：医疗器械灭菌过程的开发、确认和常规控制的要求</w:t>
            </w:r>
          </w:p>
        </w:tc>
      </w:tr>
      <w:tr w14:paraId="26282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1" w:type="dxa"/>
            <w:vAlign w:val="center"/>
          </w:tcPr>
          <w:p w14:paraId="45142232">
            <w:pPr>
              <w:spacing w:line="440" w:lineRule="exact"/>
              <w:rPr>
                <w:rFonts w:eastAsia="仿宋_GB2312"/>
                <w:bCs/>
                <w:sz w:val="28"/>
                <w:szCs w:val="28"/>
              </w:rPr>
            </w:pPr>
            <w:r>
              <w:rPr>
                <w:rFonts w:eastAsia="仿宋_GB2312"/>
                <w:bCs/>
                <w:sz w:val="28"/>
                <w:szCs w:val="28"/>
              </w:rPr>
              <w:t>GB/T18279.2-2015</w:t>
            </w:r>
          </w:p>
        </w:tc>
        <w:tc>
          <w:tcPr>
            <w:tcW w:w="6079" w:type="dxa"/>
            <w:vAlign w:val="center"/>
          </w:tcPr>
          <w:p w14:paraId="5B263A2F">
            <w:pPr>
              <w:wordWrap w:val="0"/>
              <w:spacing w:line="440" w:lineRule="exact"/>
              <w:rPr>
                <w:rFonts w:eastAsia="仿宋_GB2312"/>
                <w:bCs/>
                <w:sz w:val="28"/>
                <w:szCs w:val="28"/>
              </w:rPr>
            </w:pPr>
            <w:r>
              <w:rPr>
                <w:rFonts w:eastAsia="仿宋_GB2312"/>
                <w:bCs/>
                <w:sz w:val="28"/>
                <w:szCs w:val="28"/>
              </w:rPr>
              <w:t>医疗保健产品的灭菌 环氧乙烷 第2部分：GB 18279.1应用指南</w:t>
            </w:r>
          </w:p>
        </w:tc>
      </w:tr>
      <w:tr w14:paraId="1F233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1" w:type="dxa"/>
            <w:vAlign w:val="center"/>
          </w:tcPr>
          <w:p w14:paraId="1722E7EF">
            <w:pPr>
              <w:spacing w:line="440" w:lineRule="exact"/>
              <w:rPr>
                <w:rFonts w:eastAsia="仿宋_GB2312"/>
                <w:bCs/>
                <w:sz w:val="28"/>
                <w:szCs w:val="28"/>
              </w:rPr>
            </w:pPr>
            <w:r>
              <w:rPr>
                <w:rFonts w:eastAsia="仿宋_GB2312"/>
                <w:bCs/>
                <w:sz w:val="28"/>
                <w:szCs w:val="28"/>
              </w:rPr>
              <w:t>GB 18280.1-2015</w:t>
            </w:r>
          </w:p>
        </w:tc>
        <w:tc>
          <w:tcPr>
            <w:tcW w:w="6079" w:type="dxa"/>
            <w:vAlign w:val="center"/>
          </w:tcPr>
          <w:p w14:paraId="68047593">
            <w:pPr>
              <w:wordWrap w:val="0"/>
              <w:spacing w:line="440" w:lineRule="exact"/>
              <w:rPr>
                <w:rFonts w:eastAsia="仿宋_GB2312"/>
                <w:bCs/>
                <w:sz w:val="28"/>
                <w:szCs w:val="28"/>
              </w:rPr>
            </w:pPr>
            <w:r>
              <w:rPr>
                <w:rFonts w:eastAsia="仿宋_GB2312"/>
                <w:bCs/>
                <w:sz w:val="28"/>
                <w:szCs w:val="28"/>
              </w:rPr>
              <w:t>医疗保健产品灭菌 辐射 第1部分：医疗器械灭菌过程的开发、确认和常规控制要求</w:t>
            </w:r>
          </w:p>
        </w:tc>
      </w:tr>
      <w:tr w14:paraId="7A1EE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1" w:type="dxa"/>
            <w:vAlign w:val="center"/>
          </w:tcPr>
          <w:p w14:paraId="779ACCEA">
            <w:pPr>
              <w:spacing w:line="440" w:lineRule="exact"/>
              <w:rPr>
                <w:rFonts w:eastAsia="仿宋_GB2312"/>
                <w:bCs/>
                <w:sz w:val="28"/>
                <w:szCs w:val="28"/>
              </w:rPr>
            </w:pPr>
            <w:r>
              <w:rPr>
                <w:rFonts w:eastAsia="仿宋_GB2312"/>
                <w:bCs/>
                <w:sz w:val="28"/>
                <w:szCs w:val="28"/>
              </w:rPr>
              <w:t>GB 18280.2-2015</w:t>
            </w:r>
          </w:p>
        </w:tc>
        <w:tc>
          <w:tcPr>
            <w:tcW w:w="6079" w:type="dxa"/>
            <w:vAlign w:val="center"/>
          </w:tcPr>
          <w:p w14:paraId="321FAF5E">
            <w:pPr>
              <w:wordWrap w:val="0"/>
              <w:spacing w:line="440" w:lineRule="exact"/>
              <w:rPr>
                <w:rFonts w:eastAsia="仿宋_GB2312"/>
                <w:bCs/>
                <w:sz w:val="28"/>
                <w:szCs w:val="28"/>
              </w:rPr>
            </w:pPr>
            <w:r>
              <w:rPr>
                <w:rFonts w:eastAsia="仿宋_GB2312"/>
                <w:bCs/>
                <w:sz w:val="28"/>
                <w:szCs w:val="28"/>
              </w:rPr>
              <w:t>医疗保健产品灭菌 辐射 第2部分：建立灭菌剂量</w:t>
            </w:r>
          </w:p>
        </w:tc>
      </w:tr>
      <w:tr w14:paraId="569E9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1" w:type="dxa"/>
            <w:vAlign w:val="center"/>
          </w:tcPr>
          <w:p w14:paraId="090FD8B0">
            <w:pPr>
              <w:spacing w:line="440" w:lineRule="exact"/>
              <w:rPr>
                <w:rFonts w:eastAsia="仿宋_GB2312"/>
                <w:bCs/>
                <w:sz w:val="28"/>
                <w:szCs w:val="28"/>
              </w:rPr>
            </w:pPr>
            <w:r>
              <w:rPr>
                <w:rFonts w:eastAsia="仿宋_GB2312"/>
                <w:bCs/>
                <w:sz w:val="28"/>
                <w:szCs w:val="28"/>
              </w:rPr>
              <w:t>GB/T 18280.3-2015</w:t>
            </w:r>
          </w:p>
        </w:tc>
        <w:tc>
          <w:tcPr>
            <w:tcW w:w="6079" w:type="dxa"/>
            <w:vAlign w:val="center"/>
          </w:tcPr>
          <w:p w14:paraId="53DCEEF0">
            <w:pPr>
              <w:wordWrap w:val="0"/>
              <w:spacing w:line="440" w:lineRule="exact"/>
              <w:rPr>
                <w:rFonts w:eastAsia="仿宋_GB2312"/>
                <w:bCs/>
                <w:sz w:val="28"/>
                <w:szCs w:val="28"/>
              </w:rPr>
            </w:pPr>
            <w:r>
              <w:rPr>
                <w:rFonts w:eastAsia="仿宋_GB2312"/>
                <w:bCs/>
                <w:sz w:val="28"/>
                <w:szCs w:val="28"/>
              </w:rPr>
              <w:t>医疗保健产品灭菌 辐射 第3部分：剂量测量指南</w:t>
            </w:r>
          </w:p>
        </w:tc>
      </w:tr>
      <w:tr w14:paraId="0ED84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1" w:type="dxa"/>
            <w:vAlign w:val="center"/>
          </w:tcPr>
          <w:p w14:paraId="6E7DBA8A">
            <w:pPr>
              <w:spacing w:line="440" w:lineRule="exact"/>
              <w:rPr>
                <w:rFonts w:eastAsia="仿宋_GB2312"/>
                <w:bCs/>
                <w:sz w:val="28"/>
                <w:szCs w:val="28"/>
              </w:rPr>
            </w:pPr>
            <w:r>
              <w:rPr>
                <w:rFonts w:eastAsia="仿宋_GB2312"/>
                <w:bCs/>
                <w:sz w:val="28"/>
                <w:szCs w:val="28"/>
              </w:rPr>
              <w:t>YY/T 0149-2006</w:t>
            </w:r>
          </w:p>
        </w:tc>
        <w:tc>
          <w:tcPr>
            <w:tcW w:w="6079" w:type="dxa"/>
            <w:vAlign w:val="center"/>
          </w:tcPr>
          <w:p w14:paraId="1C7DC253">
            <w:pPr>
              <w:wordWrap w:val="0"/>
              <w:spacing w:line="440" w:lineRule="exact"/>
              <w:rPr>
                <w:rFonts w:eastAsia="仿宋_GB2312"/>
                <w:bCs/>
                <w:sz w:val="28"/>
                <w:szCs w:val="28"/>
              </w:rPr>
            </w:pPr>
            <w:r>
              <w:rPr>
                <w:rFonts w:eastAsia="仿宋_GB2312"/>
                <w:bCs/>
                <w:sz w:val="28"/>
                <w:szCs w:val="28"/>
              </w:rPr>
              <w:t>不锈钢医用器械 耐腐蚀性能试验方法</w:t>
            </w:r>
          </w:p>
        </w:tc>
      </w:tr>
      <w:tr w14:paraId="7693E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1" w:type="dxa"/>
            <w:vAlign w:val="center"/>
          </w:tcPr>
          <w:p w14:paraId="61C3C22B">
            <w:pPr>
              <w:spacing w:line="440" w:lineRule="exact"/>
              <w:rPr>
                <w:rFonts w:eastAsia="仿宋_GB2312"/>
                <w:bCs/>
                <w:sz w:val="28"/>
                <w:szCs w:val="28"/>
              </w:rPr>
            </w:pPr>
            <w:r>
              <w:rPr>
                <w:rFonts w:eastAsia="仿宋_GB2312"/>
                <w:bCs/>
                <w:sz w:val="28"/>
                <w:szCs w:val="28"/>
              </w:rPr>
              <w:t>YY/T 0508-2009</w:t>
            </w:r>
          </w:p>
        </w:tc>
        <w:tc>
          <w:tcPr>
            <w:tcW w:w="6079" w:type="dxa"/>
            <w:vAlign w:val="center"/>
          </w:tcPr>
          <w:p w14:paraId="01021AC6">
            <w:pPr>
              <w:wordWrap w:val="0"/>
              <w:spacing w:line="440" w:lineRule="exact"/>
              <w:rPr>
                <w:rFonts w:eastAsia="仿宋_GB2312"/>
                <w:bCs/>
                <w:sz w:val="28"/>
                <w:szCs w:val="28"/>
              </w:rPr>
            </w:pPr>
            <w:r>
              <w:rPr>
                <w:rFonts w:eastAsia="仿宋_GB2312"/>
                <w:bCs/>
                <w:sz w:val="28"/>
                <w:szCs w:val="28"/>
              </w:rPr>
              <w:t>外固定支架专用要求</w:t>
            </w:r>
          </w:p>
        </w:tc>
      </w:tr>
      <w:tr w14:paraId="17F4E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1" w:type="dxa"/>
            <w:vAlign w:val="center"/>
          </w:tcPr>
          <w:p w14:paraId="1EB253EB">
            <w:pPr>
              <w:spacing w:line="440" w:lineRule="exact"/>
              <w:rPr>
                <w:rFonts w:eastAsia="仿宋_GB2312"/>
                <w:bCs/>
                <w:sz w:val="28"/>
                <w:szCs w:val="28"/>
              </w:rPr>
            </w:pPr>
            <w:r>
              <w:rPr>
                <w:rFonts w:eastAsia="仿宋_GB2312"/>
                <w:bCs/>
                <w:sz w:val="28"/>
                <w:szCs w:val="28"/>
              </w:rPr>
              <w:t>YY/T 1782-2021</w:t>
            </w:r>
          </w:p>
        </w:tc>
        <w:tc>
          <w:tcPr>
            <w:tcW w:w="6079" w:type="dxa"/>
            <w:vAlign w:val="center"/>
          </w:tcPr>
          <w:p w14:paraId="770224A9">
            <w:pPr>
              <w:wordWrap w:val="0"/>
              <w:spacing w:line="440" w:lineRule="exact"/>
              <w:rPr>
                <w:rFonts w:eastAsia="仿宋_GB2312"/>
                <w:bCs/>
                <w:sz w:val="28"/>
                <w:szCs w:val="28"/>
              </w:rPr>
            </w:pPr>
            <w:r>
              <w:rPr>
                <w:rFonts w:eastAsia="仿宋_GB2312"/>
                <w:bCs/>
                <w:sz w:val="28"/>
                <w:szCs w:val="28"/>
              </w:rPr>
              <w:t>骨科外固定支架力学性能测试方法</w:t>
            </w:r>
          </w:p>
        </w:tc>
      </w:tr>
      <w:tr w14:paraId="07811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1" w:type="dxa"/>
            <w:vAlign w:val="center"/>
          </w:tcPr>
          <w:p w14:paraId="70B986F4">
            <w:pPr>
              <w:spacing w:line="440" w:lineRule="exact"/>
              <w:rPr>
                <w:rFonts w:eastAsia="仿宋_GB2312"/>
                <w:bCs/>
                <w:sz w:val="28"/>
                <w:szCs w:val="28"/>
              </w:rPr>
            </w:pPr>
            <w:r>
              <w:rPr>
                <w:rFonts w:eastAsia="仿宋_GB2312"/>
                <w:bCs/>
                <w:sz w:val="28"/>
                <w:szCs w:val="28"/>
              </w:rPr>
              <w:t>ASTM F1541-24</w:t>
            </w:r>
          </w:p>
        </w:tc>
        <w:tc>
          <w:tcPr>
            <w:tcW w:w="6079" w:type="dxa"/>
            <w:vAlign w:val="center"/>
          </w:tcPr>
          <w:p w14:paraId="20538437">
            <w:pPr>
              <w:wordWrap w:val="0"/>
              <w:spacing w:line="440" w:lineRule="exact"/>
              <w:rPr>
                <w:rFonts w:eastAsia="仿宋_GB2312"/>
                <w:bCs/>
                <w:sz w:val="28"/>
                <w:szCs w:val="28"/>
              </w:rPr>
            </w:pPr>
            <w:r>
              <w:rPr>
                <w:rFonts w:eastAsia="仿宋_GB2312"/>
                <w:bCs/>
                <w:sz w:val="28"/>
                <w:szCs w:val="28"/>
              </w:rPr>
              <w:t>Standard Specification and Test Methods for External Skeletal Fixation Devices</w:t>
            </w:r>
          </w:p>
        </w:tc>
      </w:tr>
    </w:tbl>
    <w:p w14:paraId="442C58AE">
      <w:pPr>
        <w:spacing w:line="520" w:lineRule="exact"/>
        <w:ind w:firstLine="640" w:firstLineChars="200"/>
        <w:rPr>
          <w:rFonts w:eastAsia="仿宋_GB2312"/>
          <w:szCs w:val="32"/>
        </w:rPr>
      </w:pPr>
      <w:r>
        <w:rPr>
          <w:rFonts w:eastAsia="仿宋_GB2312"/>
          <w:szCs w:val="32"/>
        </w:rPr>
        <w:t>3.3性能指标</w:t>
      </w:r>
    </w:p>
    <w:p w14:paraId="6C6B33BD">
      <w:pPr>
        <w:spacing w:line="520" w:lineRule="exact"/>
        <w:ind w:firstLine="640" w:firstLineChars="200"/>
        <w:rPr>
          <w:rFonts w:eastAsia="仿宋_GB2312"/>
          <w:szCs w:val="32"/>
        </w:rPr>
      </w:pPr>
      <w:r>
        <w:rPr>
          <w:rFonts w:eastAsia="仿宋_GB2312"/>
          <w:szCs w:val="32"/>
        </w:rPr>
        <w:t>列举的基本技术指标为典型骨科外固定支架的指标，注册申请人可参考相应的标准，根据注册申请人自身产品的技术特点和用途制定相应的性能指标。技术要求应包括但不限于以下内容：</w:t>
      </w:r>
    </w:p>
    <w:p w14:paraId="2261022B">
      <w:pPr>
        <w:spacing w:line="560" w:lineRule="exact"/>
        <w:ind w:firstLine="640" w:firstLineChars="200"/>
        <w:rPr>
          <w:rFonts w:eastAsia="仿宋_GB2312"/>
          <w:szCs w:val="32"/>
        </w:rPr>
      </w:pPr>
      <w:r>
        <w:rPr>
          <w:rFonts w:eastAsia="仿宋_GB2312"/>
          <w:szCs w:val="32"/>
        </w:rPr>
        <w:t>3.3.1外观</w:t>
      </w:r>
    </w:p>
    <w:p w14:paraId="70FA00A6">
      <w:pPr>
        <w:spacing w:line="560" w:lineRule="exact"/>
        <w:ind w:firstLine="480" w:firstLineChars="150"/>
        <w:rPr>
          <w:rFonts w:eastAsia="仿宋_GB2312"/>
          <w:szCs w:val="32"/>
        </w:rPr>
      </w:pPr>
      <w:r>
        <w:rPr>
          <w:rFonts w:eastAsia="仿宋_GB2312"/>
          <w:szCs w:val="32"/>
        </w:rPr>
        <w:t>（1）外固定支架表面应光滑、洁净，不得有锋</w:t>
      </w:r>
      <w:r>
        <w:rPr>
          <w:rFonts w:eastAsia="仿宋_GB2312"/>
          <w:color w:val="000000"/>
          <w:szCs w:val="32"/>
        </w:rPr>
        <w:t>棱</w:t>
      </w:r>
      <w:r>
        <w:rPr>
          <w:rFonts w:eastAsia="仿宋_GB2312"/>
          <w:szCs w:val="32"/>
        </w:rPr>
        <w:t>、毛刺、凹痕及裂纹等缺陷。</w:t>
      </w:r>
    </w:p>
    <w:p w14:paraId="3D893FE6">
      <w:pPr>
        <w:spacing w:line="560" w:lineRule="exact"/>
        <w:ind w:firstLine="480" w:firstLineChars="150"/>
        <w:rPr>
          <w:rFonts w:eastAsia="仿宋_GB2312"/>
          <w:szCs w:val="32"/>
        </w:rPr>
      </w:pPr>
      <w:r>
        <w:rPr>
          <w:rFonts w:eastAsia="仿宋_GB2312"/>
          <w:szCs w:val="32"/>
        </w:rPr>
        <w:t>（2）外固定支架铝合金部件经阳极氧化处理后，有效面的色泽应均匀一致，无腐蚀、麻面、夹杂等可见缺陷。</w:t>
      </w:r>
    </w:p>
    <w:p w14:paraId="5F1E9C45">
      <w:pPr>
        <w:spacing w:line="560" w:lineRule="exact"/>
        <w:ind w:firstLine="480" w:firstLineChars="150"/>
        <w:rPr>
          <w:rFonts w:eastAsia="仿宋_GB2312"/>
          <w:szCs w:val="32"/>
        </w:rPr>
      </w:pPr>
      <w:r>
        <w:rPr>
          <w:rFonts w:eastAsia="仿宋_GB2312"/>
          <w:szCs w:val="32"/>
        </w:rPr>
        <w:t>（3）外固定支架的伸缩体应有刻度，刻度应完整清晰。</w:t>
      </w:r>
    </w:p>
    <w:p w14:paraId="2A0991AB">
      <w:pPr>
        <w:spacing w:line="560" w:lineRule="exact"/>
        <w:ind w:firstLine="480" w:firstLineChars="150"/>
        <w:rPr>
          <w:rFonts w:eastAsia="仿宋_GB2312"/>
          <w:szCs w:val="32"/>
        </w:rPr>
      </w:pPr>
      <w:r>
        <w:rPr>
          <w:rFonts w:eastAsia="仿宋_GB2312"/>
          <w:szCs w:val="32"/>
        </w:rPr>
        <w:t>（4）提示性标记应完整、清晰。</w:t>
      </w:r>
    </w:p>
    <w:p w14:paraId="4E9E5E63">
      <w:pPr>
        <w:spacing w:line="560" w:lineRule="exact"/>
        <w:ind w:firstLine="640" w:firstLineChars="200"/>
        <w:rPr>
          <w:rFonts w:eastAsia="仿宋_GB2312"/>
          <w:szCs w:val="32"/>
        </w:rPr>
      </w:pPr>
      <w:r>
        <w:rPr>
          <w:rFonts w:eastAsia="仿宋_GB2312"/>
          <w:szCs w:val="32"/>
        </w:rPr>
        <w:t>3.3.2尺寸要求</w:t>
      </w:r>
    </w:p>
    <w:p w14:paraId="233581B6">
      <w:pPr>
        <w:spacing w:line="560" w:lineRule="exact"/>
        <w:ind w:firstLine="640" w:firstLineChars="200"/>
        <w:rPr>
          <w:rFonts w:eastAsia="仿宋_GB2312"/>
          <w:szCs w:val="32"/>
        </w:rPr>
      </w:pPr>
      <w:r>
        <w:rPr>
          <w:rFonts w:eastAsia="仿宋_GB2312"/>
          <w:szCs w:val="32"/>
        </w:rPr>
        <w:t>外固定支架所有部件的主要尺寸和调节范围注册申请人可自行规定。</w:t>
      </w:r>
    </w:p>
    <w:p w14:paraId="5D8E2BCC">
      <w:pPr>
        <w:spacing w:line="560" w:lineRule="exact"/>
        <w:ind w:firstLine="640" w:firstLineChars="200"/>
        <w:rPr>
          <w:rFonts w:eastAsia="仿宋_GB2312"/>
          <w:szCs w:val="32"/>
        </w:rPr>
      </w:pPr>
      <w:r>
        <w:rPr>
          <w:rFonts w:eastAsia="仿宋_GB2312"/>
          <w:szCs w:val="32"/>
        </w:rPr>
        <w:t>3.3.3耐腐蚀性能</w:t>
      </w:r>
    </w:p>
    <w:p w14:paraId="097E78B8">
      <w:pPr>
        <w:pStyle w:val="20"/>
        <w:spacing w:line="560" w:lineRule="exact"/>
        <w:ind w:firstLine="640"/>
        <w:rPr>
          <w:rFonts w:ascii="Times New Roman" w:eastAsia="仿宋_GB2312"/>
          <w:sz w:val="32"/>
          <w:szCs w:val="32"/>
        </w:rPr>
      </w:pPr>
      <w:r>
        <w:rPr>
          <w:rFonts w:ascii="Times New Roman" w:eastAsia="仿宋_GB2312"/>
          <w:sz w:val="32"/>
          <w:szCs w:val="32"/>
        </w:rPr>
        <w:t>外固定支架的不锈钢部件应有良好的耐腐蚀性，应不低于YY/T 0149中“沸水试验法”b级要求。铝合金制件的阳极氧化膜耐人工汗性结果应符合GB/T 8013.1的表7中的要求。</w:t>
      </w:r>
    </w:p>
    <w:p w14:paraId="37E2CA3B">
      <w:pPr>
        <w:spacing w:line="560" w:lineRule="exact"/>
        <w:ind w:firstLine="640" w:firstLineChars="200"/>
        <w:rPr>
          <w:rFonts w:eastAsia="仿宋_GB2312"/>
          <w:szCs w:val="32"/>
        </w:rPr>
      </w:pPr>
      <w:r>
        <w:rPr>
          <w:rFonts w:eastAsia="仿宋_GB2312"/>
          <w:szCs w:val="32"/>
        </w:rPr>
        <w:t>3.3.4表面粗糙度</w:t>
      </w:r>
    </w:p>
    <w:p w14:paraId="54923C0F">
      <w:pPr>
        <w:spacing w:line="560" w:lineRule="exact"/>
        <w:ind w:firstLine="640" w:firstLineChars="200"/>
        <w:rPr>
          <w:rFonts w:eastAsia="仿宋_GB2312"/>
          <w:bCs/>
          <w:szCs w:val="32"/>
        </w:rPr>
      </w:pPr>
      <w:r>
        <w:rPr>
          <w:rFonts w:eastAsia="仿宋_GB2312"/>
          <w:szCs w:val="32"/>
        </w:rPr>
        <w:t>外固定支架的金属部件表面粗糙度Ra值，应符合表3的规定。</w:t>
      </w:r>
    </w:p>
    <w:p w14:paraId="0135E287">
      <w:pPr>
        <w:spacing w:line="560" w:lineRule="exact"/>
        <w:ind w:firstLine="560" w:firstLineChars="200"/>
        <w:jc w:val="center"/>
        <w:rPr>
          <w:rFonts w:eastAsia="黑体"/>
          <w:szCs w:val="32"/>
        </w:rPr>
      </w:pPr>
      <w:r>
        <w:rPr>
          <w:rFonts w:eastAsia="黑体"/>
          <w:sz w:val="28"/>
          <w:szCs w:val="32"/>
        </w:rPr>
        <w:t xml:space="preserve">表2 表面粗糙度（Ra）      单位：微米 </w:t>
      </w:r>
      <w:r>
        <w:rPr>
          <w:rFonts w:eastAsia="黑体"/>
          <w:szCs w:val="32"/>
        </w:rPr>
        <w:t xml:space="preserve">     </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0"/>
        <w:gridCol w:w="2998"/>
        <w:gridCol w:w="2383"/>
      </w:tblGrid>
      <w:tr w14:paraId="70E87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20" w:type="dxa"/>
            <w:vMerge w:val="restart"/>
            <w:vAlign w:val="center"/>
          </w:tcPr>
          <w:p w14:paraId="2D89C683">
            <w:pPr>
              <w:jc w:val="center"/>
              <w:rPr>
                <w:rFonts w:eastAsia="黑体"/>
                <w:sz w:val="28"/>
                <w:szCs w:val="28"/>
              </w:rPr>
            </w:pPr>
            <w:r>
              <w:rPr>
                <w:rFonts w:eastAsia="黑体"/>
                <w:sz w:val="28"/>
                <w:szCs w:val="28"/>
              </w:rPr>
              <w:t>外表特征</w:t>
            </w:r>
          </w:p>
        </w:tc>
        <w:tc>
          <w:tcPr>
            <w:tcW w:w="5381" w:type="dxa"/>
            <w:gridSpan w:val="2"/>
            <w:vAlign w:val="center"/>
          </w:tcPr>
          <w:p w14:paraId="0F19BC18">
            <w:pPr>
              <w:jc w:val="center"/>
              <w:rPr>
                <w:rFonts w:eastAsia="黑体"/>
                <w:sz w:val="28"/>
                <w:szCs w:val="28"/>
              </w:rPr>
            </w:pPr>
            <w:r>
              <w:rPr>
                <w:rFonts w:eastAsia="黑体"/>
                <w:sz w:val="28"/>
                <w:szCs w:val="28"/>
              </w:rPr>
              <w:t>部　位</w:t>
            </w:r>
          </w:p>
        </w:tc>
      </w:tr>
      <w:tr w14:paraId="115E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20" w:type="dxa"/>
            <w:vMerge w:val="continue"/>
            <w:vAlign w:val="center"/>
          </w:tcPr>
          <w:p w14:paraId="61D2BA2D">
            <w:pPr>
              <w:jc w:val="center"/>
              <w:rPr>
                <w:rFonts w:eastAsia="黑体"/>
                <w:sz w:val="28"/>
                <w:szCs w:val="28"/>
              </w:rPr>
            </w:pPr>
          </w:p>
        </w:tc>
        <w:tc>
          <w:tcPr>
            <w:tcW w:w="2998" w:type="dxa"/>
            <w:vAlign w:val="center"/>
          </w:tcPr>
          <w:p w14:paraId="5A55DD70">
            <w:pPr>
              <w:jc w:val="center"/>
              <w:rPr>
                <w:rFonts w:eastAsia="黑体"/>
                <w:sz w:val="28"/>
                <w:szCs w:val="28"/>
              </w:rPr>
            </w:pPr>
            <w:r>
              <w:rPr>
                <w:rFonts w:eastAsia="黑体"/>
                <w:sz w:val="28"/>
                <w:szCs w:val="28"/>
              </w:rPr>
              <w:t>外表面</w:t>
            </w:r>
          </w:p>
        </w:tc>
        <w:tc>
          <w:tcPr>
            <w:tcW w:w="2383" w:type="dxa"/>
            <w:vAlign w:val="center"/>
          </w:tcPr>
          <w:p w14:paraId="1A110AE1">
            <w:pPr>
              <w:jc w:val="center"/>
              <w:rPr>
                <w:rFonts w:eastAsia="黑体"/>
                <w:sz w:val="28"/>
                <w:szCs w:val="28"/>
              </w:rPr>
            </w:pPr>
            <w:r>
              <w:rPr>
                <w:rFonts w:eastAsia="黑体"/>
                <w:sz w:val="28"/>
                <w:szCs w:val="28"/>
              </w:rPr>
              <w:t>其余</w:t>
            </w:r>
          </w:p>
        </w:tc>
      </w:tr>
      <w:tr w14:paraId="02296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20" w:type="dxa"/>
            <w:vAlign w:val="center"/>
          </w:tcPr>
          <w:p w14:paraId="73D14E95">
            <w:pPr>
              <w:jc w:val="center"/>
              <w:rPr>
                <w:rFonts w:eastAsia="仿宋_GB2312"/>
                <w:sz w:val="28"/>
                <w:szCs w:val="28"/>
              </w:rPr>
            </w:pPr>
            <w:r>
              <w:rPr>
                <w:rFonts w:eastAsia="仿宋_GB2312"/>
                <w:sz w:val="28"/>
                <w:szCs w:val="28"/>
              </w:rPr>
              <w:t>有光亮</w:t>
            </w:r>
          </w:p>
        </w:tc>
        <w:tc>
          <w:tcPr>
            <w:tcW w:w="2998" w:type="dxa"/>
            <w:vAlign w:val="center"/>
          </w:tcPr>
          <w:p w14:paraId="6F035E64">
            <w:pPr>
              <w:jc w:val="center"/>
              <w:rPr>
                <w:rFonts w:eastAsia="仿宋_GB2312"/>
                <w:sz w:val="28"/>
                <w:szCs w:val="28"/>
              </w:rPr>
            </w:pPr>
            <w:r>
              <w:rPr>
                <w:rFonts w:eastAsia="仿宋_GB2312"/>
                <w:sz w:val="28"/>
                <w:szCs w:val="28"/>
              </w:rPr>
              <w:t>≤1.6</w:t>
            </w:r>
          </w:p>
        </w:tc>
        <w:tc>
          <w:tcPr>
            <w:tcW w:w="2383" w:type="dxa"/>
            <w:vAlign w:val="center"/>
          </w:tcPr>
          <w:p w14:paraId="4E46482D">
            <w:pPr>
              <w:jc w:val="center"/>
              <w:rPr>
                <w:rFonts w:eastAsia="仿宋_GB2312"/>
                <w:sz w:val="28"/>
                <w:szCs w:val="28"/>
              </w:rPr>
            </w:pPr>
            <w:r>
              <w:rPr>
                <w:rFonts w:eastAsia="仿宋_GB2312"/>
                <w:sz w:val="28"/>
                <w:szCs w:val="28"/>
              </w:rPr>
              <w:t>≤3.2</w:t>
            </w:r>
          </w:p>
        </w:tc>
      </w:tr>
      <w:tr w14:paraId="0E632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20" w:type="dxa"/>
            <w:vAlign w:val="center"/>
          </w:tcPr>
          <w:p w14:paraId="0B14A50B">
            <w:pPr>
              <w:jc w:val="center"/>
              <w:rPr>
                <w:rFonts w:eastAsia="仿宋_GB2312"/>
                <w:sz w:val="28"/>
                <w:szCs w:val="28"/>
              </w:rPr>
            </w:pPr>
            <w:r>
              <w:rPr>
                <w:rFonts w:eastAsia="仿宋_GB2312"/>
                <w:sz w:val="28"/>
                <w:szCs w:val="28"/>
              </w:rPr>
              <w:t>无光亮</w:t>
            </w:r>
          </w:p>
        </w:tc>
        <w:tc>
          <w:tcPr>
            <w:tcW w:w="2998" w:type="dxa"/>
            <w:vAlign w:val="center"/>
          </w:tcPr>
          <w:p w14:paraId="595774DB">
            <w:pPr>
              <w:jc w:val="center"/>
              <w:rPr>
                <w:rFonts w:eastAsia="仿宋_GB2312"/>
                <w:sz w:val="28"/>
                <w:szCs w:val="28"/>
              </w:rPr>
            </w:pPr>
            <w:r>
              <w:rPr>
                <w:rFonts w:eastAsia="仿宋_GB2312"/>
                <w:sz w:val="28"/>
                <w:szCs w:val="28"/>
              </w:rPr>
              <w:t>≤3.2</w:t>
            </w:r>
          </w:p>
        </w:tc>
        <w:tc>
          <w:tcPr>
            <w:tcW w:w="2383" w:type="dxa"/>
            <w:vAlign w:val="center"/>
          </w:tcPr>
          <w:p w14:paraId="4E0473A7">
            <w:pPr>
              <w:jc w:val="center"/>
              <w:rPr>
                <w:rFonts w:eastAsia="仿宋_GB2312"/>
                <w:sz w:val="28"/>
                <w:szCs w:val="28"/>
              </w:rPr>
            </w:pPr>
            <w:r>
              <w:rPr>
                <w:rFonts w:eastAsia="仿宋_GB2312"/>
                <w:sz w:val="28"/>
                <w:szCs w:val="28"/>
              </w:rPr>
              <w:t>≤6.3</w:t>
            </w:r>
          </w:p>
        </w:tc>
      </w:tr>
    </w:tbl>
    <w:p w14:paraId="7F49BA85">
      <w:pPr>
        <w:spacing w:line="560" w:lineRule="exact"/>
        <w:ind w:firstLine="640" w:firstLineChars="200"/>
        <w:rPr>
          <w:rFonts w:eastAsia="仿宋_GB2312"/>
          <w:szCs w:val="32"/>
        </w:rPr>
      </w:pPr>
      <w:r>
        <w:rPr>
          <w:rFonts w:eastAsia="仿宋_GB2312"/>
          <w:szCs w:val="32"/>
        </w:rPr>
        <w:t>3.3.5使用性能</w:t>
      </w:r>
    </w:p>
    <w:p w14:paraId="1E813354">
      <w:pPr>
        <w:spacing w:line="560" w:lineRule="exact"/>
        <w:ind w:firstLine="640" w:firstLineChars="200"/>
        <w:rPr>
          <w:rFonts w:eastAsia="仿宋_GB2312"/>
          <w:szCs w:val="32"/>
        </w:rPr>
      </w:pPr>
      <w:r>
        <w:rPr>
          <w:rFonts w:eastAsia="仿宋_GB2312"/>
          <w:szCs w:val="32"/>
        </w:rPr>
        <w:t>外固定支架的转动部件在转动时应活动自如，无卡塞现象；调节装置应调节自如；锁紧装置应锁紧可靠，无松动现象；各部件螺纹配合性能应良好，不得有缺</w:t>
      </w:r>
      <w:r>
        <w:rPr>
          <w:rFonts w:eastAsia="仿宋_GB2312"/>
          <w:color w:val="000000"/>
          <w:szCs w:val="32"/>
        </w:rPr>
        <w:t>扣</w:t>
      </w:r>
      <w:r>
        <w:rPr>
          <w:rFonts w:eastAsia="仿宋_GB2312"/>
          <w:szCs w:val="32"/>
        </w:rPr>
        <w:t>乱扣现象，保证互换性。</w:t>
      </w:r>
    </w:p>
    <w:p w14:paraId="63F8110E">
      <w:pPr>
        <w:spacing w:line="560" w:lineRule="exact"/>
        <w:ind w:firstLine="640" w:firstLineChars="200"/>
        <w:rPr>
          <w:rFonts w:eastAsia="仿宋_GB2312"/>
          <w:szCs w:val="32"/>
        </w:rPr>
      </w:pPr>
      <w:r>
        <w:rPr>
          <w:rFonts w:eastAsia="仿宋_GB2312"/>
          <w:szCs w:val="32"/>
        </w:rPr>
        <w:t>3.3.6力学性能</w:t>
      </w:r>
    </w:p>
    <w:p w14:paraId="76C800C9">
      <w:pPr>
        <w:spacing w:line="560" w:lineRule="exact"/>
        <w:ind w:firstLine="640" w:firstLineChars="200"/>
        <w:rPr>
          <w:rFonts w:eastAsia="仿宋_GB2312"/>
          <w:szCs w:val="32"/>
        </w:rPr>
      </w:pPr>
      <w:r>
        <w:rPr>
          <w:rFonts w:eastAsia="仿宋_GB2312"/>
          <w:szCs w:val="32"/>
        </w:rPr>
        <w:t>注册申请人根据产品特点规定力学性能要求。</w:t>
      </w:r>
    </w:p>
    <w:p w14:paraId="60385278">
      <w:pPr>
        <w:spacing w:line="560" w:lineRule="exact"/>
        <w:ind w:firstLine="640" w:firstLineChars="200"/>
        <w:rPr>
          <w:rFonts w:eastAsia="仿宋_GB2312"/>
          <w:szCs w:val="32"/>
        </w:rPr>
      </w:pPr>
      <w:r>
        <w:rPr>
          <w:rFonts w:eastAsia="仿宋_GB2312"/>
          <w:szCs w:val="32"/>
        </w:rPr>
        <w:t>3.3.7无菌（若适用）</w:t>
      </w:r>
    </w:p>
    <w:p w14:paraId="186C8463">
      <w:pPr>
        <w:spacing w:line="560" w:lineRule="exact"/>
        <w:ind w:firstLine="640" w:firstLineChars="200"/>
        <w:rPr>
          <w:rFonts w:eastAsia="仿宋_GB2312"/>
          <w:szCs w:val="32"/>
        </w:rPr>
      </w:pPr>
      <w:r>
        <w:rPr>
          <w:rFonts w:eastAsia="仿宋_GB2312"/>
          <w:szCs w:val="32"/>
        </w:rPr>
        <w:t>外固定支架以无菌状态交付时，产品应无菌。</w:t>
      </w:r>
    </w:p>
    <w:p w14:paraId="37B5B91E">
      <w:pPr>
        <w:spacing w:line="560" w:lineRule="exact"/>
        <w:ind w:firstLine="640" w:firstLineChars="200"/>
        <w:rPr>
          <w:rFonts w:eastAsia="仿宋_GB2312"/>
          <w:szCs w:val="32"/>
        </w:rPr>
      </w:pPr>
      <w:r>
        <w:rPr>
          <w:rFonts w:eastAsia="仿宋_GB2312"/>
          <w:szCs w:val="32"/>
        </w:rPr>
        <w:t>3.3.8环氧乙烷残留量（若适用）</w:t>
      </w:r>
    </w:p>
    <w:p w14:paraId="794513A5">
      <w:pPr>
        <w:spacing w:line="560" w:lineRule="exact"/>
        <w:ind w:firstLine="640" w:firstLineChars="200"/>
        <w:rPr>
          <w:rFonts w:eastAsia="仿宋_GB2312"/>
          <w:szCs w:val="32"/>
        </w:rPr>
      </w:pPr>
      <w:r>
        <w:rPr>
          <w:rFonts w:eastAsia="仿宋_GB2312"/>
          <w:szCs w:val="32"/>
        </w:rPr>
        <w:t>外固定支架若经环氧乙烷灭菌，其出厂时环氧乙烷残留量应≤10 μg/g。</w:t>
      </w:r>
    </w:p>
    <w:p w14:paraId="34E30C0D">
      <w:pPr>
        <w:spacing w:line="520" w:lineRule="exact"/>
        <w:ind w:firstLine="640" w:firstLineChars="200"/>
        <w:rPr>
          <w:rFonts w:eastAsia="仿宋_GB2312"/>
          <w:szCs w:val="32"/>
        </w:rPr>
      </w:pPr>
      <w:r>
        <w:rPr>
          <w:rFonts w:eastAsia="仿宋_GB2312"/>
          <w:szCs w:val="32"/>
        </w:rPr>
        <w:t>3.4检验方法</w:t>
      </w:r>
    </w:p>
    <w:p w14:paraId="3EC1E1D6">
      <w:pPr>
        <w:spacing w:line="520" w:lineRule="exact"/>
        <w:ind w:firstLine="640" w:firstLineChars="200"/>
        <w:rPr>
          <w:rFonts w:eastAsia="仿宋_GB2312"/>
          <w:szCs w:val="32"/>
        </w:rPr>
      </w:pPr>
      <w:r>
        <w:rPr>
          <w:rFonts w:eastAsia="仿宋_GB2312"/>
          <w:szCs w:val="32"/>
        </w:rPr>
        <w:t>产品的检验方法需根据技术性能指标设定，检验方法需优先采用国家标准/行业标准中的方法。对于相关国家标准/行业标准中不适用的条款，需说明不适用的原因。所有引用的标准注明其编号和年代号。自建检验方法需提供相应的方法学依据及理论基础，同时保证检验方法具有可操作性和可重现性，必要时可以采用相应图示进行说明，文本较大的可以附录形式提供。</w:t>
      </w:r>
    </w:p>
    <w:p w14:paraId="6A3B9B16">
      <w:pPr>
        <w:pStyle w:val="13"/>
        <w:spacing w:line="520" w:lineRule="exact"/>
        <w:ind w:firstLine="640"/>
      </w:pPr>
      <w:r>
        <w:t>4.同一注册单元内检验典型性产品确定原则</w:t>
      </w:r>
    </w:p>
    <w:p w14:paraId="5A41AC99">
      <w:pPr>
        <w:spacing w:line="560" w:lineRule="exact"/>
        <w:ind w:firstLine="640" w:firstLineChars="200"/>
        <w:rPr>
          <w:rFonts w:eastAsia="仿宋_GB2312"/>
          <w:bCs/>
          <w:szCs w:val="32"/>
        </w:rPr>
      </w:pPr>
      <w:r>
        <w:rPr>
          <w:rFonts w:eastAsia="仿宋_GB2312"/>
          <w:bCs/>
          <w:szCs w:val="32"/>
        </w:rPr>
        <w:t>同一注册单元内所检验的产品应当能够代表本注册单元内其他产品的安全性和有效性，并提供典型性检验样品的确定依据。</w:t>
      </w:r>
    </w:p>
    <w:p w14:paraId="10449FE9">
      <w:pPr>
        <w:spacing w:line="560" w:lineRule="exact"/>
        <w:ind w:firstLine="640" w:firstLineChars="200"/>
        <w:rPr>
          <w:rFonts w:eastAsia="仿宋_GB2312"/>
          <w:bCs/>
          <w:szCs w:val="32"/>
        </w:rPr>
      </w:pPr>
      <w:r>
        <w:rPr>
          <w:rFonts w:eastAsia="仿宋_GB2312"/>
          <w:bCs/>
          <w:szCs w:val="32"/>
        </w:rPr>
        <w:t>典型产品的确定可以通过比较同一注册单元内所有产品的材质、结构组成、性能指标和预期使用部位等相应资料，说明其能够代表本注册单元内其他产品的安全性和有效性。对于力学性能要求注册申请人应根据各型号产品预期使用部位分别按照材质、结构组成和力学性能确定出最薄弱型号作为典型产品并提供确定依据及验证资料。对于技术要求中的非力学性能项目可选择有代表性的部件进行检测。</w:t>
      </w:r>
    </w:p>
    <w:p w14:paraId="1755E0AA">
      <w:pPr>
        <w:spacing w:line="520" w:lineRule="exact"/>
        <w:ind w:firstLine="640" w:firstLineChars="200"/>
        <w:rPr>
          <w:rFonts w:eastAsia="仿宋_GB2312"/>
          <w:szCs w:val="32"/>
        </w:rPr>
      </w:pPr>
      <w:r>
        <w:rPr>
          <w:rFonts w:eastAsia="仿宋_GB2312"/>
          <w:szCs w:val="32"/>
        </w:rPr>
        <w:t>5.研究资料</w:t>
      </w:r>
    </w:p>
    <w:p w14:paraId="46887F59">
      <w:pPr>
        <w:spacing w:line="520" w:lineRule="exact"/>
        <w:ind w:firstLine="640" w:firstLineChars="200"/>
        <w:jc w:val="left"/>
        <w:rPr>
          <w:rFonts w:eastAsia="仿宋_GB2312"/>
          <w:szCs w:val="32"/>
        </w:rPr>
      </w:pPr>
      <w:r>
        <w:rPr>
          <w:rFonts w:eastAsia="仿宋_GB2312"/>
          <w:szCs w:val="32"/>
        </w:rPr>
        <w:t>5.1产品性能研究</w:t>
      </w:r>
    </w:p>
    <w:p w14:paraId="1A2875C4">
      <w:pPr>
        <w:spacing w:line="520" w:lineRule="exact"/>
        <w:ind w:firstLine="640" w:firstLineChars="200"/>
        <w:rPr>
          <w:rFonts w:eastAsia="仿宋_GB2312"/>
          <w:szCs w:val="32"/>
        </w:rPr>
      </w:pPr>
      <w:r>
        <w:rPr>
          <w:rFonts w:eastAsia="仿宋_GB2312"/>
          <w:szCs w:val="32"/>
        </w:rPr>
        <w:t>在开展产品性能研究时，除对产品技术要求中所涉及的功能性、安全性及质量控制指标研究外，应至少对所申报产品的代表性样件进行力学性能的研究，力学性能研究应涵盖申报的所有规格型号产品，应根据临床使用条件，确定力学研究项目、参数及评价标准，并提供其确定依据、理论基础及相关验证资料，可参照YY/T 1782、ASTM F1541提供产品力学性能相关研究资料。对产品性能开展研究时，建议涵盖所申报的全部产品，并考虑最差情况。最差情况的确定，可通过有限元分析或其他适用的分析方法。</w:t>
      </w:r>
    </w:p>
    <w:p w14:paraId="03740018">
      <w:pPr>
        <w:spacing w:line="520" w:lineRule="exact"/>
        <w:ind w:firstLine="640" w:firstLineChars="200"/>
        <w:rPr>
          <w:rFonts w:eastAsia="仿宋_GB2312"/>
          <w:szCs w:val="32"/>
        </w:rPr>
      </w:pPr>
      <w:r>
        <w:rPr>
          <w:rFonts w:eastAsia="仿宋_GB2312"/>
          <w:szCs w:val="32"/>
        </w:rPr>
        <w:t>5.2灭菌工艺研究</w:t>
      </w:r>
    </w:p>
    <w:p w14:paraId="08706EED">
      <w:pPr>
        <w:spacing w:line="520" w:lineRule="exact"/>
        <w:ind w:firstLine="640" w:firstLineChars="200"/>
        <w:rPr>
          <w:rFonts w:eastAsia="仿宋_GB2312"/>
          <w:szCs w:val="32"/>
        </w:rPr>
      </w:pPr>
      <w:r>
        <w:rPr>
          <w:rFonts w:eastAsia="仿宋_GB2312"/>
          <w:szCs w:val="32"/>
        </w:rPr>
        <w:t>骨科外固定支架可以非无菌和无菌两种形式交付。注册申请人在对灭菌过程进行验证时，应全面考虑产品材质及灭菌方式的适宜性。</w:t>
      </w:r>
    </w:p>
    <w:p w14:paraId="2D6A5B86">
      <w:pPr>
        <w:spacing w:line="520" w:lineRule="exact"/>
        <w:ind w:firstLine="640" w:firstLineChars="200"/>
        <w:rPr>
          <w:rFonts w:eastAsia="仿宋_GB2312"/>
          <w:szCs w:val="32"/>
        </w:rPr>
      </w:pPr>
      <w:r>
        <w:rPr>
          <w:rFonts w:eastAsia="仿宋_GB2312"/>
          <w:szCs w:val="32"/>
        </w:rPr>
        <w:t>以非无菌形式提供时，注册申请人应明确经过确认的灭菌方式，若该灭菌方式为行业内通用，注册申请人应提交灭菌过程对产品性能影响的相关验证资料；若该灭菌方式行业内不通用，注册申请人除提交灭菌过程对产品性能影响的相关验证资料外，还应当对灭菌效果进行确认，并提交相关资料。</w:t>
      </w:r>
    </w:p>
    <w:p w14:paraId="691AE219">
      <w:pPr>
        <w:wordWrap w:val="0"/>
        <w:spacing w:line="520" w:lineRule="exact"/>
        <w:ind w:firstLine="640" w:firstLineChars="200"/>
        <w:rPr>
          <w:rFonts w:eastAsia="仿宋_GB2312"/>
          <w:szCs w:val="32"/>
        </w:rPr>
      </w:pPr>
      <w:r>
        <w:rPr>
          <w:rFonts w:eastAsia="仿宋_GB2312"/>
          <w:szCs w:val="32"/>
        </w:rPr>
        <w:t>以无菌形式交付时，注册申请人应选择与产品材质和性能相适宜的灭菌方式。若产品通过环氧乙烷进行灭菌，应根据GB 18279.1、GB/T 18279.2对灭菌过程进行确认，并提交灭菌确认报告。若产品通过辐照方式进行灭菌，应根据GB 18280.1、GB 18280.2、GB/T 18280.3对辐射灭菌过程加以确认，并提交灭菌确认报告。</w:t>
      </w:r>
    </w:p>
    <w:p w14:paraId="287DC0D8">
      <w:pPr>
        <w:spacing w:line="520" w:lineRule="exact"/>
        <w:ind w:firstLine="640" w:firstLineChars="200"/>
        <w:rPr>
          <w:rFonts w:eastAsia="仿宋_GB2312"/>
          <w:szCs w:val="32"/>
        </w:rPr>
      </w:pPr>
      <w:r>
        <w:rPr>
          <w:rFonts w:eastAsia="仿宋_GB2312"/>
          <w:szCs w:val="32"/>
        </w:rPr>
        <w:t>5.3产品有效期和包装研究</w:t>
      </w:r>
    </w:p>
    <w:p w14:paraId="1E4656CA">
      <w:pPr>
        <w:spacing w:line="520" w:lineRule="exact"/>
        <w:ind w:firstLine="640" w:firstLineChars="200"/>
        <w:rPr>
          <w:rFonts w:eastAsia="仿宋_GB2312"/>
          <w:szCs w:val="32"/>
        </w:rPr>
      </w:pPr>
      <w:r>
        <w:rPr>
          <w:rFonts w:eastAsia="仿宋_GB2312"/>
          <w:szCs w:val="32"/>
        </w:rPr>
        <w:t>一般建议骨科外固定支架产品为一次性使用。</w:t>
      </w:r>
    </w:p>
    <w:p w14:paraId="1BA0BC54">
      <w:pPr>
        <w:spacing w:line="520" w:lineRule="exact"/>
        <w:ind w:firstLine="640" w:firstLineChars="200"/>
        <w:rPr>
          <w:rFonts w:eastAsia="仿宋_GB2312"/>
          <w:szCs w:val="32"/>
        </w:rPr>
      </w:pPr>
      <w:r>
        <w:rPr>
          <w:rFonts w:eastAsia="仿宋_GB2312"/>
          <w:szCs w:val="32"/>
        </w:rPr>
        <w:t>以无菌形式提供的产品应当对灭菌有效期进行验证确认并提交相关资料。灭菌有效期可采取实时验证或加速老化试验进行研究。</w:t>
      </w:r>
    </w:p>
    <w:p w14:paraId="415A0F5D">
      <w:pPr>
        <w:spacing w:line="520" w:lineRule="exact"/>
        <w:ind w:firstLine="640" w:firstLineChars="200"/>
        <w:rPr>
          <w:rFonts w:eastAsia="仿宋_GB2312"/>
          <w:szCs w:val="32"/>
        </w:rPr>
      </w:pPr>
      <w:r>
        <w:rPr>
          <w:rFonts w:eastAsia="仿宋_GB2312"/>
          <w:szCs w:val="32"/>
        </w:rPr>
        <w:t>无论产品以何种状态交付，注册申请人均应明确产品包装材料并提交相关研究资料。</w:t>
      </w:r>
    </w:p>
    <w:p w14:paraId="11C7BEFA">
      <w:pPr>
        <w:spacing w:line="520" w:lineRule="exact"/>
        <w:ind w:firstLine="640" w:firstLineChars="200"/>
        <w:rPr>
          <w:rFonts w:eastAsia="仿宋_GB2312"/>
          <w:szCs w:val="32"/>
        </w:rPr>
      </w:pPr>
      <w:r>
        <w:rPr>
          <w:rFonts w:eastAsia="仿宋_GB2312"/>
          <w:szCs w:val="32"/>
        </w:rPr>
        <w:t>5.4联合使用</w:t>
      </w:r>
    </w:p>
    <w:p w14:paraId="435ACE48">
      <w:pPr>
        <w:spacing w:line="520" w:lineRule="exact"/>
        <w:ind w:firstLine="640" w:firstLineChars="200"/>
        <w:rPr>
          <w:rFonts w:eastAsia="仿宋_GB2312"/>
          <w:szCs w:val="32"/>
        </w:rPr>
      </w:pPr>
      <w:r>
        <w:rPr>
          <w:rFonts w:eastAsia="仿宋_GB2312"/>
          <w:szCs w:val="32"/>
        </w:rPr>
        <w:t>产品配合骨针实现预期用途，应当提供证明联合使用安全有效的研究资料，包括配合结构研究、联合使用风险及控制措施、兼容性研究等。例如支架与骨针的连接方式（如针夹结构、锁定机制）的力学分析，通过有限元模拟分析应力分布（避免骨针孔处应力集中导致断裂），选取最差情况进行验证；支架与骨针为不同金属材料时的电化学兼容性研究等。</w:t>
      </w:r>
    </w:p>
    <w:p w14:paraId="4F1306E1">
      <w:pPr>
        <w:spacing w:line="520" w:lineRule="exact"/>
        <w:ind w:firstLine="640" w:firstLineChars="200"/>
        <w:rPr>
          <w:rFonts w:eastAsia="仿宋_GB2312"/>
          <w:szCs w:val="32"/>
        </w:rPr>
      </w:pPr>
      <w:r>
        <w:rPr>
          <w:rFonts w:eastAsia="仿宋_GB2312"/>
          <w:szCs w:val="32"/>
        </w:rPr>
        <w:t>5.5证明产品安全性、有效性的其他研究资料。</w:t>
      </w:r>
    </w:p>
    <w:p w14:paraId="7496B53F">
      <w:pPr>
        <w:spacing w:line="520" w:lineRule="exact"/>
        <w:ind w:firstLine="640" w:firstLineChars="200"/>
        <w:rPr>
          <w:rFonts w:eastAsia="仿宋_GB2312"/>
          <w:szCs w:val="32"/>
        </w:rPr>
      </w:pPr>
      <w:r>
        <w:rPr>
          <w:rFonts w:eastAsia="仿宋_GB2312"/>
          <w:szCs w:val="32"/>
        </w:rPr>
        <w:t>6.其他资料</w:t>
      </w:r>
    </w:p>
    <w:p w14:paraId="1AB7F661">
      <w:pPr>
        <w:spacing w:line="520" w:lineRule="exact"/>
        <w:ind w:firstLine="640" w:firstLineChars="200"/>
        <w:rPr>
          <w:rFonts w:eastAsia="仿宋_GB2312"/>
          <w:szCs w:val="32"/>
        </w:rPr>
      </w:pPr>
      <w:r>
        <w:rPr>
          <w:rFonts w:eastAsia="仿宋_GB2312"/>
          <w:szCs w:val="32"/>
        </w:rPr>
        <w:t>采用铝合金、不锈钢、碳纤维、钛合金材料制成的骨科外固定支架产品列入《免于进行临床评价医疗器械目录》（以下简称《目录》）。应参照《列入免于临床评价医疗器械目录产品对比说明技术指导原则》提交申报产品与《目录》所述内容的对比资料及申报产品与《目录》中已获准境内注册医疗器械的对比说明。若经对比存在差异，应提交差异部分对安全有效性影响的分析研究资料。</w:t>
      </w:r>
    </w:p>
    <w:p w14:paraId="2EE2F480">
      <w:pPr>
        <w:spacing w:line="520" w:lineRule="exact"/>
        <w:ind w:firstLine="640" w:firstLineChars="200"/>
        <w:rPr>
          <w:rFonts w:eastAsia="仿宋_GB2312"/>
          <w:szCs w:val="32"/>
        </w:rPr>
      </w:pPr>
      <w:r>
        <w:rPr>
          <w:rFonts w:eastAsia="仿宋_GB2312"/>
          <w:szCs w:val="32"/>
        </w:rPr>
        <w:t>申报产品应与《目录》中产品具有基本等同性。若无法证明申报产品与《目录》所述的产品具有基本等同性，则应开展临床评价。</w:t>
      </w:r>
    </w:p>
    <w:p w14:paraId="61C05B05">
      <w:pPr>
        <w:spacing w:line="520" w:lineRule="exact"/>
        <w:ind w:right="-102" w:rightChars="-32" w:firstLine="640" w:firstLineChars="200"/>
        <w:rPr>
          <w:rFonts w:eastAsia="楷体_GB2312"/>
          <w:color w:val="000000"/>
          <w:szCs w:val="32"/>
        </w:rPr>
      </w:pPr>
      <w:r>
        <w:rPr>
          <w:rFonts w:eastAsia="楷体_GB2312"/>
          <w:color w:val="000000"/>
          <w:szCs w:val="32"/>
        </w:rPr>
        <w:t>（四）临床评价资料</w:t>
      </w:r>
    </w:p>
    <w:p w14:paraId="1070DD15">
      <w:pPr>
        <w:spacing w:line="540" w:lineRule="exact"/>
        <w:ind w:firstLine="640" w:firstLineChars="200"/>
        <w:rPr>
          <w:rFonts w:eastAsia="仿宋_GB2312"/>
          <w:szCs w:val="32"/>
        </w:rPr>
      </w:pPr>
      <w:r>
        <w:rPr>
          <w:rFonts w:eastAsia="仿宋_GB2312"/>
          <w:szCs w:val="32"/>
        </w:rPr>
        <w:t>若申报产品原材料（如聚醚醚酮、增强型聚醚醚酮或其他新型材料）、预期使用目的不在《免于进行临床评价医疗器械目录》的产品描述范围内，或不能证明与已获准境内注册产品具有基本等同性，应当按照《医疗器械临床评价技术指导原则》等文件开展临床评价。</w:t>
      </w:r>
    </w:p>
    <w:p w14:paraId="6700AC2D">
      <w:pPr>
        <w:spacing w:line="540" w:lineRule="exact"/>
        <w:ind w:firstLine="640" w:firstLineChars="200"/>
        <w:rPr>
          <w:rFonts w:eastAsia="楷体"/>
          <w:bCs/>
          <w:kern w:val="0"/>
          <w:szCs w:val="32"/>
        </w:rPr>
      </w:pPr>
      <w:r>
        <w:rPr>
          <w:rFonts w:eastAsia="楷体_GB2312"/>
          <w:bCs/>
          <w:szCs w:val="32"/>
        </w:rPr>
        <w:t>（五）产品说明书和标签样稿</w:t>
      </w:r>
    </w:p>
    <w:p w14:paraId="2C540DB3">
      <w:pPr>
        <w:spacing w:line="560" w:lineRule="exact"/>
        <w:ind w:firstLine="640" w:firstLineChars="200"/>
        <w:rPr>
          <w:rFonts w:eastAsia="仿宋_GB2312"/>
          <w:szCs w:val="32"/>
        </w:rPr>
      </w:pPr>
      <w:r>
        <w:rPr>
          <w:rFonts w:eastAsia="仿宋_GB2312"/>
          <w:szCs w:val="32"/>
        </w:rPr>
        <w:t>产品说明书、标签和包装标识需符合《医疗器械说明书和标签管理规定》以及YY/T 0466.1、YY/T 0508等相关标准要求。此外，需结合产品特点明确以下内容：</w:t>
      </w:r>
    </w:p>
    <w:p w14:paraId="23383214">
      <w:pPr>
        <w:spacing w:line="560" w:lineRule="exact"/>
        <w:ind w:firstLine="640" w:firstLineChars="200"/>
        <w:rPr>
          <w:rFonts w:eastAsia="仿宋_GB2312"/>
          <w:bCs/>
          <w:szCs w:val="32"/>
        </w:rPr>
      </w:pPr>
      <w:r>
        <w:rPr>
          <w:rFonts w:eastAsia="仿宋_GB2312"/>
          <w:bCs/>
          <w:szCs w:val="32"/>
        </w:rPr>
        <w:t>1.明确产品以无菌或非无菌状态交付。若为无菌产品，需标明有效期；非无菌产品，则应给出推荐的灭菌方式和参数；</w:t>
      </w:r>
    </w:p>
    <w:p w14:paraId="75C3C64F">
      <w:pPr>
        <w:spacing w:line="560" w:lineRule="exact"/>
        <w:ind w:firstLine="640" w:firstLineChars="200"/>
        <w:rPr>
          <w:rFonts w:eastAsia="仿宋_GB2312"/>
          <w:bCs/>
          <w:szCs w:val="32"/>
        </w:rPr>
      </w:pPr>
      <w:r>
        <w:rPr>
          <w:rFonts w:eastAsia="仿宋_GB2312"/>
          <w:bCs/>
          <w:szCs w:val="32"/>
        </w:rPr>
        <w:t>2.详细给出产品的使用方法，包括临床医生应具备的知识与技能，必要时可附操作流程简图；</w:t>
      </w:r>
    </w:p>
    <w:p w14:paraId="528D5235">
      <w:pPr>
        <w:spacing w:line="560" w:lineRule="exact"/>
        <w:ind w:firstLine="640" w:firstLineChars="200"/>
        <w:rPr>
          <w:rFonts w:eastAsia="仿宋_GB2312"/>
          <w:bCs/>
          <w:szCs w:val="32"/>
        </w:rPr>
      </w:pPr>
      <w:r>
        <w:rPr>
          <w:rFonts w:eastAsia="仿宋_GB2312"/>
          <w:bCs/>
          <w:szCs w:val="32"/>
        </w:rPr>
        <w:t>3.明确运输方法及条件，如温度、湿度、防震要求等。说明储存环境要求，如温度、湿度、通风条件等；</w:t>
      </w:r>
    </w:p>
    <w:p w14:paraId="0288991B">
      <w:pPr>
        <w:spacing w:line="560" w:lineRule="exact"/>
        <w:ind w:firstLine="640" w:firstLineChars="200"/>
        <w:rPr>
          <w:rFonts w:eastAsia="仿宋_GB2312"/>
          <w:szCs w:val="28"/>
        </w:rPr>
      </w:pPr>
      <w:r>
        <w:rPr>
          <w:rFonts w:eastAsia="仿宋_GB2312"/>
          <w:szCs w:val="28"/>
        </w:rPr>
        <w:t>4.明确适用范围，全面、如实告知产品可能存在的风险，如连接件松动、材料断裂变形等，并提供相应的防范措施和警示信息；</w:t>
      </w:r>
    </w:p>
    <w:p w14:paraId="67851ADA">
      <w:pPr>
        <w:spacing w:line="560" w:lineRule="exact"/>
        <w:ind w:firstLine="640" w:firstLineChars="200"/>
        <w:rPr>
          <w:rFonts w:eastAsia="仿宋_GB2312"/>
          <w:szCs w:val="28"/>
        </w:rPr>
      </w:pPr>
      <w:r>
        <w:rPr>
          <w:rFonts w:eastAsia="仿宋_GB2312"/>
          <w:szCs w:val="28"/>
        </w:rPr>
        <w:t>5.说明书内容应与注册申报的其他资料，如综述资料、产品技术要求、研究资料等注册申报资料的内容保持一致，不得相互矛盾；</w:t>
      </w:r>
    </w:p>
    <w:p w14:paraId="7E26C7AD">
      <w:pPr>
        <w:spacing w:line="560" w:lineRule="exact"/>
        <w:ind w:firstLine="640" w:firstLineChars="200"/>
        <w:rPr>
          <w:rFonts w:eastAsia="仿宋_GB2312"/>
          <w:bCs/>
          <w:szCs w:val="32"/>
        </w:rPr>
      </w:pPr>
      <w:r>
        <w:rPr>
          <w:rFonts w:eastAsia="仿宋_GB2312"/>
          <w:szCs w:val="28"/>
        </w:rPr>
        <w:t>6.应参照YY/T0466.1等相关标准中的规定，</w:t>
      </w:r>
      <w:r>
        <w:rPr>
          <w:rFonts w:eastAsia="仿宋_GB2312"/>
          <w:bCs/>
          <w:szCs w:val="32"/>
        </w:rPr>
        <w:t>对标签中使用的图形、符号、缩写等内容进行解释说明；</w:t>
      </w:r>
    </w:p>
    <w:p w14:paraId="50F5870D">
      <w:pPr>
        <w:spacing w:line="560" w:lineRule="exact"/>
        <w:ind w:firstLine="640" w:firstLineChars="200"/>
        <w:rPr>
          <w:rFonts w:eastAsia="仿宋_GB2312"/>
          <w:bCs/>
          <w:szCs w:val="32"/>
        </w:rPr>
      </w:pPr>
      <w:r>
        <w:rPr>
          <w:rFonts w:eastAsia="仿宋_GB2312"/>
          <w:bCs/>
          <w:szCs w:val="32"/>
        </w:rPr>
        <w:t>7.每件外固定支架还应符合YY/T 0508的规定，应有下列标志：</w:t>
      </w:r>
    </w:p>
    <w:p w14:paraId="5C34CEE1">
      <w:pPr>
        <w:spacing w:line="560" w:lineRule="exact"/>
        <w:ind w:firstLine="640" w:firstLineChars="200"/>
        <w:rPr>
          <w:rFonts w:eastAsia="仿宋_GB2312"/>
          <w:bCs/>
          <w:szCs w:val="32"/>
        </w:rPr>
      </w:pPr>
      <w:r>
        <w:rPr>
          <w:rFonts w:eastAsia="仿宋_GB2312"/>
          <w:bCs/>
          <w:szCs w:val="32"/>
        </w:rPr>
        <w:t xml:space="preserve">（1）制造商代号或商标； </w:t>
      </w:r>
    </w:p>
    <w:p w14:paraId="68F0A067">
      <w:pPr>
        <w:spacing w:line="560" w:lineRule="exact"/>
        <w:ind w:firstLine="640" w:firstLineChars="200"/>
        <w:rPr>
          <w:rFonts w:eastAsia="仿宋_GB2312"/>
          <w:bCs/>
          <w:szCs w:val="32"/>
        </w:rPr>
      </w:pPr>
      <w:r>
        <w:rPr>
          <w:rFonts w:eastAsia="仿宋_GB2312"/>
          <w:bCs/>
          <w:szCs w:val="32"/>
        </w:rPr>
        <w:t>（2）出厂年代或生产日期；</w:t>
      </w:r>
    </w:p>
    <w:p w14:paraId="6F9F8E60">
      <w:pPr>
        <w:spacing w:line="560" w:lineRule="exact"/>
        <w:ind w:firstLine="640" w:firstLineChars="200"/>
        <w:rPr>
          <w:rFonts w:eastAsia="仿宋_GB2312"/>
          <w:bCs/>
          <w:szCs w:val="32"/>
        </w:rPr>
      </w:pPr>
      <w:r>
        <w:rPr>
          <w:rFonts w:eastAsia="仿宋_GB2312"/>
          <w:bCs/>
          <w:szCs w:val="32"/>
        </w:rPr>
        <w:t>（3）材料标志。</w:t>
      </w:r>
    </w:p>
    <w:p w14:paraId="1534F252">
      <w:pPr>
        <w:spacing w:line="560" w:lineRule="exact"/>
        <w:ind w:firstLine="640" w:firstLineChars="200"/>
        <w:rPr>
          <w:rFonts w:eastAsia="仿宋_GB2312"/>
          <w:bCs/>
          <w:szCs w:val="32"/>
        </w:rPr>
      </w:pPr>
      <w:r>
        <w:rPr>
          <w:rFonts w:eastAsia="仿宋_GB2312"/>
          <w:bCs/>
          <w:szCs w:val="32"/>
        </w:rPr>
        <w:t>8.如有与申报产品预期配合使用的医疗器械（如金属骨针），需在说明书中明确配合使用产品信息。</w:t>
      </w:r>
    </w:p>
    <w:p w14:paraId="2E37E2AC">
      <w:pPr>
        <w:spacing w:line="560" w:lineRule="exact"/>
        <w:ind w:firstLine="640" w:firstLineChars="200"/>
        <w:rPr>
          <w:rFonts w:eastAsia="楷体_GB2312"/>
          <w:bCs/>
          <w:szCs w:val="32"/>
        </w:rPr>
      </w:pPr>
      <w:r>
        <w:rPr>
          <w:rFonts w:eastAsia="楷体_GB2312"/>
          <w:bCs/>
          <w:szCs w:val="32"/>
        </w:rPr>
        <w:t>（六）质量管理体系文件</w:t>
      </w:r>
    </w:p>
    <w:p w14:paraId="6F64D2F9">
      <w:pPr>
        <w:ind w:firstLine="640" w:firstLineChars="200"/>
      </w:pPr>
      <w:r>
        <w:rPr>
          <w:rFonts w:eastAsia="仿宋_GB2312"/>
          <w:color w:val="000000"/>
          <w:szCs w:val="32"/>
        </w:rPr>
        <w:t>需按照《关于公布医疗器械注册申报资料要求和批准证明文件格式的公告》提交相关文件。</w:t>
      </w:r>
    </w:p>
    <w:p w14:paraId="443D3E5E">
      <w:pPr>
        <w:spacing w:line="520" w:lineRule="exact"/>
        <w:ind w:firstLine="640" w:firstLineChars="200"/>
        <w:outlineLvl w:val="0"/>
        <w:rPr>
          <w:rFonts w:eastAsia="黑体"/>
          <w:bCs/>
          <w:szCs w:val="28"/>
        </w:rPr>
      </w:pPr>
      <w:r>
        <w:rPr>
          <w:rFonts w:eastAsia="黑体"/>
          <w:bCs/>
          <w:szCs w:val="28"/>
        </w:rPr>
        <w:t>三、参考文献</w:t>
      </w:r>
    </w:p>
    <w:p w14:paraId="1F949D9E">
      <w:pPr>
        <w:spacing w:line="520" w:lineRule="exact"/>
        <w:ind w:right="-102" w:rightChars="-32" w:firstLine="640" w:firstLineChars="200"/>
        <w:rPr>
          <w:rFonts w:eastAsia="仿宋_GB2312"/>
          <w:color w:val="000000"/>
          <w:szCs w:val="32"/>
        </w:rPr>
      </w:pPr>
      <w:r>
        <w:rPr>
          <w:rFonts w:eastAsia="仿宋_GB2312"/>
          <w:color w:val="000000"/>
          <w:szCs w:val="32"/>
        </w:rPr>
        <w:t>[1]中华人民共和国国务院.医疗器械监督管理条例:中华人民共和国国务院令第739号[Z].</w:t>
      </w:r>
    </w:p>
    <w:p w14:paraId="3E9B0590">
      <w:pPr>
        <w:spacing w:line="520" w:lineRule="exact"/>
        <w:ind w:right="-102" w:rightChars="-32" w:firstLine="640" w:firstLineChars="200"/>
        <w:rPr>
          <w:rFonts w:eastAsia="仿宋_GB2312"/>
          <w:color w:val="000000"/>
          <w:szCs w:val="32"/>
        </w:rPr>
      </w:pPr>
      <w:r>
        <w:rPr>
          <w:rFonts w:eastAsia="仿宋_GB2312"/>
          <w:color w:val="000000"/>
          <w:szCs w:val="32"/>
        </w:rPr>
        <w:t>[2]国家市场监督管理总局.医疗器械注册与备案管理办法:国家市场监督管理总局令第47号[Z].</w:t>
      </w:r>
    </w:p>
    <w:p w14:paraId="77A19EF4">
      <w:pPr>
        <w:spacing w:line="520" w:lineRule="exact"/>
        <w:ind w:right="-102" w:rightChars="-32" w:firstLine="640" w:firstLineChars="200"/>
        <w:rPr>
          <w:rFonts w:eastAsia="仿宋_GB2312"/>
          <w:color w:val="000000"/>
          <w:szCs w:val="32"/>
        </w:rPr>
      </w:pPr>
      <w:r>
        <w:rPr>
          <w:rFonts w:eastAsia="仿宋_GB2312"/>
          <w:color w:val="000000"/>
          <w:szCs w:val="32"/>
        </w:rPr>
        <w:t>[3]国家药品监督管理局.医疗器械注册申报资料要求和批准证明文件格式:关于公布医疗器械注册申报资料要求和批准证明文件格式的公告2021年第121号[Z].</w:t>
      </w:r>
    </w:p>
    <w:p w14:paraId="6A838431">
      <w:pPr>
        <w:spacing w:line="520" w:lineRule="exact"/>
        <w:ind w:right="-102" w:rightChars="-32" w:firstLine="640" w:firstLineChars="200"/>
        <w:rPr>
          <w:rFonts w:eastAsia="仿宋_GB2312"/>
          <w:color w:val="000000"/>
          <w:szCs w:val="32"/>
        </w:rPr>
      </w:pPr>
      <w:r>
        <w:rPr>
          <w:rFonts w:eastAsia="仿宋_GB2312"/>
          <w:color w:val="000000"/>
          <w:szCs w:val="32"/>
        </w:rPr>
        <w:t>[4]国家食品药品监督管理总局.医疗器械说明书和标签管理规定:国家食品药品监督管理总局令第6号[Z].</w:t>
      </w:r>
    </w:p>
    <w:p w14:paraId="2B893F90">
      <w:pPr>
        <w:spacing w:line="520" w:lineRule="exact"/>
        <w:ind w:right="-102" w:rightChars="-32" w:firstLine="640" w:firstLineChars="200"/>
        <w:rPr>
          <w:rFonts w:eastAsia="仿宋_GB2312"/>
          <w:color w:val="000000"/>
          <w:szCs w:val="32"/>
        </w:rPr>
      </w:pPr>
      <w:r>
        <w:rPr>
          <w:rFonts w:eastAsia="仿宋_GB2312"/>
          <w:color w:val="000000"/>
          <w:szCs w:val="32"/>
        </w:rPr>
        <w:t>[5]国家食品药品监督管理总局.医疗器械分类规则:国家食品药品监督管理总局令第15号[Z].</w:t>
      </w:r>
    </w:p>
    <w:p w14:paraId="55E1646E">
      <w:pPr>
        <w:spacing w:line="520" w:lineRule="exact"/>
        <w:ind w:right="-102" w:rightChars="-32" w:firstLine="640" w:firstLineChars="200"/>
        <w:rPr>
          <w:rFonts w:eastAsia="仿宋_GB2312"/>
          <w:color w:val="000000"/>
          <w:szCs w:val="32"/>
        </w:rPr>
      </w:pPr>
      <w:r>
        <w:rPr>
          <w:rFonts w:eastAsia="仿宋_GB2312"/>
          <w:color w:val="000000"/>
          <w:szCs w:val="32"/>
        </w:rPr>
        <w:t>[6]国家食品药品监督管理总局.医疗器械通用名称命名规则:国家食品药品监督管理总局令第19号[Z].</w:t>
      </w:r>
    </w:p>
    <w:p w14:paraId="00E86EC5">
      <w:pPr>
        <w:tabs>
          <w:tab w:val="left" w:pos="312"/>
        </w:tabs>
        <w:spacing w:line="520" w:lineRule="exact"/>
        <w:ind w:firstLine="640" w:firstLineChars="200"/>
        <w:rPr>
          <w:rFonts w:eastAsia="仿宋_GB2312"/>
          <w:color w:val="000000"/>
          <w:szCs w:val="32"/>
        </w:rPr>
      </w:pPr>
      <w:r>
        <w:rPr>
          <w:rFonts w:eastAsia="仿宋_GB2312"/>
          <w:color w:val="000000"/>
          <w:szCs w:val="32"/>
        </w:rPr>
        <w:t>[7]国家药品监督管理局.关于发布医疗器械产品技术要求编写指导原则的通告:2022年第8号[Z].</w:t>
      </w:r>
    </w:p>
    <w:p w14:paraId="4C18C101">
      <w:pPr>
        <w:tabs>
          <w:tab w:val="left" w:pos="312"/>
        </w:tabs>
        <w:spacing w:line="520" w:lineRule="exact"/>
        <w:ind w:firstLine="640" w:firstLineChars="200"/>
        <w:rPr>
          <w:rFonts w:eastAsia="仿宋_GB2312"/>
          <w:color w:val="000000"/>
          <w:szCs w:val="32"/>
        </w:rPr>
      </w:pPr>
      <w:r>
        <w:rPr>
          <w:rFonts w:eastAsia="仿宋_GB2312"/>
          <w:color w:val="000000"/>
          <w:szCs w:val="32"/>
        </w:rPr>
        <w:t>[8]国家食品药品监督管理局.医疗器械分类目录:2017年第104号[Z].</w:t>
      </w:r>
    </w:p>
    <w:p w14:paraId="7430389F">
      <w:pPr>
        <w:tabs>
          <w:tab w:val="left" w:pos="312"/>
        </w:tabs>
        <w:spacing w:line="520" w:lineRule="exact"/>
        <w:ind w:firstLine="640" w:firstLineChars="200"/>
        <w:rPr>
          <w:rFonts w:eastAsia="仿宋_GB2312"/>
          <w:szCs w:val="32"/>
        </w:rPr>
      </w:pPr>
      <w:r>
        <w:rPr>
          <w:rFonts w:eastAsia="仿宋_GB2312"/>
          <w:color w:val="000000"/>
          <w:szCs w:val="32"/>
        </w:rPr>
        <w:t>[9]国家药品监督管理局.医疗器械通用名称命名指导原则:2</w:t>
      </w:r>
      <w:r>
        <w:rPr>
          <w:rFonts w:eastAsia="仿宋_GB2312"/>
          <w:szCs w:val="32"/>
        </w:rPr>
        <w:t>019年第99号[Z].</w:t>
      </w:r>
    </w:p>
    <w:p w14:paraId="15FE6FDE">
      <w:pPr>
        <w:spacing w:line="540" w:lineRule="exact"/>
        <w:ind w:firstLine="640" w:firstLineChars="200"/>
        <w:rPr>
          <w:rFonts w:eastAsia="仿宋_GB2312"/>
          <w:szCs w:val="32"/>
        </w:rPr>
      </w:pPr>
      <w:r>
        <w:rPr>
          <w:rFonts w:eastAsia="仿宋_GB2312"/>
          <w:szCs w:val="32"/>
        </w:rPr>
        <w:t>[10]国家药品监督管理局.国家药监局关于发布免于进行临床评价医疗器械目录的通告:2025年第19号[Z].</w:t>
      </w:r>
    </w:p>
    <w:p w14:paraId="5695F182">
      <w:pPr>
        <w:tabs>
          <w:tab w:val="left" w:pos="312"/>
        </w:tabs>
        <w:spacing w:line="520" w:lineRule="exact"/>
        <w:ind w:firstLine="640" w:firstLineChars="200"/>
        <w:rPr>
          <w:rFonts w:eastAsia="仿宋_GB2312"/>
          <w:szCs w:val="32"/>
        </w:rPr>
      </w:pPr>
      <w:r>
        <w:rPr>
          <w:rFonts w:eastAsia="仿宋_GB2312"/>
          <w:szCs w:val="32"/>
        </w:rPr>
        <w:t>[11]GB/T 230.1-2018,金属材料 洛氏硬度试验 第1部分：试验方法[S].</w:t>
      </w:r>
    </w:p>
    <w:p w14:paraId="1A44F5A5">
      <w:pPr>
        <w:tabs>
          <w:tab w:val="left" w:pos="312"/>
        </w:tabs>
        <w:spacing w:line="520" w:lineRule="exact"/>
        <w:ind w:firstLine="640" w:firstLineChars="200"/>
        <w:rPr>
          <w:rFonts w:eastAsia="仿宋_GB2312"/>
          <w:szCs w:val="32"/>
        </w:rPr>
      </w:pPr>
      <w:r>
        <w:rPr>
          <w:rFonts w:eastAsia="仿宋_GB2312"/>
          <w:szCs w:val="32"/>
        </w:rPr>
        <w:t>[12]GB/T 231.1-2018,金属材料 布氏硬度试验 第1部分：试验方法[S].</w:t>
      </w:r>
    </w:p>
    <w:p w14:paraId="63BA11EF">
      <w:pPr>
        <w:tabs>
          <w:tab w:val="left" w:pos="312"/>
        </w:tabs>
        <w:spacing w:line="520" w:lineRule="exact"/>
        <w:ind w:firstLine="640" w:firstLineChars="200"/>
        <w:rPr>
          <w:rFonts w:eastAsia="仿宋_GB2312"/>
          <w:szCs w:val="32"/>
        </w:rPr>
      </w:pPr>
      <w:r>
        <w:rPr>
          <w:rFonts w:eastAsia="仿宋_GB2312"/>
          <w:szCs w:val="32"/>
        </w:rPr>
        <w:t>[13]GB/T 1031-2009,产品几何技术规范（GPS）表面结构 轮廓法 表面粗糙度参数及其数值[S].</w:t>
      </w:r>
    </w:p>
    <w:p w14:paraId="64C353E5">
      <w:pPr>
        <w:tabs>
          <w:tab w:val="left" w:pos="312"/>
        </w:tabs>
        <w:spacing w:line="520" w:lineRule="exact"/>
        <w:ind w:firstLine="640" w:firstLineChars="200"/>
        <w:rPr>
          <w:rFonts w:eastAsia="仿宋_GB2312"/>
          <w:szCs w:val="32"/>
        </w:rPr>
      </w:pPr>
      <w:r>
        <w:rPr>
          <w:rFonts w:eastAsia="仿宋_GB2312"/>
          <w:szCs w:val="32"/>
        </w:rPr>
        <w:t>[14]GB/T 1220-2007,不锈钢棒[S].</w:t>
      </w:r>
    </w:p>
    <w:p w14:paraId="5F2A973C">
      <w:pPr>
        <w:tabs>
          <w:tab w:val="left" w:pos="312"/>
        </w:tabs>
        <w:spacing w:line="520" w:lineRule="exact"/>
        <w:ind w:firstLine="640" w:firstLineChars="200"/>
        <w:rPr>
          <w:rFonts w:eastAsia="仿宋_GB2312"/>
          <w:szCs w:val="32"/>
        </w:rPr>
      </w:pPr>
      <w:r>
        <w:rPr>
          <w:rFonts w:eastAsia="仿宋_GB2312"/>
          <w:szCs w:val="32"/>
        </w:rPr>
        <w:t>[15]GB/T 3280-2015,不锈钢冷轧钢板和钢带[S].</w:t>
      </w:r>
    </w:p>
    <w:p w14:paraId="49E70639">
      <w:pPr>
        <w:tabs>
          <w:tab w:val="left" w:pos="312"/>
        </w:tabs>
        <w:spacing w:line="520" w:lineRule="exact"/>
        <w:ind w:firstLine="640" w:firstLineChars="200"/>
        <w:rPr>
          <w:rFonts w:eastAsia="仿宋_GB2312"/>
          <w:szCs w:val="32"/>
        </w:rPr>
      </w:pPr>
      <w:r>
        <w:rPr>
          <w:rFonts w:eastAsia="仿宋_GB2312"/>
          <w:szCs w:val="32"/>
        </w:rPr>
        <w:t>[16]GB/T 4226-2009,不锈钢冷加工钢棒[S].</w:t>
      </w:r>
    </w:p>
    <w:p w14:paraId="1E16DE38">
      <w:pPr>
        <w:tabs>
          <w:tab w:val="left" w:pos="312"/>
        </w:tabs>
        <w:spacing w:line="520" w:lineRule="exact"/>
        <w:ind w:firstLine="640" w:firstLineChars="200"/>
        <w:rPr>
          <w:rFonts w:eastAsia="仿宋_GB2312"/>
          <w:szCs w:val="32"/>
        </w:rPr>
      </w:pPr>
      <w:r>
        <w:rPr>
          <w:rFonts w:eastAsia="仿宋_GB2312"/>
          <w:szCs w:val="32"/>
        </w:rPr>
        <w:t>[17]GB/T 1804-2000,一般公差 未注公差的线性和角度尺寸的公差[S].</w:t>
      </w:r>
    </w:p>
    <w:p w14:paraId="299E0045">
      <w:pPr>
        <w:tabs>
          <w:tab w:val="left" w:pos="312"/>
        </w:tabs>
        <w:spacing w:line="520" w:lineRule="exact"/>
        <w:ind w:firstLine="640" w:firstLineChars="200"/>
        <w:rPr>
          <w:rFonts w:eastAsia="仿宋_GB2312"/>
          <w:szCs w:val="32"/>
        </w:rPr>
      </w:pPr>
      <w:r>
        <w:rPr>
          <w:rFonts w:eastAsia="仿宋_GB2312"/>
          <w:szCs w:val="32"/>
        </w:rPr>
        <w:t>[18]GB 4234.1-2017</w:t>
      </w:r>
      <w:r>
        <w:rPr>
          <w:rFonts w:eastAsia="仿宋_GB2312"/>
          <w:szCs w:val="32"/>
        </w:rPr>
        <w:tab/>
      </w:r>
      <w:r>
        <w:rPr>
          <w:rFonts w:eastAsia="仿宋_GB2312"/>
          <w:szCs w:val="32"/>
        </w:rPr>
        <w:t>,外科植入物 金属材料 第1部分：锻造不锈钢[S].</w:t>
      </w:r>
    </w:p>
    <w:p w14:paraId="6197C60B">
      <w:pPr>
        <w:tabs>
          <w:tab w:val="left" w:pos="312"/>
        </w:tabs>
        <w:spacing w:line="520" w:lineRule="exact"/>
        <w:ind w:firstLine="640" w:firstLineChars="200"/>
        <w:rPr>
          <w:rFonts w:eastAsia="仿宋_GB2312"/>
          <w:szCs w:val="32"/>
        </w:rPr>
      </w:pPr>
      <w:r>
        <w:rPr>
          <w:rFonts w:eastAsia="仿宋_GB2312"/>
          <w:szCs w:val="32"/>
        </w:rPr>
        <w:t>[19]GB/T 4237-2015,不锈钢热轧钢板和钢带[S].</w:t>
      </w:r>
    </w:p>
    <w:p w14:paraId="3218D615">
      <w:pPr>
        <w:tabs>
          <w:tab w:val="left" w:pos="312"/>
        </w:tabs>
        <w:spacing w:line="520" w:lineRule="exact"/>
        <w:ind w:firstLine="640" w:firstLineChars="200"/>
        <w:rPr>
          <w:rFonts w:eastAsia="仿宋_GB2312"/>
          <w:szCs w:val="32"/>
        </w:rPr>
      </w:pPr>
      <w:r>
        <w:rPr>
          <w:rFonts w:eastAsia="仿宋_GB2312"/>
          <w:szCs w:val="32"/>
        </w:rPr>
        <w:t>[20]GB/T 2965-2023,钛及钛合金棒材[S].</w:t>
      </w:r>
    </w:p>
    <w:p w14:paraId="036579B0">
      <w:pPr>
        <w:tabs>
          <w:tab w:val="left" w:pos="312"/>
        </w:tabs>
        <w:spacing w:line="520" w:lineRule="exact"/>
        <w:ind w:firstLine="640" w:firstLineChars="200"/>
        <w:rPr>
          <w:rFonts w:eastAsia="仿宋_GB2312"/>
          <w:szCs w:val="32"/>
        </w:rPr>
      </w:pPr>
      <w:r>
        <w:rPr>
          <w:rFonts w:eastAsia="仿宋_GB2312"/>
          <w:szCs w:val="32"/>
        </w:rPr>
        <w:t>[21]GB/T 13810-2017,外科植入物用钛及钛合金加工材[S].</w:t>
      </w:r>
    </w:p>
    <w:p w14:paraId="0D746CD0">
      <w:pPr>
        <w:tabs>
          <w:tab w:val="left" w:pos="312"/>
        </w:tabs>
        <w:spacing w:line="520" w:lineRule="exact"/>
        <w:ind w:firstLine="640" w:firstLineChars="200"/>
        <w:rPr>
          <w:rFonts w:eastAsia="仿宋_GB2312"/>
          <w:szCs w:val="32"/>
        </w:rPr>
      </w:pPr>
      <w:r>
        <w:rPr>
          <w:rFonts w:eastAsia="仿宋_GB2312"/>
          <w:szCs w:val="32"/>
        </w:rPr>
        <w:t>[22]GB/T 228.1-2021,金属材料 拉伸试验 第1部分：室温试验方法[S].</w:t>
      </w:r>
    </w:p>
    <w:p w14:paraId="7C25B6A7">
      <w:pPr>
        <w:tabs>
          <w:tab w:val="left" w:pos="312"/>
        </w:tabs>
        <w:spacing w:line="520" w:lineRule="exact"/>
        <w:ind w:firstLine="640" w:firstLineChars="200"/>
        <w:rPr>
          <w:rFonts w:eastAsia="仿宋_GB2312"/>
          <w:szCs w:val="32"/>
        </w:rPr>
      </w:pPr>
      <w:r>
        <w:rPr>
          <w:rFonts w:eastAsia="仿宋_GB2312"/>
          <w:szCs w:val="32"/>
        </w:rPr>
        <w:t>[23]GB/T 3621-2022,钛及钛合金板材[S].</w:t>
      </w:r>
    </w:p>
    <w:p w14:paraId="0395A9C2">
      <w:pPr>
        <w:tabs>
          <w:tab w:val="left" w:pos="312"/>
        </w:tabs>
        <w:spacing w:line="520" w:lineRule="exact"/>
        <w:ind w:firstLine="640" w:firstLineChars="200"/>
        <w:rPr>
          <w:rFonts w:eastAsia="仿宋_GB2312"/>
          <w:szCs w:val="32"/>
        </w:rPr>
      </w:pPr>
      <w:r>
        <w:rPr>
          <w:rFonts w:eastAsia="仿宋_GB2312"/>
          <w:szCs w:val="32"/>
        </w:rPr>
        <w:t>[24]GB/T 3191-2019,铝及铝合金挤压棒材[S].</w:t>
      </w:r>
    </w:p>
    <w:p w14:paraId="0BCD6F1B">
      <w:pPr>
        <w:tabs>
          <w:tab w:val="left" w:pos="312"/>
        </w:tabs>
        <w:spacing w:line="520" w:lineRule="exact"/>
        <w:ind w:firstLine="640" w:firstLineChars="200"/>
        <w:rPr>
          <w:rFonts w:eastAsia="仿宋_GB2312"/>
          <w:szCs w:val="32"/>
        </w:rPr>
      </w:pPr>
      <w:r>
        <w:rPr>
          <w:rFonts w:eastAsia="仿宋_GB2312"/>
          <w:szCs w:val="32"/>
        </w:rPr>
        <w:t>[25]GB/T 3190-2020,变形铝及铝合金化学成分[S].</w:t>
      </w:r>
    </w:p>
    <w:p w14:paraId="55B27EBF">
      <w:pPr>
        <w:tabs>
          <w:tab w:val="left" w:pos="312"/>
        </w:tabs>
        <w:spacing w:line="520" w:lineRule="exact"/>
        <w:ind w:firstLine="640" w:firstLineChars="200"/>
        <w:rPr>
          <w:rFonts w:eastAsia="仿宋_GB2312"/>
          <w:szCs w:val="32"/>
        </w:rPr>
      </w:pPr>
      <w:r>
        <w:rPr>
          <w:rFonts w:eastAsia="仿宋_GB2312"/>
          <w:szCs w:val="32"/>
        </w:rPr>
        <w:t>[26]GB/T 3880.1-2023,一般工业用铝及铝合金板、带材 第1部分：一般要求[S].</w:t>
      </w:r>
    </w:p>
    <w:p w14:paraId="16C7E233">
      <w:pPr>
        <w:tabs>
          <w:tab w:val="left" w:pos="312"/>
        </w:tabs>
        <w:spacing w:line="520" w:lineRule="exact"/>
        <w:ind w:firstLine="640" w:firstLineChars="200"/>
        <w:rPr>
          <w:rFonts w:eastAsia="仿宋_GB2312"/>
          <w:szCs w:val="32"/>
        </w:rPr>
      </w:pPr>
      <w:r>
        <w:rPr>
          <w:rFonts w:eastAsia="仿宋_GB2312"/>
          <w:szCs w:val="32"/>
        </w:rPr>
        <w:t>[27]GB/T 4340.1-2024,金属材料 维氏硬度试验 第1部分：试验方法[S].</w:t>
      </w:r>
    </w:p>
    <w:p w14:paraId="3F0BDE7F">
      <w:pPr>
        <w:tabs>
          <w:tab w:val="left" w:pos="312"/>
        </w:tabs>
        <w:spacing w:line="520" w:lineRule="exact"/>
        <w:ind w:firstLine="640" w:firstLineChars="200"/>
        <w:rPr>
          <w:rFonts w:eastAsia="仿宋_GB2312"/>
          <w:szCs w:val="32"/>
        </w:rPr>
      </w:pPr>
      <w:r>
        <w:rPr>
          <w:rFonts w:eastAsia="仿宋_GB2312"/>
          <w:szCs w:val="32"/>
        </w:rPr>
        <w:t>[28]GB/T 10128-2007,金属材料 室温扭转试验方法[S].</w:t>
      </w:r>
    </w:p>
    <w:p w14:paraId="27733245">
      <w:pPr>
        <w:tabs>
          <w:tab w:val="left" w:pos="312"/>
        </w:tabs>
        <w:spacing w:line="520" w:lineRule="exact"/>
        <w:ind w:firstLine="640" w:firstLineChars="200"/>
        <w:rPr>
          <w:rFonts w:eastAsia="仿宋_GB2312"/>
          <w:szCs w:val="32"/>
        </w:rPr>
      </w:pPr>
      <w:r>
        <w:rPr>
          <w:rFonts w:eastAsia="仿宋_GB2312"/>
          <w:szCs w:val="32"/>
        </w:rPr>
        <w:t>[29]GB/T 8013.1-2018,铝及铝合金阳极氧化膜与有机聚合物膜 第1部分：阳极氧化膜[S].</w:t>
      </w:r>
    </w:p>
    <w:p w14:paraId="410DBE15">
      <w:pPr>
        <w:tabs>
          <w:tab w:val="left" w:pos="312"/>
        </w:tabs>
        <w:spacing w:line="520" w:lineRule="exact"/>
        <w:ind w:firstLine="640" w:firstLineChars="200"/>
        <w:rPr>
          <w:rFonts w:eastAsia="仿宋_GB2312"/>
          <w:szCs w:val="32"/>
        </w:rPr>
      </w:pPr>
      <w:r>
        <w:rPr>
          <w:rFonts w:eastAsia="仿宋_GB2312"/>
          <w:szCs w:val="32"/>
        </w:rPr>
        <w:t>[30]GB/T 41873-2022,塑料 聚醚醚酮（PEEK）树脂[S].</w:t>
      </w:r>
    </w:p>
    <w:p w14:paraId="7134FCBA">
      <w:pPr>
        <w:tabs>
          <w:tab w:val="left" w:pos="312"/>
        </w:tabs>
        <w:spacing w:line="520" w:lineRule="exact"/>
        <w:ind w:firstLine="640" w:firstLineChars="200"/>
        <w:rPr>
          <w:rFonts w:eastAsia="仿宋_GB2312"/>
          <w:szCs w:val="32"/>
        </w:rPr>
      </w:pPr>
      <w:r>
        <w:rPr>
          <w:rFonts w:eastAsia="仿宋_GB2312"/>
          <w:szCs w:val="32"/>
        </w:rPr>
        <w:t>[31]GB 18279.1-2015,医疗保健产品灭菌 环氧乙烷 第1部分：医疗器械灭菌过程的开发、确认和常规控制的要求[S].</w:t>
      </w:r>
    </w:p>
    <w:p w14:paraId="1896FE16">
      <w:pPr>
        <w:tabs>
          <w:tab w:val="left" w:pos="312"/>
        </w:tabs>
        <w:spacing w:line="520" w:lineRule="exact"/>
        <w:ind w:firstLine="640" w:firstLineChars="200"/>
        <w:rPr>
          <w:rFonts w:eastAsia="仿宋_GB2312"/>
          <w:szCs w:val="32"/>
        </w:rPr>
      </w:pPr>
      <w:r>
        <w:rPr>
          <w:rFonts w:eastAsia="仿宋_GB2312"/>
          <w:szCs w:val="32"/>
        </w:rPr>
        <w:t>[32]GB/T18279.2-2015,医疗保健产品的灭菌 环氧乙烷 第2部分：GB 18279.1应用指南[S].</w:t>
      </w:r>
    </w:p>
    <w:p w14:paraId="3EF76B81">
      <w:pPr>
        <w:tabs>
          <w:tab w:val="left" w:pos="312"/>
        </w:tabs>
        <w:spacing w:line="520" w:lineRule="exact"/>
        <w:ind w:firstLine="640" w:firstLineChars="200"/>
        <w:rPr>
          <w:rFonts w:eastAsia="仿宋_GB2312"/>
          <w:szCs w:val="32"/>
        </w:rPr>
      </w:pPr>
      <w:r>
        <w:rPr>
          <w:rFonts w:eastAsia="仿宋_GB2312"/>
          <w:szCs w:val="32"/>
        </w:rPr>
        <w:t>[33]GB 18280.1-2015,医疗保健产品灭菌 辐射 第1部分：医疗器械灭菌过程的开发、确认和常规控制要求[S].</w:t>
      </w:r>
    </w:p>
    <w:p w14:paraId="1898A40B">
      <w:pPr>
        <w:tabs>
          <w:tab w:val="left" w:pos="312"/>
        </w:tabs>
        <w:spacing w:line="520" w:lineRule="exact"/>
        <w:ind w:firstLine="640" w:firstLineChars="200"/>
        <w:rPr>
          <w:rFonts w:eastAsia="仿宋_GB2312"/>
          <w:szCs w:val="32"/>
        </w:rPr>
      </w:pPr>
      <w:r>
        <w:rPr>
          <w:rFonts w:eastAsia="仿宋_GB2312"/>
          <w:szCs w:val="32"/>
        </w:rPr>
        <w:t>[34]GB 18280.2-2015,医疗保健产品灭菌 辐射 第2部分：建立灭菌剂量[S].</w:t>
      </w:r>
    </w:p>
    <w:p w14:paraId="094B1CBD">
      <w:pPr>
        <w:tabs>
          <w:tab w:val="left" w:pos="312"/>
        </w:tabs>
        <w:spacing w:line="520" w:lineRule="exact"/>
        <w:ind w:firstLine="640" w:firstLineChars="200"/>
        <w:rPr>
          <w:rFonts w:eastAsia="仿宋_GB2312"/>
          <w:szCs w:val="32"/>
        </w:rPr>
      </w:pPr>
      <w:r>
        <w:rPr>
          <w:rFonts w:eastAsia="仿宋_GB2312"/>
          <w:szCs w:val="32"/>
        </w:rPr>
        <w:t>[35]GB/T 18280.3-2015</w:t>
      </w:r>
      <w:r>
        <w:rPr>
          <w:rFonts w:eastAsia="仿宋_GB2312"/>
          <w:szCs w:val="32"/>
        </w:rPr>
        <w:tab/>
      </w:r>
      <w:r>
        <w:rPr>
          <w:rFonts w:eastAsia="仿宋_GB2312"/>
          <w:szCs w:val="32"/>
        </w:rPr>
        <w:t>,医疗保健产品灭菌 辐射 第3部分：剂量测量指南[S].</w:t>
      </w:r>
    </w:p>
    <w:p w14:paraId="069ABEED">
      <w:pPr>
        <w:tabs>
          <w:tab w:val="left" w:pos="312"/>
        </w:tabs>
        <w:spacing w:line="520" w:lineRule="exact"/>
        <w:ind w:firstLine="640" w:firstLineChars="200"/>
        <w:rPr>
          <w:rFonts w:eastAsia="仿宋_GB2312"/>
          <w:szCs w:val="32"/>
        </w:rPr>
      </w:pPr>
      <w:r>
        <w:rPr>
          <w:rFonts w:eastAsia="仿宋_GB2312"/>
          <w:szCs w:val="32"/>
        </w:rPr>
        <w:t>[36]YY/T 0149-2006,不锈钢医用器械 耐腐蚀性能试验方法[S].</w:t>
      </w:r>
    </w:p>
    <w:p w14:paraId="35968E62">
      <w:pPr>
        <w:tabs>
          <w:tab w:val="left" w:pos="312"/>
        </w:tabs>
        <w:spacing w:line="520" w:lineRule="exact"/>
        <w:ind w:firstLine="640" w:firstLineChars="200"/>
        <w:rPr>
          <w:rFonts w:eastAsia="仿宋_GB2312"/>
          <w:szCs w:val="32"/>
        </w:rPr>
      </w:pPr>
      <w:r>
        <w:rPr>
          <w:rFonts w:eastAsia="仿宋_GB2312"/>
          <w:szCs w:val="32"/>
        </w:rPr>
        <w:t>[37]YY/T 0508-2009,外固定支架专用要求[S].</w:t>
      </w:r>
    </w:p>
    <w:p w14:paraId="0A6979C9">
      <w:pPr>
        <w:tabs>
          <w:tab w:val="left" w:pos="312"/>
        </w:tabs>
        <w:spacing w:line="520" w:lineRule="exact"/>
        <w:ind w:firstLine="640" w:firstLineChars="200"/>
        <w:rPr>
          <w:rFonts w:eastAsia="仿宋_GB2312"/>
          <w:szCs w:val="32"/>
        </w:rPr>
      </w:pPr>
      <w:r>
        <w:rPr>
          <w:rFonts w:eastAsia="仿宋_GB2312"/>
          <w:szCs w:val="32"/>
        </w:rPr>
        <w:t>[38]YY/T 1782-2021,骨科外固定支架力学性能测试方法[S].</w:t>
      </w:r>
    </w:p>
    <w:p w14:paraId="4B160AB3">
      <w:pPr>
        <w:tabs>
          <w:tab w:val="left" w:pos="312"/>
        </w:tabs>
        <w:wordWrap w:val="0"/>
        <w:spacing w:line="520" w:lineRule="exact"/>
        <w:ind w:firstLine="640" w:firstLineChars="200"/>
        <w:rPr>
          <w:rFonts w:eastAsia="仿宋_GB2312"/>
          <w:szCs w:val="32"/>
        </w:rPr>
      </w:pPr>
      <w:r>
        <w:rPr>
          <w:rFonts w:eastAsia="仿宋_GB2312"/>
          <w:szCs w:val="32"/>
        </w:rPr>
        <w:t>[39]ASTM F1541-24,Standard Specification and Test Methods for External Skeletal Fixation Devices[S].</w:t>
      </w:r>
    </w:p>
    <w:p w14:paraId="3913211F">
      <w:pPr>
        <w:tabs>
          <w:tab w:val="left" w:pos="312"/>
        </w:tabs>
        <w:spacing w:line="520" w:lineRule="exact"/>
        <w:ind w:firstLine="640" w:firstLineChars="200"/>
        <w:rPr>
          <w:rFonts w:eastAsia="仿宋_GB2312"/>
          <w:szCs w:val="32"/>
        </w:rPr>
      </w:pPr>
      <w:r>
        <w:rPr>
          <w:rFonts w:eastAsia="仿宋_GB2312"/>
          <w:szCs w:val="32"/>
        </w:rPr>
        <w:t>[40]YY/T 0681.1-2018</w:t>
      </w:r>
      <w:r>
        <w:rPr>
          <w:rFonts w:eastAsia="仿宋_GB2312"/>
          <w:szCs w:val="32"/>
        </w:rPr>
        <w:tab/>
      </w:r>
      <w:r>
        <w:rPr>
          <w:rFonts w:eastAsia="仿宋_GB2312"/>
          <w:szCs w:val="32"/>
        </w:rPr>
        <w:t>无菌医疗器械包装试验方法 第1部分：加速老化试验指南[S].</w:t>
      </w:r>
    </w:p>
    <w:p w14:paraId="1999EDE7">
      <w:pPr>
        <w:tabs>
          <w:tab w:val="left" w:pos="312"/>
        </w:tabs>
        <w:spacing w:line="520" w:lineRule="exact"/>
        <w:ind w:firstLine="640" w:firstLineChars="200"/>
        <w:rPr>
          <w:rFonts w:eastAsia="仿宋_GB2312"/>
          <w:szCs w:val="32"/>
        </w:rPr>
      </w:pPr>
      <w:r>
        <w:rPr>
          <w:rFonts w:eastAsia="仿宋_GB2312"/>
          <w:szCs w:val="32"/>
        </w:rPr>
        <w:t>[41]GB/T 42062-2022</w:t>
      </w:r>
      <w:r>
        <w:rPr>
          <w:rFonts w:eastAsia="仿宋_GB2312"/>
          <w:szCs w:val="32"/>
        </w:rPr>
        <w:tab/>
      </w:r>
      <w:r>
        <w:rPr>
          <w:rFonts w:eastAsia="仿宋_GB2312"/>
          <w:szCs w:val="32"/>
        </w:rPr>
        <w:t>医疗器械 风险管理对医疗器械的应用[S].</w:t>
      </w:r>
    </w:p>
    <w:p w14:paraId="19E33992">
      <w:pPr>
        <w:tabs>
          <w:tab w:val="left" w:pos="312"/>
        </w:tabs>
        <w:spacing w:line="520" w:lineRule="exact"/>
        <w:ind w:firstLine="640" w:firstLineChars="200"/>
        <w:rPr>
          <w:rFonts w:eastAsia="仿宋_GB2312"/>
          <w:szCs w:val="32"/>
        </w:rPr>
      </w:pPr>
      <w:r>
        <w:rPr>
          <w:rFonts w:eastAsia="仿宋_GB2312"/>
          <w:szCs w:val="32"/>
        </w:rPr>
        <w:t>[42]YY/T 0466.1-2016</w:t>
      </w:r>
      <w:r>
        <w:rPr>
          <w:rFonts w:eastAsia="仿宋_GB2312"/>
          <w:szCs w:val="32"/>
        </w:rPr>
        <w:tab/>
      </w:r>
      <w:r>
        <w:rPr>
          <w:rFonts w:eastAsia="仿宋_GB2312"/>
          <w:szCs w:val="32"/>
        </w:rPr>
        <w:t>医疗器械 用于医疗器械标签、标记和提供信息的符号 第1部分：通用要求[S].</w:t>
      </w:r>
    </w:p>
    <w:p w14:paraId="7014980D">
      <w:pPr>
        <w:widowControl/>
        <w:jc w:val="left"/>
        <w:rPr>
          <w:rFonts w:eastAsia="仿宋_GB2312"/>
          <w:szCs w:val="32"/>
        </w:rPr>
      </w:pPr>
      <w:r>
        <w:rPr>
          <w:rFonts w:eastAsia="仿宋_GB2312"/>
          <w:szCs w:val="32"/>
        </w:rPr>
        <w:br w:type="page"/>
      </w:r>
    </w:p>
    <w:p w14:paraId="2BF4EFC2">
      <w:pPr>
        <w:spacing w:line="520" w:lineRule="exact"/>
        <w:rPr>
          <w:rFonts w:eastAsia="黑体"/>
          <w:szCs w:val="32"/>
        </w:rPr>
      </w:pPr>
      <w:bookmarkStart w:id="0" w:name="_GoBack"/>
      <w:r>
        <w:rPr>
          <w:rFonts w:eastAsia="黑体"/>
          <w:szCs w:val="32"/>
        </w:rPr>
        <w:t>附</w:t>
      </w:r>
      <w:r>
        <w:rPr>
          <w:rFonts w:hint="eastAsia" w:eastAsia="黑体"/>
          <w:szCs w:val="32"/>
        </w:rPr>
        <w:t>件</w:t>
      </w:r>
      <w:bookmarkEnd w:id="0"/>
    </w:p>
    <w:p w14:paraId="1E0DF80C">
      <w:pPr>
        <w:spacing w:line="520" w:lineRule="exact"/>
        <w:rPr>
          <w:rFonts w:eastAsia="黑体"/>
          <w:szCs w:val="32"/>
        </w:rPr>
      </w:pPr>
    </w:p>
    <w:p w14:paraId="1A799FE9">
      <w:pPr>
        <w:spacing w:line="520" w:lineRule="exact"/>
        <w:jc w:val="center"/>
        <w:rPr>
          <w:rStyle w:val="19"/>
          <w:rFonts w:eastAsia="方正小标宋简体"/>
          <w:sz w:val="44"/>
          <w:szCs w:val="44"/>
        </w:rPr>
      </w:pPr>
      <w:r>
        <w:rPr>
          <w:rStyle w:val="19"/>
          <w:rFonts w:eastAsia="方正小标宋简体"/>
          <w:sz w:val="44"/>
          <w:szCs w:val="44"/>
        </w:rPr>
        <w:t>产品主要危险（举例）</w:t>
      </w:r>
    </w:p>
    <w:p w14:paraId="06D42B41">
      <w:pPr>
        <w:spacing w:line="520" w:lineRule="exact"/>
        <w:rPr>
          <w:rStyle w:val="19"/>
          <w:rFonts w:eastAsia="黑体"/>
          <w:sz w:val="28"/>
          <w:szCs w:val="28"/>
        </w:rPr>
      </w:pP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2"/>
        <w:gridCol w:w="4005"/>
        <w:gridCol w:w="3117"/>
      </w:tblGrid>
      <w:tr w14:paraId="188DE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atLeast"/>
          <w:tblHeader/>
        </w:trPr>
        <w:tc>
          <w:tcPr>
            <w:tcW w:w="969" w:type="pct"/>
            <w:vAlign w:val="center"/>
          </w:tcPr>
          <w:p w14:paraId="4246D271">
            <w:pPr>
              <w:spacing w:line="400" w:lineRule="exact"/>
              <w:jc w:val="center"/>
              <w:rPr>
                <w:rFonts w:eastAsia="黑体"/>
                <w:sz w:val="28"/>
                <w:szCs w:val="28"/>
              </w:rPr>
            </w:pPr>
            <w:r>
              <w:rPr>
                <w:rFonts w:eastAsia="黑体"/>
                <w:sz w:val="28"/>
                <w:szCs w:val="28"/>
              </w:rPr>
              <w:t>危险的分类</w:t>
            </w:r>
          </w:p>
        </w:tc>
        <w:tc>
          <w:tcPr>
            <w:tcW w:w="2267" w:type="pct"/>
            <w:vAlign w:val="center"/>
          </w:tcPr>
          <w:p w14:paraId="3DF185EF">
            <w:pPr>
              <w:spacing w:line="400" w:lineRule="exact"/>
              <w:jc w:val="center"/>
              <w:rPr>
                <w:rFonts w:eastAsia="黑体"/>
                <w:sz w:val="28"/>
                <w:szCs w:val="28"/>
              </w:rPr>
            </w:pPr>
            <w:r>
              <w:rPr>
                <w:rFonts w:eastAsia="黑体"/>
                <w:sz w:val="28"/>
                <w:szCs w:val="28"/>
              </w:rPr>
              <w:t>危险的形成因素</w:t>
            </w:r>
          </w:p>
        </w:tc>
        <w:tc>
          <w:tcPr>
            <w:tcW w:w="1764" w:type="pct"/>
            <w:vAlign w:val="center"/>
          </w:tcPr>
          <w:p w14:paraId="4E2C8A04">
            <w:pPr>
              <w:spacing w:line="400" w:lineRule="exact"/>
              <w:jc w:val="center"/>
              <w:rPr>
                <w:rFonts w:eastAsia="黑体"/>
                <w:sz w:val="28"/>
                <w:szCs w:val="28"/>
              </w:rPr>
            </w:pPr>
            <w:r>
              <w:rPr>
                <w:rFonts w:eastAsia="黑体"/>
                <w:sz w:val="28"/>
                <w:szCs w:val="28"/>
              </w:rPr>
              <w:t>可能的后果</w:t>
            </w:r>
          </w:p>
        </w:tc>
      </w:tr>
      <w:tr w14:paraId="2358D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69" w:type="pct"/>
            <w:vAlign w:val="center"/>
          </w:tcPr>
          <w:p w14:paraId="6E73FD2C">
            <w:pPr>
              <w:spacing w:line="400" w:lineRule="exact"/>
              <w:jc w:val="center"/>
              <w:rPr>
                <w:rFonts w:eastAsia="仿宋_GB2312"/>
                <w:sz w:val="28"/>
                <w:szCs w:val="28"/>
              </w:rPr>
            </w:pPr>
            <w:r>
              <w:rPr>
                <w:rFonts w:eastAsia="仿宋_GB2312"/>
                <w:sz w:val="28"/>
                <w:szCs w:val="28"/>
              </w:rPr>
              <w:t>性能有关的危险</w:t>
            </w:r>
          </w:p>
        </w:tc>
        <w:tc>
          <w:tcPr>
            <w:tcW w:w="2267" w:type="pct"/>
            <w:vAlign w:val="center"/>
          </w:tcPr>
          <w:p w14:paraId="6BBD92EA">
            <w:pPr>
              <w:spacing w:line="400" w:lineRule="exact"/>
              <w:rPr>
                <w:rFonts w:eastAsia="仿宋_GB2312"/>
                <w:sz w:val="28"/>
                <w:szCs w:val="28"/>
              </w:rPr>
            </w:pPr>
            <w:r>
              <w:rPr>
                <w:rFonts w:eastAsia="仿宋_GB2312"/>
                <w:sz w:val="28"/>
                <w:szCs w:val="28"/>
              </w:rPr>
              <w:t>采用不适宜的灭菌方式，导致产品力学性能下降</w:t>
            </w:r>
          </w:p>
        </w:tc>
        <w:tc>
          <w:tcPr>
            <w:tcW w:w="1764" w:type="pct"/>
            <w:vAlign w:val="center"/>
          </w:tcPr>
          <w:p w14:paraId="02562DCE">
            <w:pPr>
              <w:spacing w:line="400" w:lineRule="exact"/>
              <w:rPr>
                <w:rFonts w:eastAsia="仿宋_GB2312"/>
                <w:sz w:val="28"/>
                <w:szCs w:val="28"/>
              </w:rPr>
            </w:pPr>
            <w:r>
              <w:rPr>
                <w:rFonts w:eastAsia="仿宋_GB2312"/>
                <w:bCs/>
                <w:sz w:val="28"/>
                <w:szCs w:val="28"/>
              </w:rPr>
              <w:t>使用时不能很好地在患者骨折部位进行固定，影响患者骨折部位的愈合</w:t>
            </w:r>
          </w:p>
        </w:tc>
      </w:tr>
      <w:tr w14:paraId="4259E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69" w:type="pct"/>
            <w:vMerge w:val="restart"/>
            <w:vAlign w:val="center"/>
          </w:tcPr>
          <w:p w14:paraId="7BE6C9E7">
            <w:pPr>
              <w:spacing w:line="400" w:lineRule="exact"/>
              <w:jc w:val="center"/>
              <w:rPr>
                <w:rFonts w:eastAsia="仿宋_GB2312"/>
                <w:sz w:val="28"/>
                <w:szCs w:val="28"/>
              </w:rPr>
            </w:pPr>
            <w:r>
              <w:rPr>
                <w:rFonts w:eastAsia="仿宋_GB2312"/>
                <w:sz w:val="28"/>
                <w:szCs w:val="28"/>
              </w:rPr>
              <w:t>生物和化学危险</w:t>
            </w:r>
          </w:p>
        </w:tc>
        <w:tc>
          <w:tcPr>
            <w:tcW w:w="2267" w:type="pct"/>
            <w:vAlign w:val="center"/>
          </w:tcPr>
          <w:p w14:paraId="566E6AD1">
            <w:pPr>
              <w:spacing w:line="400" w:lineRule="exact"/>
              <w:rPr>
                <w:rFonts w:eastAsia="仿宋_GB2312"/>
                <w:sz w:val="28"/>
                <w:szCs w:val="28"/>
              </w:rPr>
            </w:pPr>
            <w:r>
              <w:rPr>
                <w:rFonts w:eastAsia="仿宋_GB2312"/>
                <w:spacing w:val="-10"/>
                <w:sz w:val="28"/>
                <w:szCs w:val="28"/>
              </w:rPr>
              <w:t>经环氧乙烷灭菌的产品出厂时环氧乙烷解析不彻底，残留量超标</w:t>
            </w:r>
          </w:p>
        </w:tc>
        <w:tc>
          <w:tcPr>
            <w:tcW w:w="1764" w:type="pct"/>
            <w:vAlign w:val="center"/>
          </w:tcPr>
          <w:p w14:paraId="5222DAE1">
            <w:pPr>
              <w:spacing w:line="400" w:lineRule="exact"/>
              <w:rPr>
                <w:rFonts w:eastAsia="仿宋_GB2312"/>
                <w:sz w:val="28"/>
                <w:szCs w:val="28"/>
              </w:rPr>
            </w:pPr>
            <w:r>
              <w:rPr>
                <w:rFonts w:eastAsia="仿宋_GB2312"/>
                <w:sz w:val="28"/>
                <w:szCs w:val="28"/>
              </w:rPr>
              <w:t>临床大夫及患者接触过量的环氧乙烷，损害临床大夫及患者健康</w:t>
            </w:r>
          </w:p>
        </w:tc>
      </w:tr>
      <w:tr w14:paraId="02595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69" w:type="pct"/>
            <w:vMerge w:val="continue"/>
            <w:vAlign w:val="center"/>
          </w:tcPr>
          <w:p w14:paraId="310DE98D">
            <w:pPr>
              <w:spacing w:line="400" w:lineRule="exact"/>
              <w:jc w:val="center"/>
              <w:rPr>
                <w:rFonts w:eastAsia="仿宋_GB2312"/>
                <w:sz w:val="28"/>
                <w:szCs w:val="28"/>
              </w:rPr>
            </w:pPr>
          </w:p>
        </w:tc>
        <w:tc>
          <w:tcPr>
            <w:tcW w:w="2267" w:type="pct"/>
            <w:vAlign w:val="center"/>
          </w:tcPr>
          <w:p w14:paraId="420D6D90">
            <w:pPr>
              <w:spacing w:line="400" w:lineRule="exact"/>
              <w:rPr>
                <w:rFonts w:eastAsia="仿宋_GB2312"/>
                <w:sz w:val="28"/>
                <w:szCs w:val="28"/>
              </w:rPr>
            </w:pPr>
            <w:r>
              <w:rPr>
                <w:rFonts w:eastAsia="仿宋_GB2312"/>
                <w:sz w:val="28"/>
                <w:szCs w:val="28"/>
              </w:rPr>
              <w:t>生产过程中原材料、包装材料等微生物的污染，导致产品菌落超标，产品灭菌不彻底</w:t>
            </w:r>
          </w:p>
        </w:tc>
        <w:tc>
          <w:tcPr>
            <w:tcW w:w="1764" w:type="pct"/>
            <w:vAlign w:val="center"/>
          </w:tcPr>
          <w:p w14:paraId="140D898E">
            <w:pPr>
              <w:spacing w:line="400" w:lineRule="exact"/>
              <w:rPr>
                <w:rFonts w:eastAsia="仿宋_GB2312"/>
                <w:sz w:val="28"/>
                <w:szCs w:val="28"/>
              </w:rPr>
            </w:pPr>
            <w:r>
              <w:rPr>
                <w:rFonts w:eastAsia="仿宋_GB2312"/>
                <w:sz w:val="28"/>
                <w:szCs w:val="28"/>
              </w:rPr>
              <w:t>细菌接触患者，患者被细菌感染，严重时导致发热、休克</w:t>
            </w:r>
          </w:p>
        </w:tc>
      </w:tr>
      <w:tr w14:paraId="7E226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69" w:type="pct"/>
            <w:vMerge w:val="continue"/>
            <w:vAlign w:val="center"/>
          </w:tcPr>
          <w:p w14:paraId="187355DD">
            <w:pPr>
              <w:spacing w:line="400" w:lineRule="exact"/>
              <w:jc w:val="center"/>
              <w:rPr>
                <w:rFonts w:eastAsia="仿宋_GB2312"/>
                <w:sz w:val="28"/>
                <w:szCs w:val="28"/>
              </w:rPr>
            </w:pPr>
          </w:p>
        </w:tc>
        <w:tc>
          <w:tcPr>
            <w:tcW w:w="2267" w:type="pct"/>
            <w:vAlign w:val="center"/>
          </w:tcPr>
          <w:p w14:paraId="74BF64C0">
            <w:pPr>
              <w:spacing w:line="400" w:lineRule="exact"/>
              <w:rPr>
                <w:rFonts w:eastAsia="仿宋_GB2312"/>
                <w:sz w:val="28"/>
                <w:szCs w:val="28"/>
              </w:rPr>
            </w:pPr>
            <w:r>
              <w:rPr>
                <w:rFonts w:eastAsia="仿宋_GB2312"/>
                <w:sz w:val="28"/>
                <w:szCs w:val="28"/>
              </w:rPr>
              <w:t>产品未灭菌；或未按已确认的工艺实施灭菌，产品灭菌不彻底，产品带菌</w:t>
            </w:r>
          </w:p>
        </w:tc>
        <w:tc>
          <w:tcPr>
            <w:tcW w:w="1764" w:type="pct"/>
            <w:vAlign w:val="center"/>
          </w:tcPr>
          <w:p w14:paraId="175CB8EA">
            <w:pPr>
              <w:spacing w:line="400" w:lineRule="exact"/>
              <w:rPr>
                <w:rFonts w:eastAsia="仿宋_GB2312"/>
                <w:sz w:val="28"/>
                <w:szCs w:val="28"/>
              </w:rPr>
            </w:pPr>
            <w:r>
              <w:rPr>
                <w:rFonts w:eastAsia="仿宋_GB2312"/>
                <w:sz w:val="28"/>
                <w:szCs w:val="28"/>
              </w:rPr>
              <w:t>细菌接触患者，患者被细菌感染，严重时导致发热、休克</w:t>
            </w:r>
          </w:p>
        </w:tc>
      </w:tr>
      <w:tr w14:paraId="585DF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69" w:type="pct"/>
            <w:vMerge w:val="restart"/>
            <w:vAlign w:val="center"/>
          </w:tcPr>
          <w:p w14:paraId="3009322E">
            <w:pPr>
              <w:spacing w:line="400" w:lineRule="exact"/>
              <w:jc w:val="center"/>
              <w:rPr>
                <w:rFonts w:eastAsia="仿宋_GB2312"/>
                <w:sz w:val="28"/>
                <w:szCs w:val="28"/>
              </w:rPr>
            </w:pPr>
            <w:r>
              <w:rPr>
                <w:rFonts w:eastAsia="仿宋_GB2312"/>
                <w:sz w:val="28"/>
                <w:szCs w:val="28"/>
              </w:rPr>
              <w:t>可用性</w:t>
            </w:r>
          </w:p>
        </w:tc>
        <w:tc>
          <w:tcPr>
            <w:tcW w:w="2267" w:type="pct"/>
            <w:vAlign w:val="center"/>
          </w:tcPr>
          <w:p w14:paraId="2BAD7024">
            <w:pPr>
              <w:spacing w:line="400" w:lineRule="exact"/>
              <w:rPr>
                <w:rFonts w:eastAsia="仿宋_GB2312"/>
                <w:sz w:val="28"/>
                <w:szCs w:val="28"/>
              </w:rPr>
            </w:pPr>
            <w:r>
              <w:rPr>
                <w:rFonts w:eastAsia="仿宋_GB2312"/>
                <w:sz w:val="28"/>
                <w:szCs w:val="28"/>
              </w:rPr>
              <w:t>由不熟练/未经培训的人员使用</w:t>
            </w:r>
          </w:p>
        </w:tc>
        <w:tc>
          <w:tcPr>
            <w:tcW w:w="1764" w:type="pct"/>
            <w:vAlign w:val="center"/>
          </w:tcPr>
          <w:p w14:paraId="549AAF11">
            <w:pPr>
              <w:spacing w:line="400" w:lineRule="exact"/>
              <w:rPr>
                <w:rFonts w:eastAsia="仿宋_GB2312"/>
                <w:sz w:val="28"/>
                <w:szCs w:val="28"/>
              </w:rPr>
            </w:pPr>
            <w:r>
              <w:rPr>
                <w:rFonts w:eastAsia="仿宋_GB2312"/>
                <w:sz w:val="28"/>
                <w:szCs w:val="28"/>
              </w:rPr>
              <w:t>可能造成骨折对位不良愈合或再移位，给患者造成身体伤害</w:t>
            </w:r>
          </w:p>
        </w:tc>
      </w:tr>
      <w:tr w14:paraId="57A77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69" w:type="pct"/>
            <w:vMerge w:val="continue"/>
            <w:vAlign w:val="center"/>
          </w:tcPr>
          <w:p w14:paraId="37BB5493">
            <w:pPr>
              <w:spacing w:line="400" w:lineRule="exact"/>
              <w:rPr>
                <w:rFonts w:eastAsia="仿宋_GB2312"/>
                <w:sz w:val="28"/>
                <w:szCs w:val="28"/>
              </w:rPr>
            </w:pPr>
          </w:p>
        </w:tc>
        <w:tc>
          <w:tcPr>
            <w:tcW w:w="2267" w:type="pct"/>
            <w:vAlign w:val="center"/>
          </w:tcPr>
          <w:p w14:paraId="114F9C11">
            <w:pPr>
              <w:spacing w:line="400" w:lineRule="exact"/>
              <w:rPr>
                <w:rFonts w:eastAsia="仿宋_GB2312"/>
                <w:sz w:val="28"/>
                <w:szCs w:val="28"/>
              </w:rPr>
            </w:pPr>
            <w:r>
              <w:rPr>
                <w:rFonts w:eastAsia="仿宋_GB2312"/>
                <w:sz w:val="28"/>
                <w:szCs w:val="28"/>
              </w:rPr>
              <w:t>非无菌形式交付，包装形式与无菌状态相似，大夫误以为无菌产品即带入手术室</w:t>
            </w:r>
          </w:p>
        </w:tc>
        <w:tc>
          <w:tcPr>
            <w:tcW w:w="1764" w:type="pct"/>
            <w:vAlign w:val="center"/>
          </w:tcPr>
          <w:p w14:paraId="032FF653">
            <w:pPr>
              <w:spacing w:line="400" w:lineRule="exact"/>
              <w:rPr>
                <w:rFonts w:eastAsia="仿宋_GB2312"/>
                <w:sz w:val="28"/>
                <w:szCs w:val="28"/>
              </w:rPr>
            </w:pPr>
            <w:r>
              <w:rPr>
                <w:rFonts w:eastAsia="仿宋_GB2312"/>
                <w:sz w:val="28"/>
                <w:szCs w:val="28"/>
              </w:rPr>
              <w:t>污染手术室环境，造成患者感染</w:t>
            </w:r>
          </w:p>
        </w:tc>
      </w:tr>
      <w:tr w14:paraId="3E885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69" w:type="pct"/>
            <w:vMerge w:val="continue"/>
            <w:vAlign w:val="center"/>
          </w:tcPr>
          <w:p w14:paraId="020D9D5F">
            <w:pPr>
              <w:spacing w:line="400" w:lineRule="exact"/>
              <w:rPr>
                <w:rFonts w:eastAsia="仿宋_GB2312"/>
                <w:sz w:val="28"/>
                <w:szCs w:val="28"/>
              </w:rPr>
            </w:pPr>
          </w:p>
        </w:tc>
        <w:tc>
          <w:tcPr>
            <w:tcW w:w="2267" w:type="pct"/>
            <w:vAlign w:val="center"/>
          </w:tcPr>
          <w:p w14:paraId="5056FB11">
            <w:pPr>
              <w:spacing w:line="400" w:lineRule="exact"/>
              <w:rPr>
                <w:rFonts w:eastAsia="仿宋_GB2312"/>
                <w:sz w:val="28"/>
                <w:szCs w:val="28"/>
              </w:rPr>
            </w:pPr>
            <w:r>
              <w:rPr>
                <w:rFonts w:eastAsia="仿宋_GB2312"/>
                <w:sz w:val="28"/>
                <w:szCs w:val="28"/>
              </w:rPr>
              <w:t>对适应人群</w:t>
            </w:r>
            <w:r>
              <w:rPr>
                <w:rFonts w:eastAsia="仿宋_GB2312"/>
                <w:color w:val="000000"/>
                <w:sz w:val="28"/>
                <w:szCs w:val="28"/>
              </w:rPr>
              <w:t>和禁忌症</w:t>
            </w:r>
            <w:r>
              <w:rPr>
                <w:rFonts w:eastAsia="仿宋_GB2312"/>
                <w:sz w:val="28"/>
                <w:szCs w:val="28"/>
              </w:rPr>
              <w:t>的说明不充分</w:t>
            </w:r>
          </w:p>
        </w:tc>
        <w:tc>
          <w:tcPr>
            <w:tcW w:w="1764" w:type="pct"/>
            <w:vAlign w:val="center"/>
          </w:tcPr>
          <w:p w14:paraId="2673786E">
            <w:pPr>
              <w:spacing w:line="400" w:lineRule="exact"/>
              <w:rPr>
                <w:rFonts w:eastAsia="仿宋_GB2312"/>
                <w:sz w:val="28"/>
                <w:szCs w:val="28"/>
              </w:rPr>
            </w:pPr>
            <w:r>
              <w:rPr>
                <w:rFonts w:eastAsia="仿宋_GB2312"/>
                <w:sz w:val="28"/>
                <w:szCs w:val="28"/>
              </w:rPr>
              <w:t>临床大夫将产品用于不适宜的症状或人群，可能会造成手术失败，给患者带来身体伤害</w:t>
            </w:r>
          </w:p>
        </w:tc>
      </w:tr>
    </w:tbl>
    <w:p w14:paraId="3B06D91C">
      <w:pPr>
        <w:spacing w:line="520" w:lineRule="exact"/>
        <w:rPr>
          <w:rFonts w:eastAsia="仿宋_GB2312"/>
          <w:szCs w:val="32"/>
        </w:rPr>
      </w:pPr>
      <w:r>
        <w:rPr>
          <w:rFonts w:eastAsia="仿宋_GB2312"/>
          <w:szCs w:val="32"/>
        </w:rPr>
        <w:t>注：上表内容仅为风险分析示例，并不用于注册申请人风险管理报告的制定，注册申请人应根据自身实际风险分析情况，确定其危害，制定产品风险管理报告。针对产品的各项风险，注册申请人应采取应对措施，确保风险降到可接受的程度。</w:t>
      </w:r>
    </w:p>
    <w:sectPr>
      <w:footerReference r:id="rId3" w:type="default"/>
      <w:footerReference r:id="rId4" w:type="even"/>
      <w:pgSz w:w="11906" w:h="16838"/>
      <w:pgMar w:top="2098" w:right="1474" w:bottom="1985" w:left="1588" w:header="851" w:footer="1191" w:gutter="0"/>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D6B840D-B0C1-4E4A-B5A2-54E8EC2114D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2BE2A788-EDCB-435C-AB9A-184FDE3D3CA9}"/>
  </w:font>
  <w:font w:name="Adobe 仿宋 Std R">
    <w:altName w:val="仿宋"/>
    <w:panose1 w:val="02020400000000000000"/>
    <w:charset w:val="86"/>
    <w:family w:val="roman"/>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embedRegular r:id="rId3" w:fontKey="{25C905A4-3AB7-429B-B938-2266F75F6929}"/>
  </w:font>
  <w:font w:name="DejaVu Sans">
    <w:altName w:val="Arial"/>
    <w:panose1 w:val="00000000000000000000"/>
    <w:charset w:val="00"/>
    <w:family w:val="auto"/>
    <w:pitch w:val="default"/>
    <w:sig w:usb0="00000000" w:usb1="00000000" w:usb2="0A246029" w:usb3="0400200C" w:csb0="600001FF" w:csb1="DFFF0000"/>
  </w:font>
  <w:font w:name="Arial">
    <w:panose1 w:val="020B0604020202020204"/>
    <w:charset w:val="00"/>
    <w:family w:val="auto"/>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简体">
    <w:panose1 w:val="02010600010101010101"/>
    <w:charset w:val="86"/>
    <w:family w:val="script"/>
    <w:pitch w:val="default"/>
    <w:sig w:usb0="00000001" w:usb1="080E0000" w:usb2="00000000" w:usb3="00000000" w:csb0="00040000" w:csb1="00000000"/>
    <w:embedRegular r:id="rId4" w:fontKey="{D1EA9DD6-CEAB-4BD9-AD42-04227019354B}"/>
  </w:font>
  <w:font w:name="楷体_GB2312">
    <w:panose1 w:val="02010609030101010101"/>
    <w:charset w:val="86"/>
    <w:family w:val="modern"/>
    <w:pitch w:val="default"/>
    <w:sig w:usb0="00000001" w:usb1="080E0000" w:usb2="00000000" w:usb3="00000000" w:csb0="00040000" w:csb1="00000000"/>
    <w:embedRegular r:id="rId5" w:fontKey="{975D0D8D-A534-4EAD-B32F-78B375B06E35}"/>
  </w:font>
  <w:font w:name="楷体">
    <w:panose1 w:val="02010609060101010101"/>
    <w:charset w:val="86"/>
    <w:family w:val="modern"/>
    <w:pitch w:val="default"/>
    <w:sig w:usb0="800002BF" w:usb1="38CF7CFA" w:usb2="00000016" w:usb3="00000000" w:csb0="00040001" w:csb1="00000000"/>
    <w:embedRegular r:id="rId6" w:fontKey="{D2421B65-4EF7-4CDF-921B-3AEAD4C26F1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F0EB7">
    <w:pPr>
      <w:pStyle w:val="5"/>
      <w:wordWrap w:val="0"/>
      <w:ind w:right="320" w:rightChars="100"/>
      <w:jc w:val="right"/>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11</w:t>
    </w:r>
    <w:r>
      <w:rPr>
        <w:sz w:val="28"/>
        <w:szCs w:val="28"/>
      </w:rPr>
      <w:fldChar w:fldCharType="end"/>
    </w:r>
    <w:r>
      <w:rPr>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4250B">
    <w:pPr>
      <w:pStyle w:val="5"/>
      <w:ind w:firstLine="280" w:firstLineChars="100"/>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12</w:t>
    </w:r>
    <w:r>
      <w:rPr>
        <w:sz w:val="28"/>
        <w:szCs w:val="28"/>
      </w:rPr>
      <w:fldChar w:fldCharType="end"/>
    </w:r>
    <w:r>
      <w:rPr>
        <w:sz w:val="28"/>
        <w:szCs w:val="28"/>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0EAEBC"/>
    <w:multiLevelType w:val="singleLevel"/>
    <w:tmpl w:val="320EAEB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evenAndOddHeaders w:val="1"/>
  <w:drawingGridHorizontalSpacing w:val="160"/>
  <w:drawingGridVerticalSpacing w:val="435"/>
  <w:displayHorizont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3ZDQwMmNiOWFlYzZjYTcwOWJiZGQ0YTA5ODBmZGUifQ=="/>
  </w:docVars>
  <w:rsids>
    <w:rsidRoot w:val="00787F7E"/>
    <w:rsid w:val="00071D7A"/>
    <w:rsid w:val="000749E3"/>
    <w:rsid w:val="0007686E"/>
    <w:rsid w:val="000C6CA4"/>
    <w:rsid w:val="000D621B"/>
    <w:rsid w:val="000E5335"/>
    <w:rsid w:val="000F07AC"/>
    <w:rsid w:val="00145167"/>
    <w:rsid w:val="0015622E"/>
    <w:rsid w:val="001C2F2B"/>
    <w:rsid w:val="001C3A87"/>
    <w:rsid w:val="001D08A1"/>
    <w:rsid w:val="001E0961"/>
    <w:rsid w:val="00213187"/>
    <w:rsid w:val="00242375"/>
    <w:rsid w:val="00244DF7"/>
    <w:rsid w:val="00257135"/>
    <w:rsid w:val="00277473"/>
    <w:rsid w:val="00291759"/>
    <w:rsid w:val="00294D2B"/>
    <w:rsid w:val="002B24A0"/>
    <w:rsid w:val="002C4449"/>
    <w:rsid w:val="002F2978"/>
    <w:rsid w:val="0030368E"/>
    <w:rsid w:val="003137C1"/>
    <w:rsid w:val="00331568"/>
    <w:rsid w:val="00332DE8"/>
    <w:rsid w:val="003450A4"/>
    <w:rsid w:val="00355421"/>
    <w:rsid w:val="00365AB2"/>
    <w:rsid w:val="003D4366"/>
    <w:rsid w:val="00410598"/>
    <w:rsid w:val="00435AC6"/>
    <w:rsid w:val="00440708"/>
    <w:rsid w:val="004410B9"/>
    <w:rsid w:val="004C4DBC"/>
    <w:rsid w:val="004E39ED"/>
    <w:rsid w:val="0050409A"/>
    <w:rsid w:val="005041BA"/>
    <w:rsid w:val="00534F4C"/>
    <w:rsid w:val="005716A1"/>
    <w:rsid w:val="005A1410"/>
    <w:rsid w:val="005A204F"/>
    <w:rsid w:val="0063792E"/>
    <w:rsid w:val="00690B42"/>
    <w:rsid w:val="006A1165"/>
    <w:rsid w:val="006C00CB"/>
    <w:rsid w:val="006E68A9"/>
    <w:rsid w:val="006E7148"/>
    <w:rsid w:val="007126C5"/>
    <w:rsid w:val="00716619"/>
    <w:rsid w:val="00745098"/>
    <w:rsid w:val="007646FC"/>
    <w:rsid w:val="00787F7E"/>
    <w:rsid w:val="007904F6"/>
    <w:rsid w:val="007B3051"/>
    <w:rsid w:val="007D341A"/>
    <w:rsid w:val="00815364"/>
    <w:rsid w:val="00821079"/>
    <w:rsid w:val="00845C30"/>
    <w:rsid w:val="00933041"/>
    <w:rsid w:val="00937F0E"/>
    <w:rsid w:val="009E2514"/>
    <w:rsid w:val="009F209D"/>
    <w:rsid w:val="00A23EC2"/>
    <w:rsid w:val="00A25C1A"/>
    <w:rsid w:val="00A73BFE"/>
    <w:rsid w:val="00AD2CAA"/>
    <w:rsid w:val="00AF6853"/>
    <w:rsid w:val="00B342D7"/>
    <w:rsid w:val="00B41578"/>
    <w:rsid w:val="00B646E3"/>
    <w:rsid w:val="00B66355"/>
    <w:rsid w:val="00B9118A"/>
    <w:rsid w:val="00BC2983"/>
    <w:rsid w:val="00BC7C84"/>
    <w:rsid w:val="00BD300F"/>
    <w:rsid w:val="00BE669C"/>
    <w:rsid w:val="00C0562D"/>
    <w:rsid w:val="00C12DE3"/>
    <w:rsid w:val="00C24E5D"/>
    <w:rsid w:val="00C25F69"/>
    <w:rsid w:val="00C40950"/>
    <w:rsid w:val="00C74CE1"/>
    <w:rsid w:val="00CB4CCD"/>
    <w:rsid w:val="00CF1264"/>
    <w:rsid w:val="00D32614"/>
    <w:rsid w:val="00D36F91"/>
    <w:rsid w:val="00D4450D"/>
    <w:rsid w:val="00DD740E"/>
    <w:rsid w:val="00E07E6A"/>
    <w:rsid w:val="00E11D78"/>
    <w:rsid w:val="00E14097"/>
    <w:rsid w:val="00E72EF4"/>
    <w:rsid w:val="00EB1A04"/>
    <w:rsid w:val="00EB2590"/>
    <w:rsid w:val="00EC523A"/>
    <w:rsid w:val="00ED0226"/>
    <w:rsid w:val="00EE261B"/>
    <w:rsid w:val="00EE4EBB"/>
    <w:rsid w:val="00EF7950"/>
    <w:rsid w:val="00F01A14"/>
    <w:rsid w:val="00F31CB3"/>
    <w:rsid w:val="00F53A8C"/>
    <w:rsid w:val="00F81D1A"/>
    <w:rsid w:val="00FB46B2"/>
    <w:rsid w:val="00FC65F3"/>
    <w:rsid w:val="00FF0F38"/>
    <w:rsid w:val="01875DDB"/>
    <w:rsid w:val="01BB1483"/>
    <w:rsid w:val="022A49B8"/>
    <w:rsid w:val="026D5E00"/>
    <w:rsid w:val="02B81FC4"/>
    <w:rsid w:val="02B96468"/>
    <w:rsid w:val="02BC3862"/>
    <w:rsid w:val="02CB1CF7"/>
    <w:rsid w:val="02FC6355"/>
    <w:rsid w:val="0301396B"/>
    <w:rsid w:val="032C4E8C"/>
    <w:rsid w:val="035C5045"/>
    <w:rsid w:val="03980446"/>
    <w:rsid w:val="03C055D4"/>
    <w:rsid w:val="04335DA6"/>
    <w:rsid w:val="046917C8"/>
    <w:rsid w:val="053E0EA6"/>
    <w:rsid w:val="05557F9E"/>
    <w:rsid w:val="05614B95"/>
    <w:rsid w:val="05A36F5B"/>
    <w:rsid w:val="06253E14"/>
    <w:rsid w:val="06B07B82"/>
    <w:rsid w:val="06C158EB"/>
    <w:rsid w:val="06C453DB"/>
    <w:rsid w:val="0717375D"/>
    <w:rsid w:val="072916E2"/>
    <w:rsid w:val="07293490"/>
    <w:rsid w:val="074B78AB"/>
    <w:rsid w:val="076D15CF"/>
    <w:rsid w:val="079E79DA"/>
    <w:rsid w:val="07E37AE3"/>
    <w:rsid w:val="08420CAE"/>
    <w:rsid w:val="08713341"/>
    <w:rsid w:val="088C017B"/>
    <w:rsid w:val="088E7A4F"/>
    <w:rsid w:val="0A350973"/>
    <w:rsid w:val="0AD41965"/>
    <w:rsid w:val="0AEE2A27"/>
    <w:rsid w:val="0BF73B5D"/>
    <w:rsid w:val="0C112E71"/>
    <w:rsid w:val="0D200E92"/>
    <w:rsid w:val="0D7A67F4"/>
    <w:rsid w:val="0DD4230C"/>
    <w:rsid w:val="0E211365"/>
    <w:rsid w:val="0F2721A6"/>
    <w:rsid w:val="0F4E1CE6"/>
    <w:rsid w:val="0F76123D"/>
    <w:rsid w:val="0F9C6EF5"/>
    <w:rsid w:val="0FB57FB7"/>
    <w:rsid w:val="0FDF3286"/>
    <w:rsid w:val="108654B0"/>
    <w:rsid w:val="11627CCB"/>
    <w:rsid w:val="120C7C36"/>
    <w:rsid w:val="123553DF"/>
    <w:rsid w:val="124D097B"/>
    <w:rsid w:val="12844F29"/>
    <w:rsid w:val="12A6008B"/>
    <w:rsid w:val="1329206F"/>
    <w:rsid w:val="1356560D"/>
    <w:rsid w:val="13BE4185"/>
    <w:rsid w:val="13C22CA3"/>
    <w:rsid w:val="143364F6"/>
    <w:rsid w:val="14830684"/>
    <w:rsid w:val="14863CD0"/>
    <w:rsid w:val="151B6B0E"/>
    <w:rsid w:val="158A63F2"/>
    <w:rsid w:val="16473933"/>
    <w:rsid w:val="166E0EC0"/>
    <w:rsid w:val="167069E6"/>
    <w:rsid w:val="17BB6387"/>
    <w:rsid w:val="18351C95"/>
    <w:rsid w:val="18BA4890"/>
    <w:rsid w:val="18C32785"/>
    <w:rsid w:val="191A0E8B"/>
    <w:rsid w:val="19BB441C"/>
    <w:rsid w:val="1A0E6C42"/>
    <w:rsid w:val="1A141D7E"/>
    <w:rsid w:val="1A3441CE"/>
    <w:rsid w:val="1A424B3D"/>
    <w:rsid w:val="1A5959E3"/>
    <w:rsid w:val="1A6E148E"/>
    <w:rsid w:val="1A7D7923"/>
    <w:rsid w:val="1B022F94"/>
    <w:rsid w:val="1BCC0B62"/>
    <w:rsid w:val="1C387FA6"/>
    <w:rsid w:val="1C483A69"/>
    <w:rsid w:val="1CA92C52"/>
    <w:rsid w:val="1CD06430"/>
    <w:rsid w:val="1CE65C54"/>
    <w:rsid w:val="1CF739BD"/>
    <w:rsid w:val="1D412E8A"/>
    <w:rsid w:val="1D994A74"/>
    <w:rsid w:val="1E081BFA"/>
    <w:rsid w:val="1F536EA5"/>
    <w:rsid w:val="20370574"/>
    <w:rsid w:val="20623843"/>
    <w:rsid w:val="208F215E"/>
    <w:rsid w:val="20BD316F"/>
    <w:rsid w:val="20CE082F"/>
    <w:rsid w:val="22431452"/>
    <w:rsid w:val="22910410"/>
    <w:rsid w:val="22A75E85"/>
    <w:rsid w:val="23040BE2"/>
    <w:rsid w:val="23733FB9"/>
    <w:rsid w:val="23876361"/>
    <w:rsid w:val="239B0E1A"/>
    <w:rsid w:val="23DF33FD"/>
    <w:rsid w:val="241733C3"/>
    <w:rsid w:val="249D12EE"/>
    <w:rsid w:val="24A81A41"/>
    <w:rsid w:val="24D740D4"/>
    <w:rsid w:val="25902C01"/>
    <w:rsid w:val="271A64C5"/>
    <w:rsid w:val="27651E6B"/>
    <w:rsid w:val="27CC3C98"/>
    <w:rsid w:val="27DA4607"/>
    <w:rsid w:val="280E1A9B"/>
    <w:rsid w:val="28255771"/>
    <w:rsid w:val="28527774"/>
    <w:rsid w:val="28CD7CC8"/>
    <w:rsid w:val="28F6721F"/>
    <w:rsid w:val="298F1421"/>
    <w:rsid w:val="29D238DE"/>
    <w:rsid w:val="2A24600D"/>
    <w:rsid w:val="2A554419"/>
    <w:rsid w:val="2A5A37DD"/>
    <w:rsid w:val="2AED4651"/>
    <w:rsid w:val="2BD4136D"/>
    <w:rsid w:val="2C600FFD"/>
    <w:rsid w:val="2C840FE5"/>
    <w:rsid w:val="2CA62D0A"/>
    <w:rsid w:val="2CF47F19"/>
    <w:rsid w:val="2D4F15F3"/>
    <w:rsid w:val="2D8F19F0"/>
    <w:rsid w:val="2F000DF7"/>
    <w:rsid w:val="2F0106CB"/>
    <w:rsid w:val="2F124686"/>
    <w:rsid w:val="2F2D326E"/>
    <w:rsid w:val="2F3A3BDD"/>
    <w:rsid w:val="2F5F53F2"/>
    <w:rsid w:val="2F9C1B80"/>
    <w:rsid w:val="2FFB336C"/>
    <w:rsid w:val="2FFBD30E"/>
    <w:rsid w:val="30544CD1"/>
    <w:rsid w:val="309F1F4A"/>
    <w:rsid w:val="30A5072E"/>
    <w:rsid w:val="30B62F00"/>
    <w:rsid w:val="31A16195"/>
    <w:rsid w:val="31B639EF"/>
    <w:rsid w:val="321D581C"/>
    <w:rsid w:val="324C4353"/>
    <w:rsid w:val="32990C1B"/>
    <w:rsid w:val="32C4213C"/>
    <w:rsid w:val="332D5F33"/>
    <w:rsid w:val="335C4122"/>
    <w:rsid w:val="338F44F8"/>
    <w:rsid w:val="33984010"/>
    <w:rsid w:val="33B57CD6"/>
    <w:rsid w:val="33E365F1"/>
    <w:rsid w:val="33FB393B"/>
    <w:rsid w:val="35103416"/>
    <w:rsid w:val="353A4937"/>
    <w:rsid w:val="355157DD"/>
    <w:rsid w:val="355377A7"/>
    <w:rsid w:val="356A2694"/>
    <w:rsid w:val="357716E7"/>
    <w:rsid w:val="3578720D"/>
    <w:rsid w:val="35D501BC"/>
    <w:rsid w:val="35D54660"/>
    <w:rsid w:val="35F9034E"/>
    <w:rsid w:val="364041CF"/>
    <w:rsid w:val="36985DB9"/>
    <w:rsid w:val="36B93B63"/>
    <w:rsid w:val="36CE5337"/>
    <w:rsid w:val="36E01DB9"/>
    <w:rsid w:val="375241BA"/>
    <w:rsid w:val="37585548"/>
    <w:rsid w:val="37BD26D4"/>
    <w:rsid w:val="37EF7AE0"/>
    <w:rsid w:val="39072D82"/>
    <w:rsid w:val="39427F8E"/>
    <w:rsid w:val="399C171C"/>
    <w:rsid w:val="39EB4452"/>
    <w:rsid w:val="3A502507"/>
    <w:rsid w:val="3A59760D"/>
    <w:rsid w:val="3ACD736D"/>
    <w:rsid w:val="3B00217F"/>
    <w:rsid w:val="3B295232"/>
    <w:rsid w:val="3BA24FE4"/>
    <w:rsid w:val="3C2B4FD9"/>
    <w:rsid w:val="3C7E15AD"/>
    <w:rsid w:val="3D163594"/>
    <w:rsid w:val="3D3B56F0"/>
    <w:rsid w:val="3DBD7EB3"/>
    <w:rsid w:val="3E7A2248"/>
    <w:rsid w:val="3E8F1850"/>
    <w:rsid w:val="3EE30952"/>
    <w:rsid w:val="3EFE0783"/>
    <w:rsid w:val="3F253F62"/>
    <w:rsid w:val="3FC90D91"/>
    <w:rsid w:val="400022D9"/>
    <w:rsid w:val="40520D87"/>
    <w:rsid w:val="407A02DD"/>
    <w:rsid w:val="40A4535A"/>
    <w:rsid w:val="40EF4827"/>
    <w:rsid w:val="41583FE0"/>
    <w:rsid w:val="41792343"/>
    <w:rsid w:val="419B050B"/>
    <w:rsid w:val="41EC6FB9"/>
    <w:rsid w:val="420C31B7"/>
    <w:rsid w:val="423A109D"/>
    <w:rsid w:val="42701998"/>
    <w:rsid w:val="42F8373B"/>
    <w:rsid w:val="434D7F2B"/>
    <w:rsid w:val="436808C1"/>
    <w:rsid w:val="43BB4E95"/>
    <w:rsid w:val="447A4D50"/>
    <w:rsid w:val="44FF34A7"/>
    <w:rsid w:val="45060392"/>
    <w:rsid w:val="4508235C"/>
    <w:rsid w:val="455455A1"/>
    <w:rsid w:val="45594965"/>
    <w:rsid w:val="45F07855"/>
    <w:rsid w:val="462D2F92"/>
    <w:rsid w:val="46573629"/>
    <w:rsid w:val="46945528"/>
    <w:rsid w:val="46A03A91"/>
    <w:rsid w:val="47013507"/>
    <w:rsid w:val="471F398D"/>
    <w:rsid w:val="47460D95"/>
    <w:rsid w:val="47643C7B"/>
    <w:rsid w:val="47841A42"/>
    <w:rsid w:val="479E0D55"/>
    <w:rsid w:val="47E471A5"/>
    <w:rsid w:val="480069D4"/>
    <w:rsid w:val="481E49B2"/>
    <w:rsid w:val="482C04E4"/>
    <w:rsid w:val="488A3088"/>
    <w:rsid w:val="48C26CC5"/>
    <w:rsid w:val="48FB5D34"/>
    <w:rsid w:val="48FF5824"/>
    <w:rsid w:val="49867CF3"/>
    <w:rsid w:val="49973CAE"/>
    <w:rsid w:val="499C7517"/>
    <w:rsid w:val="49B900C8"/>
    <w:rsid w:val="49CC649E"/>
    <w:rsid w:val="4A9B42A2"/>
    <w:rsid w:val="4B3B68BB"/>
    <w:rsid w:val="4C003D8D"/>
    <w:rsid w:val="4C043151"/>
    <w:rsid w:val="4C060334"/>
    <w:rsid w:val="4C2B2489"/>
    <w:rsid w:val="4C3A6B73"/>
    <w:rsid w:val="4C44273E"/>
    <w:rsid w:val="4C8C5620"/>
    <w:rsid w:val="4D891B60"/>
    <w:rsid w:val="4E233D62"/>
    <w:rsid w:val="4E465CA3"/>
    <w:rsid w:val="4ED212E5"/>
    <w:rsid w:val="4F1D6A04"/>
    <w:rsid w:val="4F9111A0"/>
    <w:rsid w:val="4F9D5D96"/>
    <w:rsid w:val="4FAE3B00"/>
    <w:rsid w:val="4FB8497E"/>
    <w:rsid w:val="50724B2D"/>
    <w:rsid w:val="50BB4726"/>
    <w:rsid w:val="50C25AB5"/>
    <w:rsid w:val="50CD311B"/>
    <w:rsid w:val="50FE0AB7"/>
    <w:rsid w:val="51712AF7"/>
    <w:rsid w:val="51B03B5F"/>
    <w:rsid w:val="51BD7D61"/>
    <w:rsid w:val="51FF6894"/>
    <w:rsid w:val="522E2CD6"/>
    <w:rsid w:val="52432C25"/>
    <w:rsid w:val="529A036B"/>
    <w:rsid w:val="529C2335"/>
    <w:rsid w:val="52A42F98"/>
    <w:rsid w:val="52E55A8A"/>
    <w:rsid w:val="52E635B0"/>
    <w:rsid w:val="532365B3"/>
    <w:rsid w:val="532C5467"/>
    <w:rsid w:val="534D3630"/>
    <w:rsid w:val="535D3873"/>
    <w:rsid w:val="53E2021C"/>
    <w:rsid w:val="53F57F4F"/>
    <w:rsid w:val="54077C82"/>
    <w:rsid w:val="549C661D"/>
    <w:rsid w:val="54B35714"/>
    <w:rsid w:val="557355CF"/>
    <w:rsid w:val="557D644E"/>
    <w:rsid w:val="558772CD"/>
    <w:rsid w:val="55BF0815"/>
    <w:rsid w:val="55C23E61"/>
    <w:rsid w:val="55D32512"/>
    <w:rsid w:val="56505911"/>
    <w:rsid w:val="565C42B5"/>
    <w:rsid w:val="572B1EDA"/>
    <w:rsid w:val="57521214"/>
    <w:rsid w:val="57BE4AFC"/>
    <w:rsid w:val="57F64296"/>
    <w:rsid w:val="586631C9"/>
    <w:rsid w:val="587578B0"/>
    <w:rsid w:val="587B083D"/>
    <w:rsid w:val="588E2720"/>
    <w:rsid w:val="589F492D"/>
    <w:rsid w:val="591E5852"/>
    <w:rsid w:val="5ACC228D"/>
    <w:rsid w:val="5B743E4F"/>
    <w:rsid w:val="5B746366"/>
    <w:rsid w:val="5B7F2B18"/>
    <w:rsid w:val="5BC60CAB"/>
    <w:rsid w:val="5C133668"/>
    <w:rsid w:val="5C4A4BB0"/>
    <w:rsid w:val="5C5509F2"/>
    <w:rsid w:val="5C8956D8"/>
    <w:rsid w:val="5CB07109"/>
    <w:rsid w:val="5D2B2C34"/>
    <w:rsid w:val="5D9205BD"/>
    <w:rsid w:val="5DB70023"/>
    <w:rsid w:val="5E39312E"/>
    <w:rsid w:val="5E930A90"/>
    <w:rsid w:val="5EBB1D95"/>
    <w:rsid w:val="5F1F0576"/>
    <w:rsid w:val="5F335DCF"/>
    <w:rsid w:val="5F385194"/>
    <w:rsid w:val="5FA665A1"/>
    <w:rsid w:val="601E438A"/>
    <w:rsid w:val="608A26AE"/>
    <w:rsid w:val="60CA62C0"/>
    <w:rsid w:val="60E107A2"/>
    <w:rsid w:val="60EE0200"/>
    <w:rsid w:val="6192502F"/>
    <w:rsid w:val="621B3277"/>
    <w:rsid w:val="622A5268"/>
    <w:rsid w:val="6247406C"/>
    <w:rsid w:val="62830E1C"/>
    <w:rsid w:val="62922E0D"/>
    <w:rsid w:val="62BB05B6"/>
    <w:rsid w:val="62E25B42"/>
    <w:rsid w:val="62EE2739"/>
    <w:rsid w:val="638B442C"/>
    <w:rsid w:val="63AB062A"/>
    <w:rsid w:val="63D3653C"/>
    <w:rsid w:val="644545DB"/>
    <w:rsid w:val="646507D9"/>
    <w:rsid w:val="6468651B"/>
    <w:rsid w:val="64AC28AC"/>
    <w:rsid w:val="64AF7CA6"/>
    <w:rsid w:val="64F97173"/>
    <w:rsid w:val="65A25A5D"/>
    <w:rsid w:val="65AB66C0"/>
    <w:rsid w:val="662D3578"/>
    <w:rsid w:val="671B700D"/>
    <w:rsid w:val="67656D42"/>
    <w:rsid w:val="67955879"/>
    <w:rsid w:val="67A7735B"/>
    <w:rsid w:val="683868DF"/>
    <w:rsid w:val="6852376A"/>
    <w:rsid w:val="6853303E"/>
    <w:rsid w:val="68945B31"/>
    <w:rsid w:val="690A5DF3"/>
    <w:rsid w:val="69256789"/>
    <w:rsid w:val="693E5A9D"/>
    <w:rsid w:val="69E55F18"/>
    <w:rsid w:val="69F745C9"/>
    <w:rsid w:val="6A855EE0"/>
    <w:rsid w:val="6AB204F0"/>
    <w:rsid w:val="6AD246EE"/>
    <w:rsid w:val="6B737129"/>
    <w:rsid w:val="6B897064"/>
    <w:rsid w:val="6BAD2A66"/>
    <w:rsid w:val="6BC26511"/>
    <w:rsid w:val="6C2076DB"/>
    <w:rsid w:val="6C376EFF"/>
    <w:rsid w:val="6C5A499B"/>
    <w:rsid w:val="6CAD529C"/>
    <w:rsid w:val="6CE32BE3"/>
    <w:rsid w:val="6D205BE5"/>
    <w:rsid w:val="6D48513C"/>
    <w:rsid w:val="6D725D15"/>
    <w:rsid w:val="6DF42BCE"/>
    <w:rsid w:val="6E0B0643"/>
    <w:rsid w:val="6E407BC1"/>
    <w:rsid w:val="6EE64C0C"/>
    <w:rsid w:val="6F1A48B6"/>
    <w:rsid w:val="6F6E4088"/>
    <w:rsid w:val="6FB42615"/>
    <w:rsid w:val="707C3028"/>
    <w:rsid w:val="70AB3A18"/>
    <w:rsid w:val="70C60851"/>
    <w:rsid w:val="712A46EA"/>
    <w:rsid w:val="71551BD5"/>
    <w:rsid w:val="71900E5F"/>
    <w:rsid w:val="71C942C6"/>
    <w:rsid w:val="71D945B4"/>
    <w:rsid w:val="71E511AB"/>
    <w:rsid w:val="71FD64F5"/>
    <w:rsid w:val="72EE0533"/>
    <w:rsid w:val="73131D48"/>
    <w:rsid w:val="7327134F"/>
    <w:rsid w:val="73463ECB"/>
    <w:rsid w:val="737527A9"/>
    <w:rsid w:val="739C1D3D"/>
    <w:rsid w:val="73B60173"/>
    <w:rsid w:val="73BC0D8E"/>
    <w:rsid w:val="73D47729"/>
    <w:rsid w:val="73FE47A6"/>
    <w:rsid w:val="74212243"/>
    <w:rsid w:val="74736F42"/>
    <w:rsid w:val="748A603A"/>
    <w:rsid w:val="74B11819"/>
    <w:rsid w:val="753A7A60"/>
    <w:rsid w:val="75736ACE"/>
    <w:rsid w:val="757729D0"/>
    <w:rsid w:val="758B02BC"/>
    <w:rsid w:val="75C94940"/>
    <w:rsid w:val="774E15A1"/>
    <w:rsid w:val="778356EE"/>
    <w:rsid w:val="785B2101"/>
    <w:rsid w:val="78D43D28"/>
    <w:rsid w:val="79336CA0"/>
    <w:rsid w:val="79B002F1"/>
    <w:rsid w:val="7AE5221C"/>
    <w:rsid w:val="7B780F33"/>
    <w:rsid w:val="7BAD2E70"/>
    <w:rsid w:val="7BE424D4"/>
    <w:rsid w:val="7C1903CF"/>
    <w:rsid w:val="7C556F2D"/>
    <w:rsid w:val="7C725D31"/>
    <w:rsid w:val="7CB225D2"/>
    <w:rsid w:val="7CDC13FD"/>
    <w:rsid w:val="7CE65DD7"/>
    <w:rsid w:val="7CFB7AD5"/>
    <w:rsid w:val="7D1C7A4B"/>
    <w:rsid w:val="7D39684F"/>
    <w:rsid w:val="7DFD162B"/>
    <w:rsid w:val="7E0E55E6"/>
    <w:rsid w:val="7E4C610E"/>
    <w:rsid w:val="7E590F57"/>
    <w:rsid w:val="7EB10CEF"/>
    <w:rsid w:val="7EB25F9D"/>
    <w:rsid w:val="7ED80769"/>
    <w:rsid w:val="7F0F1615"/>
    <w:rsid w:val="7F201A75"/>
    <w:rsid w:val="7FEA5BDF"/>
    <w:rsid w:val="DEF70035"/>
    <w:rsid w:val="DFFFE17D"/>
    <w:rsid w:val="ED776AC6"/>
    <w:rsid w:val="EF9F915E"/>
    <w:rsid w:val="EFF674E8"/>
    <w:rsid w:val="FBB7C68F"/>
    <w:rsid w:val="FDF752B8"/>
    <w:rsid w:val="FF7F9E8F"/>
    <w:rsid w:val="FF9BCB9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Adobe 仿宋 Std R" w:cs="Times New Roman"/>
      <w:kern w:val="2"/>
      <w:sz w:val="32"/>
      <w:szCs w:val="24"/>
      <w:lang w:val="en-US" w:eastAsia="zh-CN" w:bidi="ar-SA"/>
    </w:rPr>
  </w:style>
  <w:style w:type="paragraph" w:styleId="2">
    <w:name w:val="heading 3"/>
    <w:basedOn w:val="1"/>
    <w:next w:val="1"/>
    <w:semiHidden/>
    <w:unhideWhenUsed/>
    <w:qFormat/>
    <w:uiPriority w:val="9"/>
    <w:pPr>
      <w:spacing w:beforeAutospacing="1" w:afterAutospacing="1"/>
      <w:jc w:val="left"/>
      <w:outlineLvl w:val="2"/>
    </w:pPr>
    <w:rPr>
      <w:rFonts w:hint="eastAsia" w:ascii="宋体" w:hAnsi="宋体" w:eastAsia="宋体"/>
      <w:b/>
      <w:bCs/>
      <w:kern w:val="0"/>
      <w:sz w:val="27"/>
      <w:szCs w:val="27"/>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7"/>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21"/>
    <w:unhideWhenUsed/>
    <w:qFormat/>
    <w:uiPriority w:val="99"/>
    <w:pPr>
      <w:tabs>
        <w:tab w:val="center" w:pos="4153"/>
        <w:tab w:val="right" w:pos="8306"/>
      </w:tabs>
      <w:snapToGrid w:val="0"/>
      <w:jc w:val="left"/>
    </w:pPr>
    <w:rPr>
      <w:sz w:val="18"/>
    </w:rPr>
  </w:style>
  <w:style w:type="paragraph" w:styleId="6">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rFonts w:ascii="DejaVu Sans" w:hAnsi="DejaVu Sans"/>
      <w:sz w:val="18"/>
    </w:rPr>
  </w:style>
  <w:style w:type="paragraph" w:styleId="7">
    <w:name w:val="annotation subject"/>
    <w:basedOn w:val="3"/>
    <w:next w:val="3"/>
    <w:link w:val="18"/>
    <w:semiHidden/>
    <w:unhideWhenUsed/>
    <w:qFormat/>
    <w:uiPriority w:val="99"/>
    <w:rPr>
      <w:b/>
      <w:bCs/>
    </w:rPr>
  </w:style>
  <w:style w:type="character" w:styleId="10">
    <w:name w:val="Strong"/>
    <w:basedOn w:val="9"/>
    <w:qFormat/>
    <w:uiPriority w:val="22"/>
    <w:rPr>
      <w:b/>
    </w:rPr>
  </w:style>
  <w:style w:type="character" w:styleId="11">
    <w:name w:val="annotation reference"/>
    <w:basedOn w:val="9"/>
    <w:semiHidden/>
    <w:unhideWhenUsed/>
    <w:qFormat/>
    <w:uiPriority w:val="99"/>
    <w:rPr>
      <w:sz w:val="21"/>
      <w:szCs w:val="21"/>
    </w:rPr>
  </w:style>
  <w:style w:type="paragraph" w:styleId="12">
    <w:name w:val="No Spacing"/>
    <w:qFormat/>
    <w:uiPriority w:val="0"/>
    <w:pPr>
      <w:adjustRightInd w:val="0"/>
      <w:snapToGrid w:val="0"/>
    </w:pPr>
    <w:rPr>
      <w:rFonts w:ascii="Tahoma" w:hAnsi="Tahoma" w:eastAsia="微软雅黑" w:cs="Times New Roman"/>
      <w:sz w:val="22"/>
      <w:szCs w:val="22"/>
      <w:lang w:val="en-US" w:eastAsia="zh-CN" w:bidi="ar-SA"/>
    </w:rPr>
  </w:style>
  <w:style w:type="paragraph" w:customStyle="1" w:styleId="13">
    <w:name w:val="列出段落1"/>
    <w:basedOn w:val="1"/>
    <w:link w:val="14"/>
    <w:qFormat/>
    <w:uiPriority w:val="34"/>
    <w:pPr>
      <w:ind w:firstLine="420" w:firstLineChars="200"/>
    </w:pPr>
    <w:rPr>
      <w:rFonts w:eastAsia="仿宋_GB2312"/>
      <w:szCs w:val="32"/>
    </w:rPr>
  </w:style>
  <w:style w:type="character" w:customStyle="1" w:styleId="14">
    <w:name w:val="列出段落 Char"/>
    <w:basedOn w:val="9"/>
    <w:link w:val="13"/>
    <w:qFormat/>
    <w:uiPriority w:val="34"/>
    <w:rPr>
      <w:rFonts w:ascii="Times New Roman" w:hAnsi="Times New Roman" w:eastAsia="仿宋_GB2312" w:cs="Times New Roman"/>
      <w:sz w:val="32"/>
      <w:szCs w:val="32"/>
    </w:rPr>
  </w:style>
  <w:style w:type="character" w:customStyle="1" w:styleId="15">
    <w:name w:val="批注框文本 字符"/>
    <w:basedOn w:val="9"/>
    <w:link w:val="4"/>
    <w:semiHidden/>
    <w:qFormat/>
    <w:uiPriority w:val="99"/>
    <w:rPr>
      <w:rFonts w:ascii="Times New Roman" w:hAnsi="Times New Roman" w:eastAsia="Adobe 仿宋 Std R" w:cs="Times New Roman"/>
      <w:kern w:val="2"/>
      <w:sz w:val="18"/>
      <w:szCs w:val="18"/>
    </w:rPr>
  </w:style>
  <w:style w:type="paragraph" w:styleId="16">
    <w:name w:val="List Paragraph"/>
    <w:basedOn w:val="1"/>
    <w:unhideWhenUsed/>
    <w:qFormat/>
    <w:uiPriority w:val="99"/>
    <w:pPr>
      <w:ind w:firstLine="420" w:firstLineChars="200"/>
    </w:pPr>
  </w:style>
  <w:style w:type="character" w:customStyle="1" w:styleId="17">
    <w:name w:val="批注文字 字符"/>
    <w:basedOn w:val="9"/>
    <w:link w:val="3"/>
    <w:semiHidden/>
    <w:qFormat/>
    <w:uiPriority w:val="99"/>
    <w:rPr>
      <w:rFonts w:ascii="Times New Roman" w:hAnsi="Times New Roman" w:eastAsia="Adobe 仿宋 Std R" w:cs="Times New Roman"/>
      <w:kern w:val="2"/>
      <w:sz w:val="32"/>
      <w:szCs w:val="24"/>
    </w:rPr>
  </w:style>
  <w:style w:type="character" w:customStyle="1" w:styleId="18">
    <w:name w:val="批注主题 字符"/>
    <w:basedOn w:val="17"/>
    <w:link w:val="7"/>
    <w:semiHidden/>
    <w:qFormat/>
    <w:uiPriority w:val="99"/>
    <w:rPr>
      <w:rFonts w:ascii="Times New Roman" w:hAnsi="Times New Roman" w:eastAsia="Adobe 仿宋 Std R" w:cs="Times New Roman"/>
      <w:b/>
      <w:bCs/>
      <w:kern w:val="2"/>
      <w:sz w:val="32"/>
      <w:szCs w:val="24"/>
    </w:rPr>
  </w:style>
  <w:style w:type="character" w:customStyle="1" w:styleId="19">
    <w:name w:val="f101"/>
    <w:qFormat/>
    <w:uiPriority w:val="0"/>
    <w:rPr>
      <w:sz w:val="24"/>
      <w:szCs w:val="24"/>
    </w:rPr>
  </w:style>
  <w:style w:type="paragraph" w:customStyle="1" w:styleId="2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1">
    <w:name w:val="页脚 字符"/>
    <w:basedOn w:val="9"/>
    <w:link w:val="5"/>
    <w:qFormat/>
    <w:uiPriority w:val="99"/>
    <w:rPr>
      <w:rFonts w:eastAsia="Adobe 仿宋 Std R"/>
      <w:kern w:val="2"/>
      <w:sz w:val="18"/>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emf"/><Relationship Id="rId8" Type="http://schemas.openxmlformats.org/officeDocument/2006/relationships/image" Target="media/image3.emf"/><Relationship Id="rId7" Type="http://schemas.openxmlformats.org/officeDocument/2006/relationships/image" Target="media/image2.emf"/><Relationship Id="rId6" Type="http://schemas.openxmlformats.org/officeDocument/2006/relationships/image" Target="media/image1.emf"/><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0.emf"/><Relationship Id="rId16" Type="http://schemas.openxmlformats.org/officeDocument/2006/relationships/oleObject" Target="embeddings/oleObject2.bin"/><Relationship Id="rId15" Type="http://schemas.openxmlformats.org/officeDocument/2006/relationships/image" Target="media/image9.wmf"/><Relationship Id="rId14" Type="http://schemas.openxmlformats.org/officeDocument/2006/relationships/oleObject" Target="embeddings/oleObject1.bin"/><Relationship Id="rId13" Type="http://schemas.openxmlformats.org/officeDocument/2006/relationships/image" Target="media/image8.emf"/><Relationship Id="rId12" Type="http://schemas.openxmlformats.org/officeDocument/2006/relationships/image" Target="media/image7.emf"/><Relationship Id="rId11" Type="http://schemas.openxmlformats.org/officeDocument/2006/relationships/image" Target="media/image6.emf"/><Relationship Id="rId10" Type="http://schemas.openxmlformats.org/officeDocument/2006/relationships/image" Target="media/image5.emf"/><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SelectedStyle="\APASixthEditionOfficeOnline.xsl" Version="6"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0C7D0D-D8E4-456D-B60E-73F529ADB30F}">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23</Pages>
  <Words>7843</Words>
  <Characters>9118</Characters>
  <Lines>76</Lines>
  <Paragraphs>21</Paragraphs>
  <TotalTime>2</TotalTime>
  <ScaleCrop>false</ScaleCrop>
  <LinksUpToDate>false</LinksUpToDate>
  <CharactersWithSpaces>9367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2026-07-21T07:06:00Z</dcterms:created>
  <dc:creator>董利华</dc:creator>
  <cp:lastModifiedBy>张诺</cp:lastModifiedBy>
  <dcterms:modified xsi:type="dcterms:W3CDTF">2026-07-21T07:47:39Z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A946306B261143EAB8F75712E7010A65</vt:lpwstr>
  </property>
  <property fmtid="{D5CDD505-2E9C-101B-9397-08002B2CF9AE}" pid="4" name="KSOTemplateDocerSaveRecord">
    <vt:lpwstr>eyJoZGlkIjoiODViY2JkMjU3NGYzZTEwMzZmMGFkZWViYmNkYWU3NDIiLCJ1c2VySWQiOiIyMTk0NDEzMjAifQ==</vt:lpwstr>
  </property>
</Properties>
</file>