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C24" w:rsidRDefault="00B44348" w:rsidP="003073E2">
      <w:pPr>
        <w:spacing w:beforeLines="100" w:before="312" w:line="520" w:lineRule="exact"/>
        <w:jc w:val="center"/>
        <w:rPr>
          <w:rFonts w:eastAsia="方正小标宋简体"/>
          <w:sz w:val="44"/>
          <w:szCs w:val="44"/>
        </w:rPr>
      </w:pPr>
      <w:r>
        <w:rPr>
          <w:rFonts w:eastAsia="方正小标宋简体"/>
          <w:sz w:val="44"/>
          <w:szCs w:val="44"/>
        </w:rPr>
        <w:t>脉搏血氧</w:t>
      </w:r>
      <w:proofErr w:type="gramStart"/>
      <w:r>
        <w:rPr>
          <w:rFonts w:eastAsia="方正小标宋简体"/>
          <w:sz w:val="44"/>
          <w:szCs w:val="44"/>
        </w:rPr>
        <w:t>仪注册</w:t>
      </w:r>
      <w:proofErr w:type="gramEnd"/>
      <w:r>
        <w:rPr>
          <w:rFonts w:eastAsia="方正小标宋简体"/>
          <w:sz w:val="44"/>
          <w:szCs w:val="44"/>
        </w:rPr>
        <w:t>审查指导原则</w:t>
      </w:r>
    </w:p>
    <w:p w:rsidR="00AD7C24" w:rsidRDefault="00B44348">
      <w:pPr>
        <w:pStyle w:val="a0"/>
        <w:jc w:val="center"/>
        <w:rPr>
          <w:rFonts w:ascii="Times New Roman" w:eastAsia="楷体_GB2312" w:hAnsi="Times New Roman" w:cs="Times New Roman"/>
        </w:rPr>
      </w:pPr>
      <w:r>
        <w:rPr>
          <w:rFonts w:ascii="Times New Roman" w:eastAsia="方正小标宋简体" w:hAnsi="Times New Roman" w:cs="Times New Roman"/>
          <w:kern w:val="2"/>
          <w:sz w:val="44"/>
          <w:szCs w:val="44"/>
        </w:rPr>
        <w:t>（</w:t>
      </w:r>
      <w:r w:rsidRPr="003073E2">
        <w:rPr>
          <w:rFonts w:ascii="方正小标宋简体" w:eastAsia="方正小标宋简体" w:hAnsi="Times New Roman" w:cs="Times New Roman" w:hint="eastAsia"/>
          <w:kern w:val="2"/>
          <w:sz w:val="44"/>
          <w:szCs w:val="44"/>
        </w:rPr>
        <w:t>2026</w:t>
      </w:r>
      <w:r>
        <w:rPr>
          <w:rFonts w:ascii="Times New Roman" w:eastAsia="方正小标宋简体" w:hAnsi="Times New Roman" w:cs="Times New Roman"/>
          <w:kern w:val="2"/>
          <w:sz w:val="44"/>
          <w:szCs w:val="44"/>
        </w:rPr>
        <w:t>年修订版）</w:t>
      </w:r>
    </w:p>
    <w:p w:rsidR="00AD7C24" w:rsidRDefault="00AD7C24">
      <w:pPr>
        <w:spacing w:line="520" w:lineRule="exact"/>
        <w:jc w:val="left"/>
        <w:rPr>
          <w:rFonts w:eastAsia="方正小标宋简体"/>
          <w:sz w:val="44"/>
          <w:szCs w:val="44"/>
        </w:rPr>
      </w:pPr>
    </w:p>
    <w:p w:rsidR="00AD7C24" w:rsidRDefault="00B44348">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本指导原则旨在指导注册申请人对脉搏血氧</w:t>
      </w:r>
      <w:proofErr w:type="gramStart"/>
      <w:r>
        <w:rPr>
          <w:rFonts w:eastAsia="仿宋_GB2312"/>
          <w:snapToGrid w:val="0"/>
          <w:kern w:val="0"/>
          <w:sz w:val="32"/>
          <w:szCs w:val="32"/>
        </w:rPr>
        <w:t>仪注册</w:t>
      </w:r>
      <w:proofErr w:type="gramEnd"/>
      <w:r>
        <w:rPr>
          <w:rFonts w:eastAsia="仿宋_GB2312"/>
          <w:snapToGrid w:val="0"/>
          <w:kern w:val="0"/>
          <w:sz w:val="32"/>
          <w:szCs w:val="32"/>
        </w:rPr>
        <w:t>申报资料的准备及撰写，同时也为技术审评部门提供参考。</w:t>
      </w:r>
    </w:p>
    <w:p w:rsidR="00AD7C24" w:rsidRDefault="00B44348">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本指导原则是对脉搏血氧仪的一般要求，注册申请人应依据产品的具体特性确定其中的内容是否适用。若不适用，需具体阐述其理由及相应的科学依据，并依据产品的具体特性对注册申报资料的内容进行充实和细化。</w:t>
      </w:r>
    </w:p>
    <w:p w:rsidR="00AD7C24" w:rsidRDefault="00B44348">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本指导原则是</w:t>
      </w:r>
      <w:proofErr w:type="gramStart"/>
      <w:r>
        <w:rPr>
          <w:rFonts w:eastAsia="仿宋_GB2312"/>
          <w:snapToGrid w:val="0"/>
          <w:kern w:val="0"/>
          <w:sz w:val="32"/>
          <w:szCs w:val="32"/>
        </w:rPr>
        <w:t>供注册</w:t>
      </w:r>
      <w:proofErr w:type="gramEnd"/>
      <w:r>
        <w:rPr>
          <w:rFonts w:eastAsia="仿宋_GB2312"/>
          <w:snapToGrid w:val="0"/>
          <w:kern w:val="0"/>
          <w:sz w:val="32"/>
          <w:szCs w:val="32"/>
        </w:rPr>
        <w:t>申请人和技术审评人员使用的指导性文件，但不包括</w:t>
      </w:r>
      <w:proofErr w:type="gramStart"/>
      <w:r>
        <w:rPr>
          <w:rFonts w:eastAsia="仿宋_GB2312"/>
          <w:snapToGrid w:val="0"/>
          <w:kern w:val="0"/>
          <w:sz w:val="32"/>
          <w:szCs w:val="32"/>
        </w:rPr>
        <w:t>审评审批</w:t>
      </w:r>
      <w:proofErr w:type="gramEnd"/>
      <w:r>
        <w:rPr>
          <w:rFonts w:eastAsia="仿宋_GB2312"/>
          <w:snapToGrid w:val="0"/>
          <w:kern w:val="0"/>
          <w:sz w:val="32"/>
          <w:szCs w:val="32"/>
        </w:rPr>
        <w:t>所涉及的行政事项，亦不作为法规强制执行，应在遵循相关法规的前提下使用本指导原则。如果有能够满足相关法规要求的其他方法，也可以采用，但是需要提供详细的研究资料和验证资料。</w:t>
      </w:r>
    </w:p>
    <w:p w:rsidR="00AD7C24" w:rsidRDefault="00B44348">
      <w:pPr>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本指导原则是在现行法规和标准体系以及当前认知水平下制定的，随着法规和标准的不断完善，以及科学技术的不断发展，相关内容也将适时进行调整。</w:t>
      </w:r>
    </w:p>
    <w:p w:rsidR="00AD7C24" w:rsidRDefault="00B44348">
      <w:pPr>
        <w:spacing w:line="520" w:lineRule="exact"/>
        <w:ind w:firstLineChars="200" w:firstLine="640"/>
        <w:outlineLvl w:val="0"/>
        <w:rPr>
          <w:rFonts w:eastAsia="黑体"/>
          <w:sz w:val="32"/>
          <w:szCs w:val="32"/>
        </w:rPr>
      </w:pPr>
      <w:r>
        <w:rPr>
          <w:rFonts w:eastAsia="黑体"/>
          <w:sz w:val="32"/>
          <w:szCs w:val="32"/>
        </w:rPr>
        <w:t>一、适用范围</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本指导原则适用于第二类无创监护仪器类产品中的脉搏血氧仪，用于测量和显示脉搏血氧饱和度（</w:t>
      </w:r>
      <w:r>
        <w:rPr>
          <w:rFonts w:eastAsia="仿宋_GB2312"/>
          <w:kern w:val="0"/>
          <w:sz w:val="32"/>
          <w:szCs w:val="32"/>
        </w:rPr>
        <w:t>Saturation of Per</w:t>
      </w:r>
      <w:r>
        <w:rPr>
          <w:rFonts w:eastAsia="仿宋_GB2312"/>
          <w:kern w:val="0"/>
          <w:sz w:val="32"/>
          <w:szCs w:val="32"/>
        </w:rPr>
        <w:t>ipheral Oxygen</w:t>
      </w:r>
      <w:r>
        <w:rPr>
          <w:rFonts w:eastAsia="仿宋_GB2312"/>
          <w:kern w:val="0"/>
          <w:sz w:val="32"/>
          <w:szCs w:val="32"/>
        </w:rPr>
        <w:t>，简称</w:t>
      </w:r>
      <w:r>
        <w:rPr>
          <w:rFonts w:eastAsia="仿宋_GB2312"/>
          <w:kern w:val="0"/>
          <w:sz w:val="32"/>
          <w:szCs w:val="32"/>
        </w:rPr>
        <w:t>SpO</w:t>
      </w:r>
      <w:r>
        <w:rPr>
          <w:rFonts w:eastAsia="仿宋_GB2312"/>
          <w:kern w:val="0"/>
          <w:sz w:val="32"/>
          <w:szCs w:val="32"/>
          <w:vertAlign w:val="subscript"/>
        </w:rPr>
        <w:t>2</w:t>
      </w:r>
      <w:r>
        <w:rPr>
          <w:rFonts w:eastAsia="仿宋_GB2312"/>
          <w:kern w:val="0"/>
          <w:sz w:val="32"/>
          <w:szCs w:val="32"/>
        </w:rPr>
        <w:t>）、脉率。预期与监护</w:t>
      </w:r>
      <w:proofErr w:type="gramStart"/>
      <w:r>
        <w:rPr>
          <w:rFonts w:eastAsia="仿宋_GB2312"/>
          <w:kern w:val="0"/>
          <w:sz w:val="32"/>
          <w:szCs w:val="32"/>
        </w:rPr>
        <w:t>仪配合</w:t>
      </w:r>
      <w:proofErr w:type="gramEnd"/>
      <w:r>
        <w:rPr>
          <w:rFonts w:eastAsia="仿宋_GB2312"/>
          <w:kern w:val="0"/>
          <w:sz w:val="32"/>
          <w:szCs w:val="32"/>
        </w:rPr>
        <w:t>使用的脉搏血氧测量模块和脉搏血氧传感器</w:t>
      </w:r>
      <w:r>
        <w:rPr>
          <w:rFonts w:eastAsia="仿宋_GB2312"/>
          <w:sz w:val="32"/>
          <w:szCs w:val="28"/>
        </w:rPr>
        <w:t>可参照本指导原则的适用部分。</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本指导原则不适用于实验室研究使用的脉搏血氧仪设备、胎儿用脉搏血氧仪设备、放置于患者环境之外显示</w:t>
      </w:r>
      <w:r>
        <w:rPr>
          <w:rFonts w:eastAsia="仿宋_GB2312"/>
          <w:color w:val="000000" w:themeColor="text1"/>
          <w:sz w:val="32"/>
          <w:szCs w:val="28"/>
        </w:rPr>
        <w:t>SpO</w:t>
      </w:r>
      <w:r>
        <w:rPr>
          <w:rFonts w:eastAsia="仿宋_GB2312"/>
          <w:color w:val="000000" w:themeColor="text1"/>
          <w:sz w:val="32"/>
          <w:szCs w:val="28"/>
          <w:vertAlign w:val="subscript"/>
        </w:rPr>
        <w:t>2</w:t>
      </w:r>
      <w:r>
        <w:rPr>
          <w:rFonts w:eastAsia="仿宋_GB2312"/>
          <w:kern w:val="0"/>
          <w:sz w:val="32"/>
          <w:szCs w:val="32"/>
        </w:rPr>
        <w:lastRenderedPageBreak/>
        <w:t>数值的遥测或主（从）设备。</w:t>
      </w:r>
    </w:p>
    <w:p w:rsidR="00AD7C24" w:rsidRDefault="00B44348">
      <w:pPr>
        <w:pStyle w:val="af3"/>
        <w:spacing w:line="460" w:lineRule="exact"/>
        <w:ind w:firstLine="640"/>
      </w:pPr>
      <w:r>
        <w:t>二、注册审查要点</w:t>
      </w:r>
    </w:p>
    <w:p w:rsidR="00AD7C24" w:rsidRDefault="00B44348">
      <w:pPr>
        <w:spacing w:line="520" w:lineRule="exact"/>
        <w:ind w:firstLineChars="200" w:firstLine="640"/>
        <w:outlineLvl w:val="1"/>
        <w:rPr>
          <w:rFonts w:eastAsia="楷体_GB2312"/>
          <w:bCs/>
          <w:sz w:val="32"/>
          <w:szCs w:val="32"/>
        </w:rPr>
      </w:pPr>
      <w:r>
        <w:rPr>
          <w:rFonts w:eastAsia="楷体_GB2312"/>
          <w:bCs/>
          <w:sz w:val="32"/>
          <w:szCs w:val="32"/>
        </w:rPr>
        <w:t>（一）监管信息</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产品名称</w:t>
      </w:r>
    </w:p>
    <w:p w:rsidR="00AD7C24" w:rsidRDefault="00B44348">
      <w:pPr>
        <w:spacing w:line="520" w:lineRule="exact"/>
        <w:ind w:firstLineChars="200" w:firstLine="640"/>
        <w:rPr>
          <w:rFonts w:eastAsia="仿宋_GB2312"/>
          <w:kern w:val="0"/>
          <w:sz w:val="32"/>
          <w:szCs w:val="32"/>
        </w:rPr>
      </w:pPr>
      <w:r>
        <w:rPr>
          <w:rFonts w:eastAsia="仿宋_GB2312"/>
          <w:color w:val="000000" w:themeColor="text1"/>
          <w:sz w:val="32"/>
          <w:szCs w:val="32"/>
        </w:rPr>
        <w:t>产品的</w:t>
      </w:r>
      <w:r>
        <w:rPr>
          <w:rFonts w:eastAsia="仿宋_GB2312"/>
          <w:color w:val="000000" w:themeColor="text1"/>
          <w:kern w:val="0"/>
          <w:sz w:val="32"/>
          <w:szCs w:val="32"/>
        </w:rPr>
        <w:t>命名</w:t>
      </w:r>
      <w:r>
        <w:rPr>
          <w:rFonts w:eastAsia="仿宋_GB2312"/>
          <w:color w:val="000000" w:themeColor="text1"/>
          <w:sz w:val="32"/>
          <w:szCs w:val="32"/>
        </w:rPr>
        <w:t>应符合《医疗器械通用名称命名规则》和国家标准、行业标准、规范性文件中的通用名称要求。</w:t>
      </w:r>
      <w:r>
        <w:rPr>
          <w:rFonts w:eastAsia="仿宋_GB2312"/>
          <w:kern w:val="0"/>
          <w:sz w:val="32"/>
          <w:szCs w:val="32"/>
        </w:rPr>
        <w:t>例如：脉搏血氧仪。</w:t>
      </w:r>
    </w:p>
    <w:p w:rsidR="00AD7C24" w:rsidRDefault="00B44348">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2.</w:t>
      </w:r>
      <w:r>
        <w:rPr>
          <w:rFonts w:eastAsia="仿宋_GB2312"/>
          <w:snapToGrid w:val="0"/>
          <w:kern w:val="0"/>
          <w:sz w:val="32"/>
          <w:szCs w:val="32"/>
        </w:rPr>
        <w:t>分类编码</w:t>
      </w:r>
    </w:p>
    <w:p w:rsidR="00AD7C24" w:rsidRDefault="00B44348">
      <w:pPr>
        <w:overflowPunct w:val="0"/>
        <w:autoSpaceDE w:val="0"/>
        <w:autoSpaceDN w:val="0"/>
        <w:spacing w:line="520" w:lineRule="exact"/>
        <w:ind w:firstLineChars="200" w:firstLine="640"/>
        <w:rPr>
          <w:rFonts w:eastAsia="仿宋_GB2312"/>
          <w:sz w:val="32"/>
          <w:szCs w:val="28"/>
        </w:rPr>
      </w:pPr>
      <w:r>
        <w:rPr>
          <w:rFonts w:eastAsia="仿宋_GB2312"/>
          <w:snapToGrid w:val="0"/>
          <w:kern w:val="0"/>
          <w:sz w:val="32"/>
          <w:szCs w:val="32"/>
        </w:rPr>
        <w:t>根据《医疗器械分类目录》，分类编码为</w:t>
      </w:r>
      <w:r>
        <w:rPr>
          <w:rFonts w:eastAsia="仿宋_GB2312"/>
          <w:snapToGrid w:val="0"/>
          <w:kern w:val="0"/>
          <w:sz w:val="32"/>
          <w:szCs w:val="32"/>
        </w:rPr>
        <w:t>07-03-05</w:t>
      </w:r>
      <w:r>
        <w:rPr>
          <w:rFonts w:eastAsia="仿宋_GB2312"/>
          <w:snapToGrid w:val="0"/>
          <w:kern w:val="0"/>
          <w:sz w:val="32"/>
          <w:szCs w:val="32"/>
        </w:rPr>
        <w:t>，管理</w:t>
      </w:r>
      <w:r>
        <w:rPr>
          <w:rFonts w:eastAsia="仿宋_GB2312"/>
          <w:sz w:val="32"/>
          <w:szCs w:val="28"/>
        </w:rPr>
        <w:t>类别为</w:t>
      </w:r>
      <w:r>
        <w:rPr>
          <w:rFonts w:eastAsia="仿宋_GB2312"/>
          <w:sz w:val="32"/>
          <w:szCs w:val="28"/>
        </w:rPr>
        <w:t>Ⅱ</w:t>
      </w:r>
      <w:r>
        <w:rPr>
          <w:rFonts w:eastAsia="仿宋_GB2312"/>
          <w:sz w:val="32"/>
          <w:szCs w:val="28"/>
        </w:rPr>
        <w:t>类。</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3.</w:t>
      </w:r>
      <w:r>
        <w:rPr>
          <w:rFonts w:eastAsia="仿宋_GB2312"/>
          <w:kern w:val="0"/>
          <w:sz w:val="32"/>
          <w:szCs w:val="32"/>
        </w:rPr>
        <w:t>注册单元划分的原则和实例</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注册单元划分应符合《医疗器械注册单元划分指导原则》的要求，原则上以申报产品的技术原理、结构组成和适用范围为划分依据。脉搏血氧仪产品的注册单元划分主要考虑以下因素：</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结构不同，应划分为不同的注册单元，例如：</w:t>
      </w:r>
      <w:proofErr w:type="gramStart"/>
      <w:r>
        <w:rPr>
          <w:rFonts w:eastAsia="仿宋_GB2312"/>
          <w:kern w:val="0"/>
          <w:sz w:val="32"/>
          <w:szCs w:val="32"/>
        </w:rPr>
        <w:t>指夹式</w:t>
      </w:r>
      <w:proofErr w:type="gramEnd"/>
      <w:r>
        <w:rPr>
          <w:rFonts w:eastAsia="仿宋_GB2312"/>
          <w:kern w:val="0"/>
          <w:sz w:val="32"/>
          <w:szCs w:val="32"/>
        </w:rPr>
        <w:t>，手持式，腕式，台式等。</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技术原理不同，应划分为不同的注册单元，例如：透射法、反射法等。</w:t>
      </w:r>
    </w:p>
    <w:p w:rsidR="00AD7C24" w:rsidRDefault="00B44348">
      <w:pPr>
        <w:spacing w:line="520" w:lineRule="exact"/>
        <w:ind w:firstLineChars="200" w:firstLine="640"/>
        <w:outlineLvl w:val="1"/>
        <w:rPr>
          <w:rFonts w:eastAsia="楷体_GB2312"/>
          <w:bCs/>
          <w:sz w:val="32"/>
          <w:szCs w:val="32"/>
        </w:rPr>
      </w:pPr>
      <w:r>
        <w:rPr>
          <w:rFonts w:eastAsia="楷体_GB2312"/>
          <w:bCs/>
          <w:sz w:val="32"/>
          <w:szCs w:val="32"/>
        </w:rPr>
        <w:t>（二）综述资料</w:t>
      </w:r>
    </w:p>
    <w:p w:rsidR="00AD7C24" w:rsidRDefault="00B44348">
      <w:pPr>
        <w:spacing w:line="520" w:lineRule="exact"/>
        <w:ind w:firstLineChars="200" w:firstLine="640"/>
        <w:jc w:val="left"/>
        <w:rPr>
          <w:rFonts w:eastAsia="仿宋_GB2312"/>
          <w:sz w:val="32"/>
          <w:szCs w:val="32"/>
        </w:rPr>
      </w:pPr>
      <w:r>
        <w:rPr>
          <w:rFonts w:eastAsia="仿宋_GB2312"/>
          <w:sz w:val="32"/>
          <w:szCs w:val="32"/>
        </w:rPr>
        <w:t>1.</w:t>
      </w:r>
      <w:r>
        <w:rPr>
          <w:rFonts w:eastAsia="仿宋_GB2312"/>
          <w:sz w:val="32"/>
          <w:szCs w:val="32"/>
        </w:rPr>
        <w:t>产品描述</w:t>
      </w:r>
    </w:p>
    <w:p w:rsidR="00AD7C24" w:rsidRDefault="00B44348">
      <w:pPr>
        <w:tabs>
          <w:tab w:val="left" w:pos="9214"/>
          <w:tab w:val="left" w:pos="9356"/>
        </w:tabs>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工作原理</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应提供产品工作原理的描述。脉搏血氧仪采用光电技术测量脉搏血氧饱和度，通常有两种方法：透射法和反射法。</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）透射法</w:t>
      </w:r>
    </w:p>
    <w:p w:rsidR="00AD7C24" w:rsidRDefault="00B44348">
      <w:pPr>
        <w:spacing w:line="520" w:lineRule="exact"/>
        <w:ind w:firstLineChars="200" w:firstLine="640"/>
        <w:rPr>
          <w:rFonts w:eastAsia="仿宋_GB2312"/>
          <w:sz w:val="32"/>
          <w:szCs w:val="28"/>
        </w:rPr>
      </w:pPr>
      <w:r>
        <w:rPr>
          <w:rFonts w:eastAsia="仿宋_GB2312"/>
          <w:kern w:val="0"/>
          <w:sz w:val="32"/>
          <w:szCs w:val="32"/>
        </w:rPr>
        <w:t>根据郎伯</w:t>
      </w:r>
      <w:r>
        <w:rPr>
          <w:rFonts w:eastAsia="仿宋_GB2312"/>
          <w:kern w:val="0"/>
          <w:sz w:val="32"/>
          <w:szCs w:val="32"/>
        </w:rPr>
        <w:t>—</w:t>
      </w:r>
      <w:r>
        <w:rPr>
          <w:rFonts w:eastAsia="仿宋_GB2312"/>
          <w:kern w:val="0"/>
          <w:sz w:val="32"/>
          <w:szCs w:val="32"/>
        </w:rPr>
        <w:t>比尔定律，当一束光照射到某种物质的溶液</w:t>
      </w:r>
      <w:r>
        <w:rPr>
          <w:rFonts w:eastAsia="仿宋_GB2312"/>
          <w:kern w:val="0"/>
          <w:sz w:val="32"/>
          <w:szCs w:val="32"/>
        </w:rPr>
        <w:lastRenderedPageBreak/>
        <w:t>上时，物质对光有一定的吸收、衰减，透射光强</w:t>
      </w:r>
      <w:r>
        <w:rPr>
          <w:rFonts w:eastAsia="仿宋_GB2312"/>
          <w:kern w:val="0"/>
          <w:sz w:val="32"/>
          <w:szCs w:val="32"/>
        </w:rPr>
        <w:t>I</w:t>
      </w:r>
      <w:r>
        <w:rPr>
          <w:rFonts w:eastAsia="仿宋_GB2312"/>
          <w:kern w:val="0"/>
          <w:sz w:val="32"/>
          <w:szCs w:val="32"/>
        </w:rPr>
        <w:t>与入射光强</w:t>
      </w:r>
      <w:r>
        <w:rPr>
          <w:rFonts w:eastAsia="仿宋_GB2312"/>
          <w:kern w:val="0"/>
          <w:sz w:val="32"/>
          <w:szCs w:val="32"/>
        </w:rPr>
        <w:t>I</w:t>
      </w:r>
      <w:r>
        <w:rPr>
          <w:rFonts w:eastAsia="仿宋_GB2312"/>
          <w:kern w:val="0"/>
          <w:sz w:val="32"/>
          <w:szCs w:val="32"/>
          <w:vertAlign w:val="subscript"/>
        </w:rPr>
        <w:t>0</w:t>
      </w:r>
      <w:r>
        <w:rPr>
          <w:rFonts w:eastAsia="仿宋_GB2312"/>
          <w:kern w:val="0"/>
          <w:sz w:val="32"/>
          <w:szCs w:val="32"/>
        </w:rPr>
        <w:t>之间有以下关系：</w:t>
      </w:r>
    </w:p>
    <w:p w:rsidR="00AD7C24" w:rsidRDefault="00B44348">
      <w:pPr>
        <w:pStyle w:val="a0"/>
        <w:rPr>
          <w:rFonts w:ascii="Times New Roman" w:hAnsi="Times New Roman" w:cs="Times New Roman"/>
          <w:sz w:val="32"/>
          <w:szCs w:val="32"/>
        </w:rPr>
      </w:pPr>
      <m:oMathPara>
        <m:oMath>
          <m:r>
            <m:rPr>
              <m:nor/>
            </m:rPr>
            <w:rPr>
              <w:rFonts w:ascii="Times New Roman" w:hAnsi="Times New Roman" w:cs="Times New Roman"/>
              <w:i/>
              <w:sz w:val="32"/>
              <w:szCs w:val="32"/>
            </w:rPr>
            <m:t>I</m:t>
          </m:r>
          <m:r>
            <m:rPr>
              <m:nor/>
            </m:rPr>
            <w:rPr>
              <w:rFonts w:ascii="Times New Roman" w:hAnsi="Times New Roman" w:cs="Times New Roman"/>
              <w:sz w:val="32"/>
              <w:szCs w:val="32"/>
            </w:rPr>
            <m:t>=</m:t>
          </m:r>
          <m:sSub>
            <m:sSubPr>
              <m:ctrlPr>
                <w:rPr>
                  <w:rFonts w:ascii="Cambria Math" w:hAnsi="Cambria Math" w:cs="Times New Roman"/>
                  <w:i/>
                  <w:sz w:val="32"/>
                  <w:szCs w:val="32"/>
                </w:rPr>
              </m:ctrlPr>
            </m:sSubPr>
            <m:e>
              <m:r>
                <m:rPr>
                  <m:nor/>
                </m:rPr>
                <w:rPr>
                  <w:rFonts w:ascii="Times New Roman" w:hAnsi="Times New Roman" w:cs="Times New Roman"/>
                  <w:i/>
                  <w:sz w:val="32"/>
                  <w:szCs w:val="32"/>
                </w:rPr>
                <m:t>I</m:t>
              </m:r>
            </m:e>
            <m:sub>
              <m:r>
                <m:rPr>
                  <m:nor/>
                </m:rPr>
                <w:rPr>
                  <w:rFonts w:ascii="Times New Roman" w:hAnsi="Times New Roman" w:cs="Times New Roman"/>
                  <w:sz w:val="32"/>
                  <w:szCs w:val="32"/>
                </w:rPr>
                <m:t>0</m:t>
              </m:r>
            </m:sub>
          </m:sSub>
          <m:sSup>
            <m:sSupPr>
              <m:ctrlPr>
                <w:rPr>
                  <w:rFonts w:ascii="Cambria Math" w:hAnsi="Cambria Math" w:cs="Times New Roman"/>
                  <w:i/>
                  <w:sz w:val="32"/>
                  <w:szCs w:val="32"/>
                </w:rPr>
              </m:ctrlPr>
            </m:sSupPr>
            <m:e>
              <m:r>
                <m:rPr>
                  <m:nor/>
                </m:rPr>
                <w:rPr>
                  <w:rFonts w:ascii="Times New Roman" w:hAnsi="Times New Roman" w:cs="Times New Roman"/>
                  <w:i/>
                  <w:sz w:val="32"/>
                  <w:szCs w:val="32"/>
                </w:rPr>
                <m:t>e</m:t>
              </m:r>
            </m:e>
            <m:sup>
              <m:r>
                <m:rPr>
                  <m:nor/>
                </m:rPr>
                <w:rPr>
                  <w:rFonts w:ascii="Times New Roman" w:hAnsi="Times New Roman" w:cs="Times New Roman"/>
                  <w:sz w:val="32"/>
                  <w:szCs w:val="32"/>
                </w:rPr>
                <m:t>-</m:t>
              </m:r>
              <w:proofErr w:type="spellStart"/>
              <m:r>
                <m:rPr>
                  <m:nor/>
                </m:rPr>
                <w:rPr>
                  <w:rFonts w:ascii="Times New Roman" w:hAnsi="Times New Roman" w:cs="Times New Roman"/>
                  <w:i/>
                  <w:sz w:val="32"/>
                  <w:szCs w:val="32"/>
                </w:rPr>
                <m:t>εcd</m:t>
              </m:r>
              <w:proofErr w:type="spellEnd"/>
            </m:sup>
          </m:sSup>
        </m:oMath>
      </m:oMathPara>
    </w:p>
    <w:p w:rsidR="00AD7C24" w:rsidRDefault="00B44348">
      <w:pPr>
        <w:spacing w:line="520" w:lineRule="exact"/>
        <w:ind w:firstLineChars="200" w:firstLine="640"/>
      </w:pPr>
      <w:r>
        <w:rPr>
          <w:rFonts w:eastAsia="仿宋_GB2312"/>
          <w:kern w:val="0"/>
          <w:sz w:val="32"/>
          <w:szCs w:val="32"/>
        </w:rPr>
        <w:t>式中，</w:t>
      </w:r>
      <w:r>
        <w:rPr>
          <w:rFonts w:eastAsia="仿宋_GB2312"/>
          <w:kern w:val="0"/>
          <w:sz w:val="32"/>
          <w:szCs w:val="32"/>
        </w:rPr>
        <w:t>ε</w:t>
      </w:r>
      <w:r>
        <w:rPr>
          <w:rFonts w:eastAsia="仿宋_GB2312"/>
          <w:kern w:val="0"/>
          <w:sz w:val="32"/>
          <w:szCs w:val="32"/>
        </w:rPr>
        <w:t>为物质的吸光系数，</w:t>
      </w:r>
      <w:r>
        <w:rPr>
          <w:rFonts w:eastAsia="仿宋_GB2312"/>
          <w:kern w:val="0"/>
          <w:sz w:val="32"/>
          <w:szCs w:val="32"/>
        </w:rPr>
        <w:t>c</w:t>
      </w:r>
      <w:r>
        <w:rPr>
          <w:rFonts w:eastAsia="仿宋_GB2312"/>
          <w:kern w:val="0"/>
          <w:sz w:val="32"/>
          <w:szCs w:val="32"/>
        </w:rPr>
        <w:t>为溶液的浓度；</w:t>
      </w:r>
      <w:r>
        <w:rPr>
          <w:rFonts w:eastAsia="仿宋_GB2312"/>
          <w:kern w:val="0"/>
          <w:sz w:val="32"/>
          <w:szCs w:val="32"/>
        </w:rPr>
        <w:t>d</w:t>
      </w:r>
      <w:r>
        <w:rPr>
          <w:rFonts w:eastAsia="仿宋_GB2312"/>
          <w:kern w:val="0"/>
          <w:sz w:val="32"/>
          <w:szCs w:val="32"/>
        </w:rPr>
        <w:t>为光穿过的路径。</w:t>
      </w:r>
    </w:p>
    <w:p w:rsidR="00AD7C24" w:rsidRDefault="00B44348">
      <w:pPr>
        <w:overflowPunct w:val="0"/>
        <w:ind w:firstLineChars="200" w:firstLine="640"/>
        <w:rPr>
          <w:rFonts w:eastAsia="仿宋_GB2312"/>
          <w:kern w:val="0"/>
          <w:sz w:val="32"/>
          <w:szCs w:val="32"/>
        </w:rPr>
      </w:pPr>
      <w:r>
        <w:rPr>
          <w:rFonts w:eastAsia="仿宋_GB2312"/>
          <w:color w:val="000000" w:themeColor="text1"/>
          <w:sz w:val="32"/>
          <w:szCs w:val="28"/>
        </w:rPr>
        <w:t>I</w:t>
      </w:r>
      <w:r>
        <w:rPr>
          <w:rFonts w:eastAsia="仿宋_GB2312"/>
          <w:color w:val="000000" w:themeColor="text1"/>
          <w:sz w:val="32"/>
          <w:szCs w:val="28"/>
          <w:vertAlign w:val="subscript"/>
        </w:rPr>
        <w:t>0</w:t>
      </w:r>
      <w:r>
        <w:rPr>
          <w:rFonts w:eastAsia="仿宋_GB2312"/>
          <w:color w:val="000000" w:themeColor="text1"/>
          <w:sz w:val="32"/>
          <w:szCs w:val="28"/>
        </w:rPr>
        <w:t>/I</w:t>
      </w:r>
      <w:r>
        <w:rPr>
          <w:rFonts w:eastAsia="仿宋_GB2312"/>
          <w:color w:val="000000" w:themeColor="text1"/>
          <w:kern w:val="0"/>
          <w:sz w:val="32"/>
          <w:szCs w:val="32"/>
        </w:rPr>
        <w:t>比</w:t>
      </w:r>
      <w:r>
        <w:rPr>
          <w:rFonts w:eastAsia="仿宋_GB2312"/>
          <w:kern w:val="0"/>
          <w:sz w:val="32"/>
          <w:szCs w:val="32"/>
        </w:rPr>
        <w:t>值的对数称为吸光度</w:t>
      </w:r>
      <w:r>
        <w:rPr>
          <w:rFonts w:eastAsia="仿宋_GB2312"/>
          <w:kern w:val="0"/>
          <w:sz w:val="32"/>
          <w:szCs w:val="32"/>
        </w:rPr>
        <w:t>D</w:t>
      </w:r>
      <w:r>
        <w:rPr>
          <w:rFonts w:eastAsia="仿宋_GB2312"/>
          <w:kern w:val="0"/>
          <w:sz w:val="32"/>
          <w:szCs w:val="32"/>
        </w:rPr>
        <w:t>，因此上式可表示为：</w:t>
      </w:r>
    </w:p>
    <w:p w:rsidR="00AD7C24" w:rsidRDefault="00B44348">
      <w:pPr>
        <w:pStyle w:val="a0"/>
        <w:overflowPunct w:val="0"/>
        <w:ind w:firstLineChars="200" w:firstLine="640"/>
        <w:rPr>
          <w:rFonts w:ascii="Times New Roman" w:eastAsia="仿宋_GB2312" w:hAnsi="Times New Roman" w:cs="Times New Roman"/>
          <w:sz w:val="32"/>
          <w:szCs w:val="32"/>
        </w:rPr>
      </w:pPr>
      <m:oMathPara>
        <m:oMath>
          <m:r>
            <m:rPr>
              <m:nor/>
            </m:rPr>
            <w:rPr>
              <w:rFonts w:ascii="Times New Roman" w:hAnsi="Times New Roman" w:cs="Times New Roman"/>
              <w:i/>
              <w:sz w:val="32"/>
              <w:szCs w:val="32"/>
            </w:rPr>
            <m:t>D</m:t>
          </m:r>
          <m:r>
            <m:rPr>
              <m:nor/>
            </m:rPr>
            <w:rPr>
              <w:rFonts w:ascii="Times New Roman" w:hAnsi="Times New Roman" w:cs="Times New Roman"/>
              <w:sz w:val="32"/>
              <w:szCs w:val="32"/>
            </w:rPr>
            <m:t>=1</m:t>
          </m:r>
          <m:r>
            <m:rPr>
              <m:nor/>
            </m:rPr>
            <w:rPr>
              <w:rFonts w:ascii="Times New Roman" w:hAnsi="Times New Roman" w:cs="Times New Roman"/>
              <w:i/>
              <w:sz w:val="32"/>
              <w:szCs w:val="32"/>
            </w:rPr>
            <m:t>n</m:t>
          </m:r>
          <m:d>
            <m:dPr>
              <m:ctrlPr>
                <w:rPr>
                  <w:rFonts w:ascii="Cambria Math" w:hAnsi="Cambria Math" w:cs="Times New Roman"/>
                  <w:i/>
                  <w:sz w:val="32"/>
                  <w:szCs w:val="32"/>
                </w:rPr>
              </m:ctrlPr>
            </m:dPr>
            <m:e>
              <m:f>
                <m:fPr>
                  <m:type m:val="lin"/>
                  <m:ctrlPr>
                    <w:rPr>
                      <w:rFonts w:ascii="Cambria Math" w:hAnsi="Cambria Math" w:cs="Times New Roman"/>
                      <w:i/>
                      <w:sz w:val="32"/>
                      <w:szCs w:val="32"/>
                    </w:rPr>
                  </m:ctrlPr>
                </m:fPr>
                <m:num>
                  <m:sSub>
                    <m:sSubPr>
                      <m:ctrlPr>
                        <w:rPr>
                          <w:rFonts w:ascii="Cambria Math" w:hAnsi="Cambria Math" w:cs="Times New Roman"/>
                          <w:i/>
                          <w:sz w:val="32"/>
                          <w:szCs w:val="32"/>
                        </w:rPr>
                      </m:ctrlPr>
                    </m:sSubPr>
                    <m:e>
                      <m:r>
                        <m:rPr>
                          <m:nor/>
                        </m:rPr>
                        <w:rPr>
                          <w:rFonts w:ascii="Times New Roman" w:hAnsi="Times New Roman" w:cs="Times New Roman"/>
                          <w:i/>
                          <w:sz w:val="32"/>
                          <w:szCs w:val="32"/>
                        </w:rPr>
                        <m:t>I</m:t>
                      </m:r>
                    </m:e>
                    <m:sub>
                      <m:r>
                        <m:rPr>
                          <m:nor/>
                        </m:rPr>
                        <w:rPr>
                          <w:rFonts w:ascii="Times New Roman" w:hAnsi="Times New Roman" w:cs="Times New Roman"/>
                          <w:sz w:val="32"/>
                          <w:szCs w:val="32"/>
                        </w:rPr>
                        <m:t>0</m:t>
                      </m:r>
                    </m:sub>
                  </m:sSub>
                </m:num>
                <m:den>
                  <m:r>
                    <m:rPr>
                      <m:nor/>
                    </m:rPr>
                    <w:rPr>
                      <w:rFonts w:ascii="Times New Roman" w:hAnsi="Times New Roman" w:cs="Times New Roman"/>
                      <w:i/>
                      <w:sz w:val="32"/>
                      <w:szCs w:val="32"/>
                    </w:rPr>
                    <m:t>I</m:t>
                  </m:r>
                </m:den>
              </m:f>
            </m:e>
          </m:d>
          <m:r>
            <m:rPr>
              <m:nor/>
            </m:rPr>
            <w:rPr>
              <w:rFonts w:ascii="Times New Roman" w:hAnsi="Times New Roman" w:cs="Times New Roman"/>
              <w:sz w:val="32"/>
              <w:szCs w:val="32"/>
            </w:rPr>
            <m:t xml:space="preserve">= </m:t>
          </m:r>
          <w:proofErr w:type="spellStart"/>
          <m:r>
            <m:rPr>
              <m:nor/>
            </m:rPr>
            <w:rPr>
              <w:rFonts w:ascii="Times New Roman" w:hAnsi="Times New Roman" w:cs="Times New Roman"/>
              <w:i/>
              <w:sz w:val="32"/>
              <w:szCs w:val="32"/>
            </w:rPr>
            <m:t>εcd</m:t>
          </m:r>
        </m:oMath>
      </m:oMathPara>
      <w:proofErr w:type="spellEnd"/>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若保持光的路径不变，吸光度便与物质的吸光系数和溶液的浓度成正比。</w:t>
      </w:r>
    </w:p>
    <w:p w:rsidR="00AD7C24" w:rsidRDefault="00B44348" w:rsidP="003073E2">
      <w:pPr>
        <w:spacing w:line="520" w:lineRule="exact"/>
        <w:ind w:firstLineChars="200" w:firstLine="640"/>
        <w:rPr>
          <w:rFonts w:eastAsia="仿宋_GB2312"/>
          <w:kern w:val="0"/>
          <w:sz w:val="32"/>
          <w:szCs w:val="32"/>
        </w:rPr>
      </w:pPr>
      <w:r>
        <w:rPr>
          <w:rFonts w:eastAsia="仿宋_GB2312"/>
          <w:kern w:val="0"/>
          <w:sz w:val="32"/>
          <w:szCs w:val="32"/>
        </w:rPr>
        <w:t>血液中氧合血红蛋白（</w:t>
      </w:r>
      <w:r>
        <w:rPr>
          <w:rFonts w:eastAsia="仿宋_GB2312"/>
          <w:kern w:val="0"/>
          <w:sz w:val="32"/>
          <w:szCs w:val="32"/>
        </w:rPr>
        <w:t>HbO2</w:t>
      </w:r>
      <w:r>
        <w:rPr>
          <w:rFonts w:eastAsia="仿宋_GB2312"/>
          <w:kern w:val="0"/>
          <w:sz w:val="32"/>
          <w:szCs w:val="32"/>
        </w:rPr>
        <w:t>）和还原血红蛋白（</w:t>
      </w:r>
      <w:proofErr w:type="spellStart"/>
      <w:r>
        <w:rPr>
          <w:rFonts w:eastAsia="仿宋_GB2312"/>
          <w:kern w:val="0"/>
          <w:sz w:val="32"/>
          <w:szCs w:val="32"/>
        </w:rPr>
        <w:t>Hb</w:t>
      </w:r>
      <w:proofErr w:type="spellEnd"/>
      <w:r>
        <w:rPr>
          <w:rFonts w:eastAsia="仿宋_GB2312"/>
          <w:kern w:val="0"/>
          <w:sz w:val="32"/>
          <w:szCs w:val="32"/>
        </w:rPr>
        <w:t>）对不同波长的光的吸收系数不同，如图</w:t>
      </w:r>
      <w:r>
        <w:rPr>
          <w:rFonts w:eastAsia="仿宋_GB2312"/>
          <w:kern w:val="0"/>
          <w:sz w:val="32"/>
          <w:szCs w:val="32"/>
        </w:rPr>
        <w:t>2</w:t>
      </w:r>
      <w:r>
        <w:rPr>
          <w:rFonts w:eastAsia="仿宋_GB2312"/>
          <w:kern w:val="0"/>
          <w:sz w:val="32"/>
          <w:szCs w:val="32"/>
        </w:rPr>
        <w:t>所示，在波长为</w:t>
      </w:r>
      <w:r>
        <w:rPr>
          <w:rFonts w:eastAsia="仿宋_GB2312"/>
          <w:kern w:val="0"/>
          <w:sz w:val="32"/>
          <w:szCs w:val="32"/>
        </w:rPr>
        <w:t>600—700nm</w:t>
      </w:r>
      <w:r>
        <w:rPr>
          <w:rFonts w:eastAsia="仿宋_GB2312"/>
          <w:kern w:val="0"/>
          <w:sz w:val="32"/>
          <w:szCs w:val="32"/>
        </w:rPr>
        <w:t>的红光区，</w:t>
      </w:r>
      <w:proofErr w:type="spellStart"/>
      <w:r>
        <w:rPr>
          <w:rFonts w:eastAsia="仿宋_GB2312"/>
          <w:kern w:val="0"/>
          <w:sz w:val="32"/>
          <w:szCs w:val="32"/>
        </w:rPr>
        <w:t>Hb</w:t>
      </w:r>
      <w:proofErr w:type="spellEnd"/>
      <w:r>
        <w:rPr>
          <w:rFonts w:eastAsia="仿宋_GB2312"/>
          <w:kern w:val="0"/>
          <w:sz w:val="32"/>
          <w:szCs w:val="32"/>
        </w:rPr>
        <w:t>的吸收系数比</w:t>
      </w:r>
      <w:r>
        <w:rPr>
          <w:rFonts w:eastAsia="仿宋_GB2312"/>
          <w:kern w:val="0"/>
          <w:sz w:val="32"/>
          <w:szCs w:val="32"/>
        </w:rPr>
        <w:t>HbO2</w:t>
      </w:r>
      <w:r>
        <w:rPr>
          <w:rFonts w:eastAsia="仿宋_GB2312"/>
          <w:kern w:val="0"/>
          <w:sz w:val="32"/>
          <w:szCs w:val="32"/>
        </w:rPr>
        <w:t>的大；而在波长为</w:t>
      </w:r>
      <w:r>
        <w:rPr>
          <w:rFonts w:eastAsia="仿宋_GB2312"/>
          <w:kern w:val="0"/>
          <w:sz w:val="32"/>
          <w:szCs w:val="32"/>
        </w:rPr>
        <w:t>800—1000nm</w:t>
      </w:r>
      <w:r>
        <w:rPr>
          <w:rFonts w:eastAsia="仿宋_GB2312"/>
          <w:kern w:val="0"/>
          <w:sz w:val="32"/>
          <w:szCs w:val="32"/>
        </w:rPr>
        <w:t>的近红外光区，</w:t>
      </w:r>
      <w:r>
        <w:rPr>
          <w:rFonts w:eastAsia="仿宋_GB2312"/>
          <w:kern w:val="0"/>
          <w:sz w:val="32"/>
          <w:szCs w:val="32"/>
        </w:rPr>
        <w:t>HbO2</w:t>
      </w:r>
      <w:r>
        <w:rPr>
          <w:rFonts w:eastAsia="仿宋_GB2312"/>
          <w:kern w:val="0"/>
          <w:sz w:val="32"/>
          <w:szCs w:val="32"/>
        </w:rPr>
        <w:t>的吸收系数比</w:t>
      </w:r>
      <w:proofErr w:type="spellStart"/>
      <w:r>
        <w:rPr>
          <w:rFonts w:eastAsia="仿宋_GB2312"/>
          <w:kern w:val="0"/>
          <w:sz w:val="32"/>
          <w:szCs w:val="32"/>
        </w:rPr>
        <w:t>Hb</w:t>
      </w:r>
      <w:proofErr w:type="spellEnd"/>
      <w:r>
        <w:rPr>
          <w:rFonts w:eastAsia="仿宋_GB2312"/>
          <w:kern w:val="0"/>
          <w:sz w:val="32"/>
          <w:szCs w:val="32"/>
        </w:rPr>
        <w:t>的大；在</w:t>
      </w:r>
      <w:r>
        <w:rPr>
          <w:rFonts w:eastAsia="仿宋_GB2312"/>
          <w:kern w:val="0"/>
          <w:sz w:val="32"/>
          <w:szCs w:val="32"/>
        </w:rPr>
        <w:t>805nm</w:t>
      </w:r>
      <w:r>
        <w:rPr>
          <w:rFonts w:eastAsia="仿宋_GB2312"/>
          <w:kern w:val="0"/>
          <w:sz w:val="32"/>
          <w:szCs w:val="32"/>
        </w:rPr>
        <w:t>附近是等吸收点。</w:t>
      </w:r>
    </w:p>
    <w:p w:rsidR="003073E2" w:rsidRPr="003073E2" w:rsidRDefault="003073E2" w:rsidP="003073E2">
      <w:pPr>
        <w:pStyle w:val="a0"/>
        <w:rPr>
          <w:rFonts w:hint="eastAsia"/>
        </w:rPr>
      </w:pPr>
    </w:p>
    <w:p w:rsidR="00AD7C24" w:rsidRDefault="00B44348">
      <w:pPr>
        <w:overflowPunct w:val="0"/>
        <w:jc w:val="center"/>
        <w:rPr>
          <w:rFonts w:eastAsia="仿宋_GB2312"/>
          <w:sz w:val="32"/>
          <w:szCs w:val="30"/>
        </w:rPr>
      </w:pPr>
      <w:r>
        <w:rPr>
          <w:rFonts w:eastAsia="仿宋_GB2312"/>
          <w:noProof/>
          <w:sz w:val="32"/>
          <w:szCs w:val="30"/>
        </w:rPr>
        <w:drawing>
          <wp:inline distT="0" distB="0" distL="0" distR="0">
            <wp:extent cx="3157870" cy="2334406"/>
            <wp:effectExtent l="0" t="0" r="444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173352" cy="2345851"/>
                    </a:xfrm>
                    <a:prstGeom prst="rect">
                      <a:avLst/>
                    </a:prstGeom>
                    <a:noFill/>
                    <a:ln>
                      <a:noFill/>
                    </a:ln>
                  </pic:spPr>
                </pic:pic>
              </a:graphicData>
            </a:graphic>
          </wp:inline>
        </w:drawing>
      </w:r>
    </w:p>
    <w:p w:rsidR="00AD7C24" w:rsidRDefault="00B44348">
      <w:pPr>
        <w:overflowPunct w:val="0"/>
        <w:adjustRightInd w:val="0"/>
        <w:snapToGrid w:val="0"/>
        <w:spacing w:line="520" w:lineRule="exact"/>
        <w:jc w:val="center"/>
        <w:rPr>
          <w:rFonts w:eastAsia="黑体"/>
          <w:sz w:val="28"/>
          <w:szCs w:val="28"/>
        </w:rPr>
      </w:pPr>
      <w:r>
        <w:rPr>
          <w:rFonts w:eastAsia="黑体"/>
          <w:sz w:val="28"/>
          <w:szCs w:val="28"/>
        </w:rPr>
        <w:t>图</w:t>
      </w:r>
      <w:r>
        <w:rPr>
          <w:rFonts w:eastAsia="黑体"/>
          <w:sz w:val="28"/>
          <w:szCs w:val="28"/>
        </w:rPr>
        <w:t xml:space="preserve">2 </w:t>
      </w:r>
      <w:r>
        <w:rPr>
          <w:rFonts w:eastAsia="黑体"/>
          <w:sz w:val="28"/>
          <w:szCs w:val="28"/>
        </w:rPr>
        <w:t>血红蛋白对不同波长光的吸收系数</w:t>
      </w:r>
    </w:p>
    <w:p w:rsidR="00AD7C24" w:rsidRDefault="00AD7C24">
      <w:pPr>
        <w:overflowPunct w:val="0"/>
        <w:adjustRightInd w:val="0"/>
        <w:snapToGrid w:val="0"/>
        <w:spacing w:line="240" w:lineRule="exact"/>
        <w:jc w:val="center"/>
        <w:rPr>
          <w:rFonts w:eastAsia="仿宋_GB2312"/>
          <w:sz w:val="28"/>
          <w:szCs w:val="28"/>
        </w:rPr>
      </w:pP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基于氧合血红</w:t>
      </w:r>
      <w:r>
        <w:rPr>
          <w:rFonts w:eastAsia="仿宋_GB2312"/>
          <w:color w:val="000000" w:themeColor="text1"/>
          <w:kern w:val="0"/>
          <w:sz w:val="32"/>
          <w:szCs w:val="32"/>
        </w:rPr>
        <w:t>蛋白</w:t>
      </w:r>
      <w:r>
        <w:rPr>
          <w:rFonts w:eastAsia="仿宋_GB2312"/>
          <w:color w:val="000000" w:themeColor="text1"/>
          <w:sz w:val="32"/>
          <w:szCs w:val="28"/>
        </w:rPr>
        <w:t>HbO</w:t>
      </w:r>
      <w:r>
        <w:rPr>
          <w:rFonts w:eastAsia="仿宋_GB2312"/>
          <w:color w:val="000000" w:themeColor="text1"/>
          <w:sz w:val="32"/>
          <w:szCs w:val="28"/>
          <w:vertAlign w:val="subscript"/>
        </w:rPr>
        <w:t>2</w:t>
      </w:r>
      <w:r>
        <w:rPr>
          <w:rFonts w:eastAsia="仿宋_GB2312"/>
          <w:color w:val="000000" w:themeColor="text1"/>
          <w:kern w:val="0"/>
          <w:sz w:val="32"/>
          <w:szCs w:val="32"/>
        </w:rPr>
        <w:t>和还</w:t>
      </w:r>
      <w:r>
        <w:rPr>
          <w:rFonts w:eastAsia="仿宋_GB2312"/>
          <w:kern w:val="0"/>
          <w:sz w:val="32"/>
          <w:szCs w:val="32"/>
        </w:rPr>
        <w:t>原血红蛋白（</w:t>
      </w:r>
      <w:proofErr w:type="spellStart"/>
      <w:r>
        <w:rPr>
          <w:rFonts w:eastAsia="仿宋_GB2312"/>
          <w:kern w:val="0"/>
          <w:sz w:val="32"/>
          <w:szCs w:val="32"/>
        </w:rPr>
        <w:t>Hb</w:t>
      </w:r>
      <w:proofErr w:type="spellEnd"/>
      <w:r>
        <w:rPr>
          <w:rFonts w:eastAsia="仿宋_GB2312"/>
          <w:kern w:val="0"/>
          <w:sz w:val="32"/>
          <w:szCs w:val="32"/>
        </w:rPr>
        <w:t>）的这种光谱特性，血氧饱和度探头中的发光元件发出两种波长的光信号，通常用</w:t>
      </w:r>
      <w:r>
        <w:rPr>
          <w:rFonts w:eastAsia="仿宋_GB2312"/>
          <w:kern w:val="0"/>
          <w:sz w:val="32"/>
          <w:szCs w:val="32"/>
        </w:rPr>
        <w:t>660nm</w:t>
      </w:r>
      <w:r>
        <w:rPr>
          <w:rFonts w:eastAsia="仿宋_GB2312"/>
          <w:kern w:val="0"/>
          <w:sz w:val="32"/>
          <w:szCs w:val="32"/>
        </w:rPr>
        <w:t>左右的红光和</w:t>
      </w:r>
      <w:r>
        <w:rPr>
          <w:rFonts w:eastAsia="仿宋_GB2312"/>
          <w:kern w:val="0"/>
          <w:sz w:val="32"/>
          <w:szCs w:val="32"/>
        </w:rPr>
        <w:t>905nm</w:t>
      </w:r>
      <w:r>
        <w:rPr>
          <w:rFonts w:eastAsia="仿宋_GB2312"/>
          <w:kern w:val="0"/>
          <w:sz w:val="32"/>
          <w:szCs w:val="32"/>
        </w:rPr>
        <w:t>左右的红外光照</w:t>
      </w:r>
      <w:r>
        <w:rPr>
          <w:rFonts w:eastAsia="仿宋_GB2312"/>
          <w:kern w:val="0"/>
          <w:sz w:val="32"/>
          <w:szCs w:val="32"/>
        </w:rPr>
        <w:lastRenderedPageBreak/>
        <w:t>射被测组织，将含动脉血管的部位（如手指、脚趾、耳垂等）放在发光管和一个光电接收管之间，如图</w:t>
      </w:r>
      <w:r>
        <w:rPr>
          <w:rFonts w:eastAsia="仿宋_GB2312"/>
          <w:kern w:val="0"/>
          <w:sz w:val="32"/>
          <w:szCs w:val="32"/>
        </w:rPr>
        <w:t>3</w:t>
      </w:r>
      <w:r>
        <w:rPr>
          <w:rFonts w:eastAsia="仿宋_GB2312"/>
          <w:kern w:val="0"/>
          <w:sz w:val="32"/>
          <w:szCs w:val="32"/>
        </w:rPr>
        <w:t>示。</w:t>
      </w:r>
    </w:p>
    <w:p w:rsidR="00AD7C24" w:rsidRDefault="00B44348">
      <w:pPr>
        <w:overflowPunct w:val="0"/>
        <w:jc w:val="center"/>
        <w:rPr>
          <w:rFonts w:eastAsia="仿宋_GB2312"/>
          <w:sz w:val="32"/>
          <w:szCs w:val="30"/>
        </w:rPr>
      </w:pPr>
      <w:r>
        <w:rPr>
          <w:rFonts w:eastAsia="仿宋_GB2312"/>
          <w:noProof/>
          <w:sz w:val="22"/>
        </w:rPr>
        <w:drawing>
          <wp:inline distT="0" distB="0" distL="114300" distR="114300">
            <wp:extent cx="3463925" cy="1668145"/>
            <wp:effectExtent l="0" t="0" r="3175" b="8255"/>
            <wp:docPr id="2" name="图片 2" descr="IMG_8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8094"/>
                    <pic:cNvPicPr>
                      <a:picLocks noChangeAspect="1"/>
                    </pic:cNvPicPr>
                  </pic:nvPicPr>
                  <pic:blipFill>
                    <a:blip r:embed="rId9"/>
                    <a:stretch>
                      <a:fillRect/>
                    </a:stretch>
                  </pic:blipFill>
                  <pic:spPr>
                    <a:xfrm>
                      <a:off x="0" y="0"/>
                      <a:ext cx="3463925" cy="1668145"/>
                    </a:xfrm>
                    <a:prstGeom prst="rect">
                      <a:avLst/>
                    </a:prstGeom>
                  </pic:spPr>
                </pic:pic>
              </a:graphicData>
            </a:graphic>
          </wp:inline>
        </w:drawing>
      </w:r>
    </w:p>
    <w:p w:rsidR="00AD7C24" w:rsidRDefault="00B44348">
      <w:pPr>
        <w:overflowPunct w:val="0"/>
        <w:adjustRightInd w:val="0"/>
        <w:snapToGrid w:val="0"/>
        <w:spacing w:line="520" w:lineRule="exact"/>
        <w:jc w:val="center"/>
        <w:rPr>
          <w:rFonts w:eastAsia="黑体"/>
          <w:sz w:val="28"/>
          <w:szCs w:val="28"/>
        </w:rPr>
      </w:pPr>
      <w:r>
        <w:rPr>
          <w:rFonts w:eastAsia="黑体"/>
          <w:sz w:val="28"/>
          <w:szCs w:val="28"/>
        </w:rPr>
        <w:t>图</w:t>
      </w:r>
      <w:r>
        <w:rPr>
          <w:rFonts w:eastAsia="黑体"/>
          <w:sz w:val="28"/>
          <w:szCs w:val="28"/>
        </w:rPr>
        <w:t xml:space="preserve">3 </w:t>
      </w:r>
      <w:r>
        <w:rPr>
          <w:rFonts w:eastAsia="黑体"/>
          <w:sz w:val="28"/>
          <w:szCs w:val="28"/>
        </w:rPr>
        <w:t>光电法测量示意图</w:t>
      </w:r>
    </w:p>
    <w:p w:rsidR="00AD7C24" w:rsidRDefault="00AD7C24">
      <w:pPr>
        <w:spacing w:line="520" w:lineRule="exact"/>
        <w:ind w:firstLineChars="200" w:firstLine="640"/>
        <w:rPr>
          <w:rFonts w:eastAsia="仿宋_GB2312"/>
          <w:kern w:val="0"/>
          <w:sz w:val="32"/>
          <w:szCs w:val="32"/>
        </w:rPr>
      </w:pPr>
    </w:p>
    <w:p w:rsidR="00AD7C24" w:rsidRDefault="00B44348">
      <w:pPr>
        <w:spacing w:line="520" w:lineRule="exact"/>
        <w:ind w:firstLineChars="200" w:firstLine="640"/>
        <w:rPr>
          <w:rFonts w:eastAsia="仿宋_GB2312"/>
          <w:sz w:val="32"/>
          <w:szCs w:val="28"/>
        </w:rPr>
      </w:pPr>
      <w:r>
        <w:rPr>
          <w:rFonts w:eastAsia="仿宋_GB2312"/>
          <w:kern w:val="0"/>
          <w:sz w:val="32"/>
          <w:szCs w:val="32"/>
        </w:rPr>
        <w:t>光电接收管所接收的光透射信号包含两种成分：一种是脉动成分（即交流信号</w:t>
      </w:r>
      <w:r>
        <w:rPr>
          <w:rFonts w:eastAsia="仿宋_GB2312"/>
          <w:kern w:val="0"/>
          <w:sz w:val="32"/>
          <w:szCs w:val="32"/>
        </w:rPr>
        <w:t>AC</w:t>
      </w:r>
      <w:r>
        <w:rPr>
          <w:rFonts w:eastAsia="仿宋_GB2312"/>
          <w:kern w:val="0"/>
          <w:sz w:val="32"/>
          <w:szCs w:val="32"/>
        </w:rPr>
        <w:t>），它是由脉动的动脉血的光吸收引起的</w:t>
      </w:r>
      <w:proofErr w:type="gramStart"/>
      <w:r>
        <w:rPr>
          <w:rFonts w:eastAsia="仿宋_GB2312"/>
          <w:kern w:val="0"/>
          <w:sz w:val="32"/>
          <w:szCs w:val="32"/>
        </w:rPr>
        <w:t>交变成分</w:t>
      </w:r>
      <w:proofErr w:type="gramEnd"/>
      <w:r>
        <w:rPr>
          <w:rFonts w:eastAsia="仿宋_GB2312"/>
          <w:kern w:val="0"/>
          <w:sz w:val="32"/>
          <w:szCs w:val="32"/>
        </w:rPr>
        <w:t>；另一种是稳定成分（即直流信号</w:t>
      </w:r>
      <w:r>
        <w:rPr>
          <w:rFonts w:eastAsia="仿宋_GB2312"/>
          <w:kern w:val="0"/>
          <w:sz w:val="32"/>
          <w:szCs w:val="32"/>
        </w:rPr>
        <w:t>DC</w:t>
      </w:r>
      <w:r>
        <w:rPr>
          <w:rFonts w:eastAsia="仿宋_GB2312"/>
          <w:kern w:val="0"/>
          <w:sz w:val="32"/>
          <w:szCs w:val="32"/>
        </w:rPr>
        <w:t>），它反映各非脉动组织（如表皮、肌肉、骨骼和静脉等）引起光吸收的大小。能反映血氧饱和度变化的是两波长的交流信号幅度与各自的直流信号之比，两波长的直流及交流信号共同对血氧值定标。由于血液中</w:t>
      </w:r>
      <w:r>
        <w:rPr>
          <w:rFonts w:eastAsia="仿宋_GB2312"/>
          <w:color w:val="000000" w:themeColor="text1"/>
          <w:kern w:val="0"/>
          <w:sz w:val="32"/>
          <w:szCs w:val="32"/>
        </w:rPr>
        <w:t>的</w:t>
      </w:r>
      <w:r>
        <w:rPr>
          <w:rFonts w:eastAsia="仿宋_GB2312"/>
          <w:color w:val="000000" w:themeColor="text1"/>
          <w:sz w:val="32"/>
          <w:szCs w:val="28"/>
        </w:rPr>
        <w:t>HbO</w:t>
      </w:r>
      <w:r>
        <w:rPr>
          <w:rFonts w:eastAsia="仿宋_GB2312"/>
          <w:color w:val="000000" w:themeColor="text1"/>
          <w:sz w:val="32"/>
          <w:szCs w:val="28"/>
          <w:vertAlign w:val="subscript"/>
        </w:rPr>
        <w:t>2</w:t>
      </w:r>
      <w:r>
        <w:rPr>
          <w:rFonts w:eastAsia="仿宋_GB2312"/>
          <w:color w:val="000000" w:themeColor="text1"/>
          <w:kern w:val="0"/>
          <w:sz w:val="32"/>
          <w:szCs w:val="32"/>
        </w:rPr>
        <w:t>和</w:t>
      </w:r>
      <w:proofErr w:type="spellStart"/>
      <w:r>
        <w:rPr>
          <w:rFonts w:eastAsia="仿宋_GB2312"/>
          <w:kern w:val="0"/>
          <w:sz w:val="32"/>
          <w:szCs w:val="32"/>
        </w:rPr>
        <w:t>Hb</w:t>
      </w:r>
      <w:proofErr w:type="spellEnd"/>
      <w:r>
        <w:rPr>
          <w:rFonts w:eastAsia="仿宋_GB2312"/>
          <w:kern w:val="0"/>
          <w:sz w:val="32"/>
          <w:szCs w:val="32"/>
        </w:rPr>
        <w:t>浓度随着血液的脉动做周期性的改变，因此，它们对光的吸收也在脉动地变化，由此引起光电接收管输出的电信号强度也随血液脉动而周期性改变。由于光电接收管能将接收到的光信</w:t>
      </w:r>
      <w:r>
        <w:rPr>
          <w:rFonts w:eastAsia="仿宋_GB2312"/>
          <w:kern w:val="0"/>
          <w:sz w:val="32"/>
          <w:szCs w:val="32"/>
        </w:rPr>
        <w:t>号转变为电信号，但不能区分光的波长，监护仪电路中用一个定时电路来控制两个发光管的发光次序。两种波长的光交替通过检测部位，由光电接收管检测透射光强，并将两个信号的脉动成分分离出来，经过滤波、放大、</w:t>
      </w:r>
      <w:r>
        <w:rPr>
          <w:rFonts w:eastAsia="仿宋_GB2312"/>
          <w:kern w:val="0"/>
          <w:sz w:val="32"/>
          <w:szCs w:val="32"/>
        </w:rPr>
        <w:t>A/D</w:t>
      </w:r>
      <w:r>
        <w:rPr>
          <w:rFonts w:eastAsia="仿宋_GB2312"/>
          <w:kern w:val="0"/>
          <w:sz w:val="32"/>
          <w:szCs w:val="32"/>
        </w:rPr>
        <w:t>转换成数字信号，根据下式计算对应的血氧饱和度值：</w:t>
      </w:r>
    </w:p>
    <w:p w:rsidR="00AD7C24" w:rsidRDefault="00B44348">
      <w:pPr>
        <w:overflowPunct w:val="0"/>
        <w:ind w:firstLineChars="200" w:firstLine="640"/>
        <w:rPr>
          <w:rFonts w:eastAsia="仿宋_GB2312"/>
          <w:i/>
          <w:sz w:val="32"/>
          <w:szCs w:val="28"/>
        </w:rPr>
      </w:pPr>
      <m:oMathPara>
        <m:oMath>
          <m:r>
            <m:rPr>
              <m:nor/>
            </m:rPr>
            <w:rPr>
              <w:rFonts w:eastAsia="仿宋_GB2312"/>
              <w:i/>
              <w:sz w:val="32"/>
              <w:szCs w:val="28"/>
            </w:rPr>
            <m:t>SpO</m:t>
          </m:r>
          <m:r>
            <m:rPr>
              <m:nor/>
            </m:rPr>
            <w:rPr>
              <w:rFonts w:eastAsia="仿宋_GB2312"/>
              <w:sz w:val="32"/>
              <w:szCs w:val="28"/>
            </w:rPr>
            <m:t>2=</m:t>
          </m:r>
          <m:r>
            <m:rPr>
              <m:nor/>
            </m:rPr>
            <w:rPr>
              <w:rFonts w:eastAsia="仿宋_GB2312"/>
              <w:i/>
              <w:sz w:val="32"/>
              <w:szCs w:val="28"/>
            </w:rPr>
            <m:t>Table</m:t>
          </m:r>
          <m:d>
            <m:dPr>
              <m:begChr m:val="["/>
              <m:endChr m:val="]"/>
              <m:ctrlPr>
                <w:rPr>
                  <w:rFonts w:ascii="Cambria Math" w:eastAsia="微软雅黑" w:hAnsi="Cambria Math"/>
                  <w:i/>
                  <w:sz w:val="32"/>
                  <w:szCs w:val="28"/>
                </w:rPr>
              </m:ctrlPr>
            </m:dPr>
            <m:e>
              <m:r>
                <m:rPr>
                  <m:nor/>
                </m:rPr>
                <w:rPr>
                  <w:rFonts w:eastAsia="微软雅黑"/>
                  <w:i/>
                  <w:sz w:val="32"/>
                  <w:szCs w:val="28"/>
                </w:rPr>
                <m:t>R</m:t>
              </m:r>
            </m:e>
          </m:d>
          <m:r>
            <m:rPr>
              <m:nor/>
            </m:rPr>
            <w:rPr>
              <w:rFonts w:eastAsia="微软雅黑"/>
              <w:sz w:val="32"/>
              <w:szCs w:val="28"/>
            </w:rPr>
            <m:t>=</m:t>
          </m:r>
          <m:r>
            <m:rPr>
              <m:nor/>
            </m:rPr>
            <w:rPr>
              <w:rFonts w:eastAsia="微软雅黑"/>
              <w:i/>
              <w:sz w:val="32"/>
              <w:szCs w:val="28"/>
            </w:rPr>
            <m:t>Table</m:t>
          </m:r>
          <m:r>
            <m:rPr>
              <m:nor/>
            </m:rPr>
            <w:rPr>
              <w:rFonts w:eastAsia="微软雅黑"/>
              <w:sz w:val="32"/>
              <w:szCs w:val="28"/>
            </w:rPr>
            <m:t xml:space="preserve">[ </m:t>
          </m:r>
          <m:f>
            <m:fPr>
              <m:ctrlPr>
                <w:rPr>
                  <w:rFonts w:ascii="Cambria Math" w:eastAsia="微软雅黑" w:hAnsi="Cambria Math"/>
                  <w:i/>
                  <w:sz w:val="32"/>
                  <w:szCs w:val="28"/>
                </w:rPr>
              </m:ctrlPr>
            </m:fPr>
            <m:num>
              <m:f>
                <m:fPr>
                  <m:type m:val="lin"/>
                  <m:ctrlPr>
                    <w:rPr>
                      <w:rFonts w:ascii="Cambria Math" w:eastAsia="微软雅黑" w:hAnsi="Cambria Math"/>
                      <w:i/>
                      <w:sz w:val="32"/>
                      <w:szCs w:val="28"/>
                    </w:rPr>
                  </m:ctrlPr>
                </m:fPr>
                <m:num>
                  <m:sSub>
                    <m:sSubPr>
                      <m:ctrlPr>
                        <w:rPr>
                          <w:rFonts w:ascii="Cambria Math" w:eastAsia="微软雅黑" w:hAnsi="Cambria Math"/>
                          <w:i/>
                          <w:sz w:val="32"/>
                          <w:szCs w:val="28"/>
                        </w:rPr>
                      </m:ctrlPr>
                    </m:sSubPr>
                    <m:e>
                      <m:r>
                        <m:rPr>
                          <m:nor/>
                        </m:rPr>
                        <w:rPr>
                          <w:rFonts w:eastAsia="微软雅黑"/>
                          <w:i/>
                          <w:sz w:val="32"/>
                          <w:szCs w:val="28"/>
                        </w:rPr>
                        <m:t>IR</m:t>
                      </m:r>
                    </m:e>
                    <m:sub>
                      <m:r>
                        <m:rPr>
                          <m:nor/>
                        </m:rPr>
                        <w:rPr>
                          <w:rFonts w:eastAsia="微软雅黑"/>
                          <w:i/>
                          <w:sz w:val="32"/>
                          <w:szCs w:val="28"/>
                        </w:rPr>
                        <m:t>AC</m:t>
                      </m:r>
                    </m:sub>
                  </m:sSub>
                </m:num>
                <m:den>
                  <m:sSub>
                    <m:sSubPr>
                      <m:ctrlPr>
                        <w:rPr>
                          <w:rFonts w:ascii="Cambria Math" w:eastAsia="微软雅黑" w:hAnsi="Cambria Math"/>
                          <w:i/>
                          <w:sz w:val="32"/>
                          <w:szCs w:val="28"/>
                        </w:rPr>
                      </m:ctrlPr>
                    </m:sSubPr>
                    <m:e>
                      <m:r>
                        <m:rPr>
                          <m:nor/>
                        </m:rPr>
                        <w:rPr>
                          <w:rFonts w:eastAsia="微软雅黑"/>
                          <w:i/>
                          <w:sz w:val="32"/>
                          <w:szCs w:val="28"/>
                        </w:rPr>
                        <m:t>IR</m:t>
                      </m:r>
                    </m:e>
                    <m:sub>
                      <m:r>
                        <m:rPr>
                          <m:nor/>
                        </m:rPr>
                        <w:rPr>
                          <w:rFonts w:eastAsia="微软雅黑"/>
                          <w:i/>
                          <w:sz w:val="32"/>
                          <w:szCs w:val="28"/>
                        </w:rPr>
                        <m:t>DC</m:t>
                      </m:r>
                    </m:sub>
                  </m:sSub>
                </m:den>
              </m:f>
            </m:num>
            <m:den>
              <m:f>
                <m:fPr>
                  <m:type m:val="lin"/>
                  <m:ctrlPr>
                    <w:rPr>
                      <w:rFonts w:ascii="Cambria Math" w:eastAsia="微软雅黑" w:hAnsi="Cambria Math"/>
                      <w:i/>
                      <w:sz w:val="32"/>
                      <w:szCs w:val="28"/>
                    </w:rPr>
                  </m:ctrlPr>
                </m:fPr>
                <m:num>
                  <m:sSub>
                    <m:sSubPr>
                      <m:ctrlPr>
                        <w:rPr>
                          <w:rFonts w:ascii="Cambria Math" w:eastAsia="微软雅黑" w:hAnsi="Cambria Math"/>
                          <w:i/>
                          <w:sz w:val="32"/>
                          <w:szCs w:val="28"/>
                        </w:rPr>
                      </m:ctrlPr>
                    </m:sSubPr>
                    <m:e>
                      <m:r>
                        <m:rPr>
                          <m:nor/>
                        </m:rPr>
                        <w:rPr>
                          <w:rFonts w:eastAsia="微软雅黑"/>
                          <w:i/>
                          <w:sz w:val="32"/>
                          <w:szCs w:val="28"/>
                        </w:rPr>
                        <m:t>Red</m:t>
                      </m:r>
                    </m:e>
                    <m:sub>
                      <m:r>
                        <m:rPr>
                          <m:nor/>
                        </m:rPr>
                        <w:rPr>
                          <w:rFonts w:eastAsia="微软雅黑"/>
                          <w:i/>
                          <w:sz w:val="32"/>
                          <w:szCs w:val="28"/>
                        </w:rPr>
                        <m:t>AC</m:t>
                      </m:r>
                    </m:sub>
                  </m:sSub>
                </m:num>
                <m:den>
                  <m:sSub>
                    <m:sSubPr>
                      <m:ctrlPr>
                        <w:rPr>
                          <w:rFonts w:ascii="Cambria Math" w:eastAsia="微软雅黑" w:hAnsi="Cambria Math"/>
                          <w:i/>
                          <w:sz w:val="32"/>
                          <w:szCs w:val="28"/>
                        </w:rPr>
                      </m:ctrlPr>
                    </m:sSubPr>
                    <m:e>
                      <m:r>
                        <m:rPr>
                          <m:nor/>
                        </m:rPr>
                        <w:rPr>
                          <w:rFonts w:eastAsia="微软雅黑"/>
                          <w:i/>
                          <w:sz w:val="32"/>
                          <w:szCs w:val="28"/>
                        </w:rPr>
                        <m:t>Red</m:t>
                      </m:r>
                    </m:e>
                    <m:sub>
                      <m:r>
                        <m:rPr>
                          <m:nor/>
                        </m:rPr>
                        <w:rPr>
                          <w:rFonts w:eastAsia="微软雅黑"/>
                          <w:i/>
                          <w:sz w:val="32"/>
                          <w:szCs w:val="28"/>
                        </w:rPr>
                        <m:t>DC</m:t>
                      </m:r>
                    </m:sub>
                  </m:sSub>
                </m:den>
              </m:f>
            </m:den>
          </m:f>
          <m:r>
            <m:rPr>
              <m:nor/>
            </m:rPr>
            <w:rPr>
              <w:rFonts w:eastAsia="微软雅黑"/>
              <w:sz w:val="32"/>
              <w:szCs w:val="28"/>
            </w:rPr>
            <m:t>]</m:t>
          </m:r>
        </m:oMath>
      </m:oMathPara>
    </w:p>
    <w:p w:rsidR="00AD7C24" w:rsidRDefault="00B44348">
      <w:pPr>
        <w:overflowPunct w:val="0"/>
        <w:ind w:firstLineChars="200" w:firstLine="640"/>
        <w:jc w:val="left"/>
        <w:rPr>
          <w:rFonts w:eastAsia="仿宋_GB2312"/>
          <w:sz w:val="22"/>
        </w:rPr>
      </w:pPr>
      <w:r>
        <w:rPr>
          <w:rFonts w:eastAsia="仿宋_GB2312"/>
          <w:sz w:val="32"/>
          <w:szCs w:val="28"/>
        </w:rPr>
        <w:lastRenderedPageBreak/>
        <w:t>式中：</w:t>
      </w:r>
      <m:oMath>
        <m:r>
          <m:rPr>
            <m:nor/>
          </m:rPr>
          <w:rPr>
            <w:rFonts w:eastAsia="微软雅黑"/>
            <w:sz w:val="32"/>
            <w:szCs w:val="28"/>
          </w:rPr>
          <m:t xml:space="preserve"> </m:t>
        </m:r>
        <m:r>
          <m:rPr>
            <m:nor/>
          </m:rPr>
          <w:rPr>
            <w:rFonts w:eastAsia="微软雅黑"/>
            <w:i/>
            <w:sz w:val="32"/>
            <w:szCs w:val="28"/>
          </w:rPr>
          <m:t>R</m:t>
        </m:r>
        <m:r>
          <m:rPr>
            <m:nor/>
          </m:rPr>
          <w:rPr>
            <w:rFonts w:eastAsia="微软雅黑"/>
            <w:sz w:val="32"/>
            <w:szCs w:val="28"/>
          </w:rPr>
          <m:t>=</m:t>
        </m:r>
        <m:f>
          <m:fPr>
            <m:ctrlPr>
              <w:rPr>
                <w:rFonts w:ascii="Cambria Math" w:eastAsia="微软雅黑" w:hAnsi="Cambria Math"/>
                <w:i/>
                <w:sz w:val="32"/>
                <w:szCs w:val="28"/>
              </w:rPr>
            </m:ctrlPr>
          </m:fPr>
          <m:num>
            <m:f>
              <m:fPr>
                <m:type m:val="lin"/>
                <m:ctrlPr>
                  <w:rPr>
                    <w:rFonts w:ascii="Cambria Math" w:eastAsia="微软雅黑" w:hAnsi="Cambria Math"/>
                    <w:i/>
                    <w:sz w:val="32"/>
                    <w:szCs w:val="28"/>
                  </w:rPr>
                </m:ctrlPr>
              </m:fPr>
              <m:num>
                <m:sSub>
                  <m:sSubPr>
                    <m:ctrlPr>
                      <w:rPr>
                        <w:rFonts w:ascii="Cambria Math" w:eastAsia="微软雅黑" w:hAnsi="Cambria Math"/>
                        <w:i/>
                        <w:sz w:val="32"/>
                        <w:szCs w:val="28"/>
                      </w:rPr>
                    </m:ctrlPr>
                  </m:sSubPr>
                  <m:e>
                    <m:r>
                      <m:rPr>
                        <m:nor/>
                      </m:rPr>
                      <w:rPr>
                        <w:rFonts w:eastAsia="微软雅黑"/>
                        <w:i/>
                        <w:sz w:val="32"/>
                        <w:szCs w:val="28"/>
                      </w:rPr>
                      <m:t>IR</m:t>
                    </m:r>
                  </m:e>
                  <m:sub>
                    <m:r>
                      <m:rPr>
                        <m:nor/>
                      </m:rPr>
                      <w:rPr>
                        <w:rFonts w:eastAsia="微软雅黑"/>
                        <w:i/>
                        <w:sz w:val="32"/>
                        <w:szCs w:val="28"/>
                      </w:rPr>
                      <m:t>AC</m:t>
                    </m:r>
                  </m:sub>
                </m:sSub>
              </m:num>
              <m:den>
                <m:sSub>
                  <m:sSubPr>
                    <m:ctrlPr>
                      <w:rPr>
                        <w:rFonts w:ascii="Cambria Math" w:eastAsia="微软雅黑" w:hAnsi="Cambria Math"/>
                        <w:i/>
                        <w:sz w:val="32"/>
                        <w:szCs w:val="28"/>
                      </w:rPr>
                    </m:ctrlPr>
                  </m:sSubPr>
                  <m:e>
                    <m:r>
                      <m:rPr>
                        <m:nor/>
                      </m:rPr>
                      <w:rPr>
                        <w:rFonts w:eastAsia="微软雅黑"/>
                        <w:i/>
                        <w:sz w:val="32"/>
                        <w:szCs w:val="28"/>
                      </w:rPr>
                      <m:t>IR</m:t>
                    </m:r>
                  </m:e>
                  <m:sub>
                    <m:r>
                      <m:rPr>
                        <m:nor/>
                      </m:rPr>
                      <w:rPr>
                        <w:rFonts w:eastAsia="微软雅黑"/>
                        <w:i/>
                        <w:sz w:val="32"/>
                        <w:szCs w:val="28"/>
                      </w:rPr>
                      <m:t>DC</m:t>
                    </m:r>
                  </m:sub>
                </m:sSub>
              </m:den>
            </m:f>
          </m:num>
          <m:den>
            <m:f>
              <m:fPr>
                <m:type m:val="lin"/>
                <m:ctrlPr>
                  <w:rPr>
                    <w:rFonts w:ascii="Cambria Math" w:eastAsia="微软雅黑" w:hAnsi="Cambria Math"/>
                    <w:i/>
                    <w:sz w:val="32"/>
                    <w:szCs w:val="28"/>
                  </w:rPr>
                </m:ctrlPr>
              </m:fPr>
              <m:num>
                <m:sSub>
                  <m:sSubPr>
                    <m:ctrlPr>
                      <w:rPr>
                        <w:rFonts w:ascii="Cambria Math" w:eastAsia="微软雅黑" w:hAnsi="Cambria Math"/>
                        <w:i/>
                        <w:sz w:val="32"/>
                        <w:szCs w:val="28"/>
                      </w:rPr>
                    </m:ctrlPr>
                  </m:sSubPr>
                  <m:e>
                    <m:r>
                      <m:rPr>
                        <m:nor/>
                      </m:rPr>
                      <w:rPr>
                        <w:rFonts w:eastAsia="微软雅黑"/>
                        <w:i/>
                        <w:sz w:val="32"/>
                        <w:szCs w:val="28"/>
                      </w:rPr>
                      <m:t>Red</m:t>
                    </m:r>
                  </m:e>
                  <m:sub>
                    <m:r>
                      <m:rPr>
                        <m:nor/>
                      </m:rPr>
                      <w:rPr>
                        <w:rFonts w:eastAsia="微软雅黑"/>
                        <w:i/>
                        <w:sz w:val="32"/>
                        <w:szCs w:val="28"/>
                      </w:rPr>
                      <m:t>AC</m:t>
                    </m:r>
                  </m:sub>
                </m:sSub>
              </m:num>
              <m:den>
                <m:sSub>
                  <m:sSubPr>
                    <m:ctrlPr>
                      <w:rPr>
                        <w:rFonts w:ascii="Cambria Math" w:eastAsia="微软雅黑" w:hAnsi="Cambria Math"/>
                        <w:i/>
                        <w:sz w:val="32"/>
                        <w:szCs w:val="28"/>
                      </w:rPr>
                    </m:ctrlPr>
                  </m:sSubPr>
                  <m:e>
                    <m:r>
                      <m:rPr>
                        <m:nor/>
                      </m:rPr>
                      <w:rPr>
                        <w:rFonts w:eastAsia="微软雅黑"/>
                        <w:i/>
                        <w:sz w:val="32"/>
                        <w:szCs w:val="28"/>
                      </w:rPr>
                      <m:t>Red</m:t>
                    </m:r>
                  </m:e>
                  <m:sub>
                    <m:r>
                      <m:rPr>
                        <m:nor/>
                      </m:rPr>
                      <w:rPr>
                        <w:rFonts w:eastAsia="微软雅黑"/>
                        <w:i/>
                        <w:sz w:val="32"/>
                        <w:szCs w:val="28"/>
                      </w:rPr>
                      <m:t>DC</m:t>
                    </m:r>
                  </m:sub>
                </m:sSub>
              </m:den>
            </m:f>
          </m:den>
        </m:f>
      </m:oMath>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IR</w:t>
      </w:r>
      <w:r>
        <w:rPr>
          <w:rFonts w:eastAsia="仿宋_GB2312"/>
          <w:kern w:val="0"/>
          <w:sz w:val="32"/>
          <w:szCs w:val="32"/>
        </w:rPr>
        <w:t>是红外光，</w:t>
      </w:r>
      <w:r>
        <w:rPr>
          <w:rFonts w:eastAsia="仿宋_GB2312"/>
          <w:kern w:val="0"/>
          <w:sz w:val="32"/>
          <w:szCs w:val="32"/>
        </w:rPr>
        <w:t>Red</w:t>
      </w:r>
      <w:r>
        <w:rPr>
          <w:rFonts w:eastAsia="仿宋_GB2312"/>
          <w:kern w:val="0"/>
          <w:sz w:val="32"/>
          <w:szCs w:val="32"/>
        </w:rPr>
        <w:t>是红光。通过计算红外光和红光的交直流比，获得</w:t>
      </w:r>
      <w:r>
        <w:rPr>
          <w:rFonts w:eastAsia="仿宋_GB2312"/>
          <w:kern w:val="0"/>
          <w:sz w:val="32"/>
          <w:szCs w:val="32"/>
        </w:rPr>
        <w:t>R</w:t>
      </w:r>
      <w:r>
        <w:rPr>
          <w:rFonts w:eastAsia="仿宋_GB2312"/>
          <w:kern w:val="0"/>
          <w:sz w:val="32"/>
          <w:szCs w:val="32"/>
        </w:rPr>
        <w:t>系数，再查找</w:t>
      </w:r>
      <w:r>
        <w:rPr>
          <w:rFonts w:eastAsia="仿宋_GB2312"/>
          <w:kern w:val="0"/>
          <w:sz w:val="32"/>
          <w:szCs w:val="32"/>
        </w:rPr>
        <w:t>R</w:t>
      </w:r>
      <w:r>
        <w:rPr>
          <w:rFonts w:eastAsia="仿宋_GB2312"/>
          <w:kern w:val="0"/>
          <w:sz w:val="32"/>
          <w:szCs w:val="32"/>
        </w:rPr>
        <w:t>系数表（</w:t>
      </w:r>
      <w:r>
        <w:rPr>
          <w:rFonts w:eastAsia="仿宋_GB2312"/>
          <w:kern w:val="0"/>
          <w:sz w:val="32"/>
          <w:szCs w:val="32"/>
        </w:rPr>
        <w:t>Table</w:t>
      </w:r>
      <w:r>
        <w:rPr>
          <w:rFonts w:eastAsia="仿宋_GB2312"/>
          <w:kern w:val="0"/>
          <w:sz w:val="32"/>
          <w:szCs w:val="32"/>
        </w:rPr>
        <w:t>），可获得血氧饱和度。其中</w:t>
      </w:r>
      <w:r>
        <w:rPr>
          <w:rFonts w:eastAsia="仿宋_GB2312"/>
          <w:kern w:val="0"/>
          <w:sz w:val="32"/>
          <w:szCs w:val="32"/>
        </w:rPr>
        <w:t>R</w:t>
      </w:r>
      <w:r>
        <w:rPr>
          <w:rFonts w:eastAsia="仿宋_GB2312"/>
          <w:kern w:val="0"/>
          <w:sz w:val="32"/>
          <w:szCs w:val="32"/>
        </w:rPr>
        <w:t>系数表是通过血气实验定标获得的。</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kern w:val="0"/>
          <w:sz w:val="32"/>
          <w:szCs w:val="32"/>
        </w:rPr>
        <w:t>）反射法</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采用透射原理的传感器，一般用于在指尖、耳垂、手掌、手腕、脚踝、脚掌、脚趾、鼻翼部位进行测量，不能实现体表大多数部位的血氧饱和度监测。采用反射式血氧饱和度传感器的设计，可适用于全身各处血氧饱和度的测量。</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反射式传感器示意图如图</w:t>
      </w:r>
      <w:r>
        <w:rPr>
          <w:rFonts w:eastAsia="仿宋_GB2312"/>
          <w:kern w:val="0"/>
          <w:sz w:val="32"/>
          <w:szCs w:val="32"/>
        </w:rPr>
        <w:t>4</w:t>
      </w:r>
      <w:r>
        <w:rPr>
          <w:rFonts w:eastAsia="仿宋_GB2312"/>
          <w:kern w:val="0"/>
          <w:sz w:val="32"/>
          <w:szCs w:val="32"/>
        </w:rPr>
        <w:t>示。</w:t>
      </w:r>
    </w:p>
    <w:p w:rsidR="00AD7C24" w:rsidRDefault="00B44348">
      <w:pPr>
        <w:overflowPunct w:val="0"/>
        <w:jc w:val="center"/>
        <w:rPr>
          <w:rFonts w:eastAsia="仿宋_GB2312"/>
          <w:sz w:val="32"/>
          <w:szCs w:val="30"/>
        </w:rPr>
      </w:pPr>
      <w:r>
        <w:rPr>
          <w:rFonts w:eastAsia="仿宋_GB2312"/>
          <w:noProof/>
          <w:sz w:val="22"/>
        </w:rPr>
        <w:drawing>
          <wp:inline distT="0" distB="0" distL="0" distR="0">
            <wp:extent cx="3552825" cy="14573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552825" cy="1457325"/>
                    </a:xfrm>
                    <a:prstGeom prst="rect">
                      <a:avLst/>
                    </a:prstGeom>
                    <a:noFill/>
                    <a:ln>
                      <a:noFill/>
                    </a:ln>
                  </pic:spPr>
                </pic:pic>
              </a:graphicData>
            </a:graphic>
          </wp:inline>
        </w:drawing>
      </w:r>
    </w:p>
    <w:p w:rsidR="00AD7C24" w:rsidRDefault="00B44348">
      <w:pPr>
        <w:overflowPunct w:val="0"/>
        <w:adjustRightInd w:val="0"/>
        <w:snapToGrid w:val="0"/>
        <w:spacing w:line="520" w:lineRule="exact"/>
        <w:jc w:val="center"/>
        <w:rPr>
          <w:rFonts w:eastAsia="黑体"/>
          <w:sz w:val="28"/>
          <w:szCs w:val="28"/>
        </w:rPr>
      </w:pPr>
      <w:r>
        <w:rPr>
          <w:rFonts w:eastAsia="黑体"/>
          <w:sz w:val="28"/>
          <w:szCs w:val="28"/>
        </w:rPr>
        <w:t>图</w:t>
      </w:r>
      <w:r>
        <w:rPr>
          <w:rFonts w:eastAsia="黑体"/>
          <w:sz w:val="28"/>
          <w:szCs w:val="28"/>
        </w:rPr>
        <w:t xml:space="preserve">4 </w:t>
      </w:r>
      <w:r>
        <w:rPr>
          <w:rFonts w:eastAsia="黑体"/>
          <w:sz w:val="28"/>
          <w:szCs w:val="28"/>
        </w:rPr>
        <w:t>反射式传感器示意图</w:t>
      </w:r>
    </w:p>
    <w:p w:rsidR="00AD7C24" w:rsidRDefault="00AD7C24">
      <w:pPr>
        <w:overflowPunct w:val="0"/>
        <w:adjustRightInd w:val="0"/>
        <w:snapToGrid w:val="0"/>
        <w:spacing w:line="520" w:lineRule="exact"/>
        <w:jc w:val="center"/>
        <w:rPr>
          <w:rFonts w:eastAsia="黑体"/>
          <w:sz w:val="28"/>
          <w:szCs w:val="28"/>
        </w:rPr>
      </w:pP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反射式血氧饱和度的检测原理与</w:t>
      </w:r>
      <w:proofErr w:type="gramStart"/>
      <w:r>
        <w:rPr>
          <w:rFonts w:eastAsia="仿宋_GB2312"/>
          <w:kern w:val="0"/>
          <w:sz w:val="32"/>
          <w:szCs w:val="32"/>
        </w:rPr>
        <w:t>透射式血氧饱和</w:t>
      </w:r>
      <w:proofErr w:type="gramEnd"/>
      <w:r>
        <w:rPr>
          <w:rFonts w:eastAsia="仿宋_GB2312"/>
          <w:kern w:val="0"/>
          <w:sz w:val="32"/>
          <w:szCs w:val="32"/>
        </w:rPr>
        <w:t>度的检测原理的电路部分基本相同，</w:t>
      </w:r>
      <w:r>
        <w:rPr>
          <w:rFonts w:eastAsia="仿宋_GB2312"/>
          <w:kern w:val="0"/>
          <w:sz w:val="32"/>
          <w:szCs w:val="32"/>
        </w:rPr>
        <w:t>不同的只是传感器。反射式传感器也是由两种波长的发光二极管和光敏元件组成，但光敏元件接收到的是组织的反射光。由于光线在组织中的运动呈现随机性，反射式传感器所接收到的光线很难确定其确切的检测区域，从概率意义上说，光线从光源发射经组织传播到光敏元件接收，走过的是一条香蕉状路线，所以，光源与光敏元件的距离是一个重要的参数，一般设置为</w:t>
      </w:r>
      <w:r>
        <w:rPr>
          <w:rFonts w:eastAsia="仿宋_GB2312"/>
          <w:kern w:val="0"/>
          <w:sz w:val="32"/>
          <w:szCs w:val="32"/>
        </w:rPr>
        <w:t>4—50mm</w:t>
      </w:r>
      <w:r>
        <w:rPr>
          <w:rFonts w:eastAsia="仿宋_GB2312"/>
          <w:kern w:val="0"/>
          <w:sz w:val="32"/>
          <w:szCs w:val="32"/>
        </w:rPr>
        <w:t>。</w:t>
      </w:r>
    </w:p>
    <w:p w:rsidR="00AD7C24" w:rsidRDefault="00B44348">
      <w:pPr>
        <w:spacing w:line="520" w:lineRule="exact"/>
        <w:ind w:firstLineChars="200" w:firstLine="640"/>
        <w:outlineLvl w:val="2"/>
        <w:rPr>
          <w:rFonts w:eastAsia="仿宋_GB2312"/>
          <w:sz w:val="32"/>
          <w:szCs w:val="32"/>
        </w:rPr>
      </w:pPr>
      <w:r>
        <w:rPr>
          <w:rFonts w:eastAsia="仿宋_GB2312"/>
          <w:sz w:val="32"/>
          <w:szCs w:val="32"/>
        </w:rPr>
        <w:t>1.2</w:t>
      </w:r>
      <w:r>
        <w:rPr>
          <w:rFonts w:eastAsia="仿宋_GB2312"/>
          <w:sz w:val="32"/>
          <w:szCs w:val="32"/>
        </w:rPr>
        <w:t>结构及组成</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lastRenderedPageBreak/>
        <w:t>提供产品结构及组成的描述。脉搏血氧</w:t>
      </w:r>
      <w:proofErr w:type="gramStart"/>
      <w:r>
        <w:rPr>
          <w:rFonts w:eastAsia="仿宋_GB2312"/>
          <w:kern w:val="0"/>
          <w:sz w:val="32"/>
          <w:szCs w:val="32"/>
        </w:rPr>
        <w:t>仪一般</w:t>
      </w:r>
      <w:proofErr w:type="gramEnd"/>
      <w:r>
        <w:rPr>
          <w:rFonts w:eastAsia="仿宋_GB2312"/>
          <w:kern w:val="0"/>
          <w:sz w:val="32"/>
          <w:szCs w:val="32"/>
        </w:rPr>
        <w:t>由脉搏血氧仪主机、血氧探头和探头延长电缆（如提供）组成。</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提供产品的图示。</w:t>
      </w:r>
    </w:p>
    <w:tbl>
      <w:tblPr>
        <w:tblW w:w="8425" w:type="dxa"/>
        <w:jc w:val="center"/>
        <w:tblLook w:val="04A0" w:firstRow="1" w:lastRow="0" w:firstColumn="1" w:lastColumn="0" w:noHBand="0" w:noVBand="1"/>
      </w:tblPr>
      <w:tblGrid>
        <w:gridCol w:w="8425"/>
      </w:tblGrid>
      <w:tr w:rsidR="00AD7C24">
        <w:trPr>
          <w:trHeight w:val="2646"/>
          <w:jc w:val="center"/>
        </w:trPr>
        <w:tc>
          <w:tcPr>
            <w:tcW w:w="8425" w:type="dxa"/>
            <w:shd w:val="clear" w:color="auto" w:fill="auto"/>
          </w:tcPr>
          <w:p w:rsidR="00AD7C24" w:rsidRDefault="00B44348">
            <w:pPr>
              <w:overflowPunct w:val="0"/>
              <w:jc w:val="center"/>
              <w:rPr>
                <w:rFonts w:eastAsia="仿宋_GB2312"/>
                <w:sz w:val="32"/>
                <w:szCs w:val="30"/>
              </w:rPr>
            </w:pPr>
            <w:r>
              <w:rPr>
                <w:rFonts w:eastAsia="仿宋_GB2312"/>
                <w:noProof/>
                <w:sz w:val="32"/>
                <w:szCs w:val="30"/>
              </w:rPr>
              <w:drawing>
                <wp:inline distT="0" distB="0" distL="0" distR="0">
                  <wp:extent cx="1828800" cy="1562100"/>
                  <wp:effectExtent l="0" t="0" r="0" b="0"/>
                  <wp:docPr id="10" name="图片 10" descr="M70B 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70B 照片"/>
                          <pic:cNvPicPr>
                            <a:picLocks noChangeAspect="1" noChangeArrowheads="1"/>
                          </pic:cNvPicPr>
                        </pic:nvPicPr>
                        <pic:blipFill>
                          <a:blip r:embed="rId11" cstate="print">
                            <a:extLst>
                              <a:ext uri="{28A0092B-C50C-407E-A947-70E740481C1C}">
                                <a14:useLocalDpi xmlns:a14="http://schemas.microsoft.com/office/drawing/2010/main" val="0"/>
                              </a:ext>
                            </a:extLst>
                          </a:blip>
                          <a:srcRect t="27226" r="172" b="3456"/>
                          <a:stretch>
                            <a:fillRect/>
                          </a:stretch>
                        </pic:blipFill>
                        <pic:spPr>
                          <a:xfrm>
                            <a:off x="0" y="0"/>
                            <a:ext cx="1828800" cy="1562100"/>
                          </a:xfrm>
                          <a:prstGeom prst="rect">
                            <a:avLst/>
                          </a:prstGeom>
                          <a:noFill/>
                          <a:ln>
                            <a:noFill/>
                          </a:ln>
                        </pic:spPr>
                      </pic:pic>
                    </a:graphicData>
                  </a:graphic>
                </wp:inline>
              </w:drawing>
            </w:r>
          </w:p>
          <w:p w:rsidR="00AD7C24" w:rsidRDefault="00B44348">
            <w:pPr>
              <w:overflowPunct w:val="0"/>
              <w:jc w:val="center"/>
              <w:rPr>
                <w:rFonts w:eastAsia="黑体"/>
                <w:sz w:val="32"/>
                <w:szCs w:val="30"/>
              </w:rPr>
            </w:pPr>
            <w:proofErr w:type="gramStart"/>
            <w:r>
              <w:rPr>
                <w:rFonts w:eastAsia="黑体"/>
                <w:sz w:val="22"/>
                <w:szCs w:val="21"/>
              </w:rPr>
              <w:t>指夹式</w:t>
            </w:r>
            <w:proofErr w:type="gramEnd"/>
            <w:r>
              <w:rPr>
                <w:rFonts w:eastAsia="黑体"/>
                <w:sz w:val="22"/>
                <w:szCs w:val="21"/>
              </w:rPr>
              <w:t>脉搏血氧仪</w:t>
            </w:r>
          </w:p>
        </w:tc>
      </w:tr>
      <w:tr w:rsidR="00AD7C24">
        <w:trPr>
          <w:trHeight w:val="2940"/>
          <w:jc w:val="center"/>
        </w:trPr>
        <w:tc>
          <w:tcPr>
            <w:tcW w:w="8425" w:type="dxa"/>
            <w:shd w:val="clear" w:color="auto" w:fill="auto"/>
          </w:tcPr>
          <w:p w:rsidR="00AD7C24" w:rsidRDefault="00B44348">
            <w:pPr>
              <w:overflowPunct w:val="0"/>
              <w:jc w:val="center"/>
              <w:rPr>
                <w:rFonts w:eastAsia="仿宋_GB2312"/>
                <w:sz w:val="22"/>
                <w:szCs w:val="21"/>
              </w:rPr>
            </w:pPr>
            <w:r>
              <w:rPr>
                <w:rFonts w:eastAsia="仿宋_GB2312"/>
                <w:noProof/>
                <w:sz w:val="22"/>
                <w:szCs w:val="21"/>
              </w:rPr>
              <w:drawing>
                <wp:inline distT="0" distB="0" distL="0" distR="0">
                  <wp:extent cx="1819275" cy="2400300"/>
                  <wp:effectExtent l="0" t="0" r="9525" b="0"/>
                  <wp:docPr id="9" name="图片 9" descr="M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7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819275" cy="2400300"/>
                          </a:xfrm>
                          <a:prstGeom prst="rect">
                            <a:avLst/>
                          </a:prstGeom>
                          <a:noFill/>
                          <a:ln>
                            <a:noFill/>
                          </a:ln>
                        </pic:spPr>
                      </pic:pic>
                    </a:graphicData>
                  </a:graphic>
                </wp:inline>
              </w:drawing>
            </w:r>
          </w:p>
          <w:p w:rsidR="00AD7C24" w:rsidRDefault="00B44348">
            <w:pPr>
              <w:overflowPunct w:val="0"/>
              <w:jc w:val="center"/>
              <w:rPr>
                <w:rFonts w:eastAsia="黑体"/>
                <w:sz w:val="22"/>
                <w:szCs w:val="21"/>
              </w:rPr>
            </w:pPr>
            <w:r>
              <w:rPr>
                <w:rFonts w:eastAsia="黑体"/>
                <w:sz w:val="22"/>
                <w:szCs w:val="21"/>
              </w:rPr>
              <w:t>手持式脉搏血氧仪</w:t>
            </w:r>
          </w:p>
        </w:tc>
      </w:tr>
      <w:tr w:rsidR="00AD7C24">
        <w:trPr>
          <w:jc w:val="center"/>
        </w:trPr>
        <w:tc>
          <w:tcPr>
            <w:tcW w:w="8425" w:type="dxa"/>
            <w:shd w:val="clear" w:color="auto" w:fill="auto"/>
          </w:tcPr>
          <w:p w:rsidR="00AD7C24" w:rsidRDefault="00B44348">
            <w:pPr>
              <w:overflowPunct w:val="0"/>
              <w:autoSpaceDE w:val="0"/>
              <w:autoSpaceDN w:val="0"/>
              <w:adjustRightInd w:val="0"/>
              <w:spacing w:line="360" w:lineRule="auto"/>
              <w:jc w:val="center"/>
              <w:rPr>
                <w:rFonts w:eastAsia="仿宋_GB2312"/>
                <w:kern w:val="0"/>
                <w:sz w:val="32"/>
                <w:szCs w:val="30"/>
              </w:rPr>
            </w:pPr>
            <w:r>
              <w:rPr>
                <w:rFonts w:eastAsia="仿宋_GB2312"/>
                <w:noProof/>
                <w:sz w:val="22"/>
                <w:szCs w:val="21"/>
              </w:rPr>
              <w:drawing>
                <wp:inline distT="0" distB="0" distL="0" distR="0">
                  <wp:extent cx="2743200" cy="1876425"/>
                  <wp:effectExtent l="0" t="0" r="0" b="9525"/>
                  <wp:docPr id="8" name="图片 8" descr="128-200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28-20000025"/>
                          <pic:cNvPicPr>
                            <a:picLocks noChangeAspect="1" noChangeArrowheads="1"/>
                          </pic:cNvPicPr>
                        </pic:nvPicPr>
                        <pic:blipFill>
                          <a:blip r:embed="rId13">
                            <a:extLst>
                              <a:ext uri="{28A0092B-C50C-407E-A947-70E740481C1C}">
                                <a14:useLocalDpi xmlns:a14="http://schemas.microsoft.com/office/drawing/2010/main" val="0"/>
                              </a:ext>
                            </a:extLst>
                          </a:blip>
                          <a:srcRect t="5121"/>
                          <a:stretch>
                            <a:fillRect/>
                          </a:stretch>
                        </pic:blipFill>
                        <pic:spPr>
                          <a:xfrm>
                            <a:off x="0" y="0"/>
                            <a:ext cx="2743200" cy="1876425"/>
                          </a:xfrm>
                          <a:prstGeom prst="rect">
                            <a:avLst/>
                          </a:prstGeom>
                          <a:noFill/>
                          <a:ln>
                            <a:noFill/>
                          </a:ln>
                        </pic:spPr>
                      </pic:pic>
                    </a:graphicData>
                  </a:graphic>
                </wp:inline>
              </w:drawing>
            </w:r>
          </w:p>
          <w:p w:rsidR="00AD7C24" w:rsidRDefault="00B44348">
            <w:pPr>
              <w:overflowPunct w:val="0"/>
              <w:autoSpaceDE w:val="0"/>
              <w:autoSpaceDN w:val="0"/>
              <w:adjustRightInd w:val="0"/>
              <w:spacing w:line="360" w:lineRule="auto"/>
              <w:jc w:val="center"/>
              <w:rPr>
                <w:rFonts w:eastAsia="黑体"/>
                <w:position w:val="12"/>
                <w:sz w:val="32"/>
                <w:szCs w:val="30"/>
              </w:rPr>
            </w:pPr>
            <w:r>
              <w:rPr>
                <w:rFonts w:eastAsia="黑体"/>
                <w:sz w:val="22"/>
                <w:szCs w:val="21"/>
              </w:rPr>
              <w:t>腕式脉搏血氧仪</w:t>
            </w:r>
          </w:p>
        </w:tc>
      </w:tr>
      <w:tr w:rsidR="00AD7C24">
        <w:trPr>
          <w:trHeight w:val="2952"/>
          <w:jc w:val="center"/>
        </w:trPr>
        <w:tc>
          <w:tcPr>
            <w:tcW w:w="8425" w:type="dxa"/>
            <w:shd w:val="clear" w:color="auto" w:fill="auto"/>
          </w:tcPr>
          <w:p w:rsidR="00AD7C24" w:rsidRDefault="00B44348">
            <w:pPr>
              <w:overflowPunct w:val="0"/>
              <w:autoSpaceDE w:val="0"/>
              <w:autoSpaceDN w:val="0"/>
              <w:adjustRightInd w:val="0"/>
              <w:spacing w:line="360" w:lineRule="auto"/>
              <w:jc w:val="center"/>
              <w:rPr>
                <w:rFonts w:eastAsia="仿宋_GB2312"/>
                <w:sz w:val="22"/>
                <w:szCs w:val="21"/>
              </w:rPr>
            </w:pPr>
            <w:r>
              <w:rPr>
                <w:noProof/>
              </w:rPr>
              <w:lastRenderedPageBreak/>
              <w:drawing>
                <wp:anchor distT="0" distB="0" distL="114300" distR="114300" simplePos="0" relativeHeight="251660288" behindDoc="0" locked="0" layoutInCell="1" allowOverlap="1">
                  <wp:simplePos x="0" y="0"/>
                  <wp:positionH relativeFrom="column">
                    <wp:posOffset>968375</wp:posOffset>
                  </wp:positionH>
                  <wp:positionV relativeFrom="paragraph">
                    <wp:posOffset>221615</wp:posOffset>
                  </wp:positionV>
                  <wp:extent cx="3261360" cy="1476375"/>
                  <wp:effectExtent l="0" t="0" r="15240" b="9525"/>
                  <wp:wrapNone/>
                  <wp:docPr id="19" name="图片 1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Untitled-2"/>
                          <pic:cNvPicPr>
                            <a:picLocks noChangeAspect="1" noChangeArrowheads="1"/>
                          </pic:cNvPicPr>
                        </pic:nvPicPr>
                        <pic:blipFill>
                          <a:blip r:embed="rId14">
                            <a:extLst>
                              <a:ext uri="{28A0092B-C50C-407E-A947-70E740481C1C}">
                                <a14:useLocalDpi xmlns:a14="http://schemas.microsoft.com/office/drawing/2010/main" val="0"/>
                              </a:ext>
                            </a:extLst>
                          </a:blip>
                          <a:srcRect b="56946"/>
                          <a:stretch>
                            <a:fillRect/>
                          </a:stretch>
                        </pic:blipFill>
                        <pic:spPr>
                          <a:xfrm>
                            <a:off x="0" y="0"/>
                            <a:ext cx="3261360" cy="1476375"/>
                          </a:xfrm>
                          <a:prstGeom prst="rect">
                            <a:avLst/>
                          </a:prstGeom>
                          <a:noFill/>
                          <a:ln>
                            <a:noFill/>
                          </a:ln>
                        </pic:spPr>
                      </pic:pic>
                    </a:graphicData>
                  </a:graphic>
                </wp:anchor>
              </w:drawing>
            </w:r>
          </w:p>
          <w:p w:rsidR="00AD7C24" w:rsidRDefault="00AD7C24">
            <w:pPr>
              <w:overflowPunct w:val="0"/>
              <w:autoSpaceDE w:val="0"/>
              <w:autoSpaceDN w:val="0"/>
              <w:adjustRightInd w:val="0"/>
              <w:spacing w:line="360" w:lineRule="auto"/>
              <w:jc w:val="center"/>
              <w:rPr>
                <w:rFonts w:eastAsia="仿宋_GB2312"/>
                <w:sz w:val="22"/>
                <w:szCs w:val="21"/>
              </w:rPr>
            </w:pPr>
          </w:p>
          <w:p w:rsidR="00AD7C24" w:rsidRDefault="00AD7C24">
            <w:pPr>
              <w:overflowPunct w:val="0"/>
              <w:autoSpaceDE w:val="0"/>
              <w:autoSpaceDN w:val="0"/>
              <w:adjustRightInd w:val="0"/>
              <w:spacing w:line="360" w:lineRule="auto"/>
              <w:jc w:val="center"/>
              <w:rPr>
                <w:rFonts w:eastAsia="仿宋_GB2312"/>
                <w:sz w:val="22"/>
                <w:szCs w:val="21"/>
              </w:rPr>
            </w:pPr>
          </w:p>
          <w:p w:rsidR="00AD7C24" w:rsidRDefault="00AD7C24">
            <w:pPr>
              <w:overflowPunct w:val="0"/>
              <w:autoSpaceDE w:val="0"/>
              <w:autoSpaceDN w:val="0"/>
              <w:adjustRightInd w:val="0"/>
              <w:spacing w:line="360" w:lineRule="auto"/>
              <w:jc w:val="center"/>
              <w:rPr>
                <w:rFonts w:eastAsia="仿宋_GB2312"/>
                <w:sz w:val="22"/>
                <w:szCs w:val="21"/>
              </w:rPr>
            </w:pPr>
          </w:p>
          <w:p w:rsidR="00AD7C24" w:rsidRDefault="00AD7C24">
            <w:pPr>
              <w:overflowPunct w:val="0"/>
              <w:autoSpaceDE w:val="0"/>
              <w:autoSpaceDN w:val="0"/>
              <w:adjustRightInd w:val="0"/>
              <w:spacing w:line="360" w:lineRule="auto"/>
              <w:jc w:val="center"/>
              <w:rPr>
                <w:rFonts w:eastAsia="仿宋_GB2312"/>
                <w:sz w:val="22"/>
                <w:szCs w:val="21"/>
              </w:rPr>
            </w:pPr>
          </w:p>
          <w:p w:rsidR="00AD7C24" w:rsidRDefault="00AD7C24">
            <w:pPr>
              <w:overflowPunct w:val="0"/>
              <w:autoSpaceDE w:val="0"/>
              <w:autoSpaceDN w:val="0"/>
              <w:adjustRightInd w:val="0"/>
              <w:spacing w:line="360" w:lineRule="auto"/>
              <w:jc w:val="center"/>
              <w:rPr>
                <w:rFonts w:eastAsia="仿宋_GB2312"/>
                <w:sz w:val="22"/>
                <w:szCs w:val="21"/>
              </w:rPr>
            </w:pPr>
          </w:p>
          <w:p w:rsidR="00AD7C24" w:rsidRDefault="00B44348">
            <w:pPr>
              <w:overflowPunct w:val="0"/>
              <w:autoSpaceDE w:val="0"/>
              <w:autoSpaceDN w:val="0"/>
              <w:adjustRightInd w:val="0"/>
              <w:spacing w:line="360" w:lineRule="auto"/>
              <w:jc w:val="center"/>
              <w:rPr>
                <w:rFonts w:eastAsia="黑体"/>
                <w:sz w:val="22"/>
                <w:szCs w:val="21"/>
              </w:rPr>
            </w:pPr>
            <w:r>
              <w:rPr>
                <w:rFonts w:eastAsia="黑体"/>
                <w:sz w:val="22"/>
                <w:szCs w:val="21"/>
              </w:rPr>
              <w:t>台式脉搏血氧仪</w:t>
            </w:r>
          </w:p>
        </w:tc>
      </w:tr>
    </w:tbl>
    <w:p w:rsidR="00AD7C24" w:rsidRDefault="00B44348">
      <w:pPr>
        <w:overflowPunct w:val="0"/>
        <w:spacing w:line="360" w:lineRule="auto"/>
        <w:jc w:val="center"/>
        <w:rPr>
          <w:rFonts w:eastAsia="黑体"/>
          <w:sz w:val="28"/>
          <w:szCs w:val="28"/>
        </w:rPr>
      </w:pPr>
      <w:r>
        <w:rPr>
          <w:rFonts w:eastAsia="黑体"/>
          <w:sz w:val="28"/>
          <w:szCs w:val="28"/>
        </w:rPr>
        <w:t>图</w:t>
      </w:r>
      <w:r>
        <w:rPr>
          <w:rFonts w:eastAsia="黑体"/>
          <w:sz w:val="28"/>
          <w:szCs w:val="28"/>
        </w:rPr>
        <w:t xml:space="preserve">1 </w:t>
      </w:r>
      <w:r>
        <w:rPr>
          <w:rFonts w:eastAsia="黑体"/>
          <w:sz w:val="28"/>
          <w:szCs w:val="28"/>
        </w:rPr>
        <w:t>脉搏血氧仪举例</w:t>
      </w:r>
    </w:p>
    <w:p w:rsidR="00AD7C24" w:rsidRDefault="00AD7C24">
      <w:pPr>
        <w:spacing w:line="520" w:lineRule="exact"/>
        <w:ind w:firstLineChars="200" w:firstLine="640"/>
        <w:rPr>
          <w:rFonts w:eastAsia="仿宋_GB2312"/>
          <w:kern w:val="0"/>
          <w:sz w:val="32"/>
          <w:szCs w:val="32"/>
        </w:rPr>
      </w:pPr>
    </w:p>
    <w:p w:rsidR="00AD7C24" w:rsidRDefault="00B44348">
      <w:pPr>
        <w:spacing w:line="520" w:lineRule="exact"/>
        <w:ind w:firstLineChars="200" w:firstLine="640"/>
        <w:outlineLvl w:val="2"/>
        <w:rPr>
          <w:rFonts w:eastAsia="仿宋_GB2312"/>
          <w:sz w:val="32"/>
          <w:szCs w:val="32"/>
        </w:rPr>
      </w:pPr>
      <w:r>
        <w:rPr>
          <w:rFonts w:eastAsia="仿宋_GB2312"/>
          <w:sz w:val="32"/>
          <w:szCs w:val="28"/>
        </w:rPr>
        <w:t>1.3</w:t>
      </w:r>
      <w:r>
        <w:rPr>
          <w:rFonts w:eastAsia="仿宋_GB2312"/>
          <w:sz w:val="32"/>
          <w:szCs w:val="32"/>
        </w:rPr>
        <w:t>型号规格</w:t>
      </w:r>
    </w:p>
    <w:p w:rsidR="00AD7C24" w:rsidRDefault="00B44348">
      <w:pPr>
        <w:spacing w:line="520" w:lineRule="exact"/>
        <w:ind w:firstLineChars="200" w:firstLine="640"/>
        <w:jc w:val="left"/>
        <w:rPr>
          <w:rFonts w:eastAsia="仿宋_GB2312"/>
          <w:sz w:val="32"/>
          <w:szCs w:val="28"/>
        </w:rPr>
      </w:pPr>
      <w:r>
        <w:rPr>
          <w:rFonts w:eastAsia="仿宋_GB2312"/>
          <w:sz w:val="32"/>
          <w:szCs w:val="28"/>
        </w:rPr>
        <w:t>申请人需要说明申报产品的型号规格。对于存在多种型号规格的产品，需明确各型号规格的区别。需采用对比表及带有说明性文字的图片、图表，对各种型号、规格的结构组成、功能、产品特征、性能指标等方面加以描述。</w:t>
      </w:r>
    </w:p>
    <w:p w:rsidR="00AD7C24" w:rsidRDefault="00B44348">
      <w:pPr>
        <w:spacing w:line="520" w:lineRule="exact"/>
        <w:ind w:firstLineChars="200" w:firstLine="640"/>
        <w:jc w:val="left"/>
        <w:rPr>
          <w:rFonts w:eastAsia="仿宋_GB2312"/>
          <w:sz w:val="32"/>
          <w:szCs w:val="32"/>
        </w:rPr>
      </w:pPr>
      <w:r>
        <w:rPr>
          <w:rFonts w:eastAsia="仿宋_GB2312"/>
          <w:kern w:val="0"/>
          <w:sz w:val="32"/>
          <w:szCs w:val="32"/>
        </w:rPr>
        <w:t>1.4</w:t>
      </w:r>
      <w:r>
        <w:rPr>
          <w:rFonts w:eastAsia="仿宋_GB2312"/>
          <w:sz w:val="32"/>
          <w:szCs w:val="32"/>
        </w:rPr>
        <w:t>研发历程</w:t>
      </w:r>
    </w:p>
    <w:p w:rsidR="00AD7C24" w:rsidRDefault="00B44348">
      <w:pPr>
        <w:pStyle w:val="af4"/>
        <w:widowControl w:val="0"/>
        <w:spacing w:line="520" w:lineRule="exact"/>
        <w:ind w:firstLine="624"/>
        <w:rPr>
          <w:rFonts w:ascii="Times New Roman" w:eastAsia="仿宋_GB2312" w:hAnsi="Times New Roman"/>
          <w:color w:val="auto"/>
          <w:sz w:val="32"/>
          <w:szCs w:val="28"/>
        </w:rPr>
      </w:pPr>
      <w:r>
        <w:rPr>
          <w:rFonts w:ascii="Times New Roman" w:eastAsia="仿宋_GB2312" w:hAnsi="Times New Roman"/>
          <w:bCs/>
          <w:color w:val="auto"/>
          <w:sz w:val="32"/>
          <w:szCs w:val="32"/>
        </w:rPr>
        <w:t>阐述申请注册产品的研发背景和目的。如有参考的同类产品或前代产品，需提供同类产品或前代产品的信息，并说明选择其作为研发参考的原因。</w:t>
      </w:r>
    </w:p>
    <w:p w:rsidR="00AD7C24" w:rsidRDefault="00B44348">
      <w:pPr>
        <w:pStyle w:val="af4"/>
        <w:widowControl w:val="0"/>
        <w:spacing w:line="520" w:lineRule="exact"/>
        <w:ind w:firstLine="640"/>
        <w:rPr>
          <w:rFonts w:ascii="Times New Roman" w:eastAsia="仿宋_GB2312" w:hAnsi="Times New Roman"/>
          <w:bCs/>
          <w:color w:val="auto"/>
          <w:sz w:val="32"/>
          <w:szCs w:val="32"/>
        </w:rPr>
      </w:pPr>
      <w:r>
        <w:rPr>
          <w:rFonts w:ascii="Times New Roman" w:eastAsia="仿宋_GB2312" w:hAnsi="Times New Roman"/>
          <w:color w:val="auto"/>
          <w:spacing w:val="0"/>
          <w:kern w:val="0"/>
          <w:sz w:val="32"/>
          <w:szCs w:val="32"/>
        </w:rPr>
        <w:t>1.5</w:t>
      </w:r>
      <w:r>
        <w:rPr>
          <w:rFonts w:ascii="Times New Roman" w:eastAsia="仿宋_GB2312" w:hAnsi="Times New Roman"/>
          <w:bCs/>
          <w:color w:val="auto"/>
          <w:sz w:val="32"/>
          <w:szCs w:val="32"/>
        </w:rPr>
        <w:t>与同类和</w:t>
      </w:r>
      <w:r>
        <w:rPr>
          <w:rFonts w:ascii="Times New Roman" w:eastAsia="仿宋_GB2312" w:hAnsi="Times New Roman"/>
          <w:bCs/>
          <w:color w:val="auto"/>
          <w:sz w:val="32"/>
          <w:szCs w:val="32"/>
        </w:rPr>
        <w:t>/</w:t>
      </w:r>
      <w:r>
        <w:rPr>
          <w:rFonts w:ascii="Times New Roman" w:eastAsia="仿宋_GB2312" w:hAnsi="Times New Roman"/>
          <w:bCs/>
          <w:color w:val="auto"/>
          <w:sz w:val="32"/>
          <w:szCs w:val="32"/>
        </w:rPr>
        <w:t>或前代产品的参考和比较</w:t>
      </w:r>
    </w:p>
    <w:p w:rsidR="00AD7C24" w:rsidRDefault="00B44348">
      <w:pPr>
        <w:pStyle w:val="af4"/>
        <w:widowControl w:val="0"/>
        <w:spacing w:line="520" w:lineRule="exact"/>
        <w:ind w:firstLine="624"/>
        <w:rPr>
          <w:rFonts w:ascii="Times New Roman" w:eastAsia="仿宋_GB2312" w:hAnsi="Times New Roman"/>
          <w:bCs/>
          <w:color w:val="auto"/>
          <w:sz w:val="32"/>
          <w:szCs w:val="32"/>
        </w:rPr>
      </w:pPr>
      <w:r>
        <w:rPr>
          <w:rFonts w:ascii="Times New Roman" w:eastAsia="仿宋_GB2312" w:hAnsi="Times New Roman"/>
          <w:bCs/>
          <w:color w:val="auto"/>
          <w:sz w:val="32"/>
          <w:szCs w:val="32"/>
        </w:rPr>
        <w:t>申请人应列表比较说明申报产品与同类产品和</w:t>
      </w:r>
      <w:r>
        <w:rPr>
          <w:rFonts w:ascii="Times New Roman" w:eastAsia="仿宋_GB2312" w:hAnsi="Times New Roman"/>
          <w:bCs/>
          <w:color w:val="auto"/>
          <w:sz w:val="32"/>
          <w:szCs w:val="32"/>
        </w:rPr>
        <w:t>/</w:t>
      </w:r>
      <w:r>
        <w:rPr>
          <w:rFonts w:ascii="Times New Roman" w:eastAsia="仿宋_GB2312" w:hAnsi="Times New Roman"/>
          <w:bCs/>
          <w:color w:val="auto"/>
          <w:sz w:val="32"/>
          <w:szCs w:val="32"/>
        </w:rPr>
        <w:t>或前代产品在工作原理、结构组成、性能指标、作用方式，以及适用范围等方面的异同。</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2.</w:t>
      </w:r>
      <w:r>
        <w:rPr>
          <w:rFonts w:eastAsia="仿宋_GB2312"/>
          <w:sz w:val="32"/>
          <w:szCs w:val="32"/>
        </w:rPr>
        <w:t>适用范围和禁忌证</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2.1</w:t>
      </w:r>
      <w:r>
        <w:rPr>
          <w:rFonts w:eastAsia="仿宋_GB2312"/>
          <w:kern w:val="0"/>
          <w:sz w:val="32"/>
          <w:szCs w:val="32"/>
        </w:rPr>
        <w:t>产品具体适用范围应与申报产品功能、临床应用范围相一致。</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例如：在医疗机构和家庭（如适用）中测量患者的脉搏血氧饱和度和脉率。</w:t>
      </w:r>
    </w:p>
    <w:p w:rsidR="00AD7C24" w:rsidRDefault="00B44348">
      <w:pPr>
        <w:spacing w:line="520" w:lineRule="exact"/>
        <w:ind w:firstLineChars="200" w:firstLine="640"/>
        <w:rPr>
          <w:rStyle w:val="f101"/>
          <w:rFonts w:eastAsia="仿宋_GB2312"/>
          <w:color w:val="000000" w:themeColor="text1"/>
          <w:sz w:val="32"/>
          <w:szCs w:val="32"/>
        </w:rPr>
      </w:pPr>
      <w:r>
        <w:rPr>
          <w:rFonts w:eastAsia="仿宋_GB2312"/>
          <w:color w:val="000000" w:themeColor="text1"/>
          <w:kern w:val="0"/>
          <w:sz w:val="32"/>
          <w:szCs w:val="32"/>
        </w:rPr>
        <w:lastRenderedPageBreak/>
        <w:t>2.2</w:t>
      </w:r>
      <w:r>
        <w:rPr>
          <w:rStyle w:val="f101"/>
          <w:rFonts w:eastAsia="仿宋_GB2312"/>
          <w:color w:val="000000" w:themeColor="text1"/>
          <w:sz w:val="32"/>
          <w:szCs w:val="32"/>
        </w:rPr>
        <w:t>预期使用环境</w:t>
      </w:r>
    </w:p>
    <w:p w:rsidR="00AD7C24" w:rsidRDefault="00B44348">
      <w:pPr>
        <w:spacing w:line="520" w:lineRule="exact"/>
        <w:ind w:firstLineChars="200" w:firstLine="640"/>
        <w:rPr>
          <w:rStyle w:val="f101"/>
          <w:rFonts w:eastAsia="仿宋_GB2312"/>
          <w:color w:val="000000" w:themeColor="text1"/>
          <w:sz w:val="32"/>
          <w:szCs w:val="32"/>
        </w:rPr>
      </w:pPr>
      <w:r>
        <w:rPr>
          <w:rStyle w:val="f101"/>
          <w:rFonts w:eastAsia="仿宋_GB2312"/>
          <w:color w:val="000000" w:themeColor="text1"/>
          <w:sz w:val="32"/>
          <w:szCs w:val="32"/>
        </w:rPr>
        <w:t>申请人应明确产品预期使用的地点，例如，医疗机构或家庭。</w:t>
      </w:r>
    </w:p>
    <w:p w:rsidR="00AD7C24" w:rsidRDefault="00B44348">
      <w:pPr>
        <w:spacing w:line="520" w:lineRule="exact"/>
        <w:ind w:firstLineChars="200" w:firstLine="640"/>
        <w:rPr>
          <w:rFonts w:eastAsia="仿宋_GB2312"/>
          <w:color w:val="000000" w:themeColor="text1"/>
          <w:kern w:val="0"/>
          <w:sz w:val="32"/>
          <w:szCs w:val="32"/>
        </w:rPr>
      </w:pPr>
      <w:r>
        <w:rPr>
          <w:rStyle w:val="f101"/>
          <w:rFonts w:eastAsia="仿宋_GB2312"/>
          <w:color w:val="000000" w:themeColor="text1"/>
          <w:sz w:val="32"/>
          <w:szCs w:val="32"/>
        </w:rPr>
        <w:t>申请人应明确产品预期使用的环境条件。重点关注可能影响产品安全性和有效性的环境条件，如温度、湿度、压力、移动、振动、海拔等。</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2.3</w:t>
      </w:r>
      <w:r>
        <w:rPr>
          <w:rFonts w:eastAsia="仿宋_GB2312"/>
          <w:kern w:val="0"/>
          <w:sz w:val="32"/>
          <w:szCs w:val="32"/>
        </w:rPr>
        <w:t>禁忌证</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视产品实际情况说明。</w:t>
      </w:r>
    </w:p>
    <w:p w:rsidR="00AD7C24" w:rsidRDefault="00B44348">
      <w:pPr>
        <w:spacing w:line="520" w:lineRule="exact"/>
        <w:ind w:firstLineChars="200" w:firstLine="640"/>
        <w:jc w:val="left"/>
        <w:outlineLvl w:val="2"/>
        <w:rPr>
          <w:rFonts w:eastAsia="仿宋_GB2312"/>
          <w:sz w:val="32"/>
          <w:szCs w:val="28"/>
          <w:lang w:val="zh-TW" w:eastAsia="zh-TW"/>
        </w:rPr>
      </w:pPr>
      <w:r>
        <w:rPr>
          <w:rFonts w:eastAsia="仿宋_GB2312"/>
          <w:kern w:val="0"/>
          <w:sz w:val="32"/>
          <w:szCs w:val="32"/>
        </w:rPr>
        <w:t>3.</w:t>
      </w:r>
      <w:r>
        <w:rPr>
          <w:rFonts w:eastAsia="仿宋_GB2312"/>
          <w:sz w:val="32"/>
          <w:szCs w:val="32"/>
          <w:lang w:val="zh-TW" w:eastAsia="zh-TW"/>
        </w:rPr>
        <w:t>产品的不良事件历史记录</w:t>
      </w:r>
    </w:p>
    <w:p w:rsidR="00AD7C24" w:rsidRDefault="00B44348">
      <w:pPr>
        <w:spacing w:line="520" w:lineRule="exact"/>
        <w:ind w:firstLine="640"/>
        <w:rPr>
          <w:rFonts w:eastAsia="仿宋_GB2312"/>
          <w:bCs/>
          <w:sz w:val="32"/>
          <w:szCs w:val="32"/>
          <w:lang w:val="zh-TW" w:eastAsia="zh-TW"/>
        </w:rPr>
      </w:pPr>
      <w:r>
        <w:rPr>
          <w:rFonts w:eastAsia="仿宋_GB2312"/>
          <w:bCs/>
          <w:sz w:val="32"/>
          <w:szCs w:val="32"/>
          <w:lang w:val="zh-TW"/>
        </w:rPr>
        <w:t>提供</w:t>
      </w:r>
      <w:r>
        <w:rPr>
          <w:rFonts w:eastAsia="仿宋_GB2312"/>
          <w:bCs/>
          <w:sz w:val="32"/>
          <w:szCs w:val="32"/>
          <w:lang w:val="zh-TW" w:eastAsia="zh-TW"/>
        </w:rPr>
        <w:t>申报产品的不良事件历史记录，可在各国监管机构发布的不良事件资料库中查询相应不良事件数据。</w:t>
      </w:r>
    </w:p>
    <w:p w:rsidR="00AD7C24" w:rsidRDefault="00B44348">
      <w:pPr>
        <w:spacing w:line="520" w:lineRule="exact"/>
        <w:ind w:left="640"/>
        <w:outlineLvl w:val="2"/>
        <w:rPr>
          <w:rFonts w:eastAsia="仿宋_GB2312"/>
          <w:sz w:val="32"/>
          <w:szCs w:val="32"/>
        </w:rPr>
      </w:pPr>
      <w:bookmarkStart w:id="0" w:name="_Toc112680023"/>
      <w:r>
        <w:rPr>
          <w:rFonts w:eastAsia="仿宋_GB2312"/>
          <w:kern w:val="0"/>
          <w:sz w:val="32"/>
          <w:szCs w:val="32"/>
        </w:rPr>
        <w:t>4.</w:t>
      </w:r>
      <w:r>
        <w:rPr>
          <w:rFonts w:eastAsia="仿宋_GB2312"/>
          <w:sz w:val="32"/>
          <w:szCs w:val="32"/>
        </w:rPr>
        <w:t>其他需说明的内容</w:t>
      </w:r>
      <w:bookmarkEnd w:id="0"/>
    </w:p>
    <w:p w:rsidR="00AD7C24" w:rsidRDefault="00B44348">
      <w:pPr>
        <w:spacing w:line="520" w:lineRule="exact"/>
        <w:ind w:firstLine="640"/>
        <w:rPr>
          <w:rFonts w:eastAsia="仿宋_GB2312"/>
          <w:bCs/>
          <w:sz w:val="32"/>
          <w:szCs w:val="32"/>
        </w:rPr>
      </w:pPr>
      <w:r>
        <w:rPr>
          <w:rFonts w:eastAsia="仿宋_GB2312"/>
          <w:bCs/>
          <w:sz w:val="32"/>
          <w:szCs w:val="32"/>
        </w:rPr>
        <w:t>如适用，申请人应明确与申报产品联合使用实现预期用途的其他产品的详细信息。</w:t>
      </w:r>
    </w:p>
    <w:p w:rsidR="00AD7C24" w:rsidRDefault="00B44348">
      <w:pPr>
        <w:spacing w:line="520" w:lineRule="exact"/>
        <w:ind w:firstLine="640"/>
        <w:rPr>
          <w:rFonts w:eastAsia="仿宋_GB2312"/>
          <w:bCs/>
          <w:sz w:val="32"/>
          <w:szCs w:val="32"/>
        </w:rPr>
      </w:pPr>
      <w:r>
        <w:rPr>
          <w:rFonts w:eastAsia="仿宋_GB2312"/>
          <w:bCs/>
          <w:sz w:val="32"/>
          <w:szCs w:val="32"/>
        </w:rPr>
        <w:t>对于已获得批准的部件或配合使用的附件，申请人应提供注册证编号和国家药监局官方网站公布的注册证信息。</w:t>
      </w:r>
    </w:p>
    <w:p w:rsidR="00AD7C24" w:rsidRDefault="00B44348">
      <w:pPr>
        <w:spacing w:line="520" w:lineRule="exact"/>
        <w:ind w:firstLineChars="200" w:firstLine="640"/>
        <w:outlineLvl w:val="1"/>
        <w:rPr>
          <w:rFonts w:eastAsia="楷体_GB2312"/>
          <w:bCs/>
          <w:sz w:val="32"/>
          <w:szCs w:val="32"/>
        </w:rPr>
      </w:pPr>
      <w:r>
        <w:rPr>
          <w:rFonts w:eastAsia="楷体_GB2312"/>
          <w:bCs/>
          <w:sz w:val="32"/>
          <w:szCs w:val="32"/>
        </w:rPr>
        <w:t>（三）非临床资料</w:t>
      </w:r>
    </w:p>
    <w:p w:rsidR="00AD7C24" w:rsidRDefault="00B44348">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产品风险管理资料</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依据</w:t>
      </w:r>
      <w:r>
        <w:rPr>
          <w:rFonts w:eastAsia="仿宋_GB2312"/>
          <w:snapToGrid w:val="0"/>
          <w:kern w:val="0"/>
          <w:sz w:val="32"/>
          <w:szCs w:val="32"/>
        </w:rPr>
        <w:t>GB/T 42062</w:t>
      </w:r>
      <w:r>
        <w:rPr>
          <w:rFonts w:eastAsia="仿宋_GB2312"/>
          <w:snapToGrid w:val="0"/>
          <w:kern w:val="0"/>
          <w:sz w:val="32"/>
          <w:szCs w:val="32"/>
        </w:rPr>
        <w:t>《医疗器械风险管理对医疗器械的应用》，</w:t>
      </w:r>
      <w:r>
        <w:rPr>
          <w:rFonts w:eastAsia="仿宋_GB2312"/>
          <w:snapToGrid w:val="0"/>
          <w:kern w:val="0"/>
          <w:sz w:val="32"/>
          <w:szCs w:val="32"/>
          <w:lang w:val="zh-CN"/>
        </w:rPr>
        <w:t>提供产品风险管理资料。</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lang w:val="zh-CN"/>
        </w:rPr>
        <w:t>申请人需重点说明：在申报产品上市前已对可能的危害及产生的风险进行了估计和评价，针对性地实施了降低风险的措施。申请人对所有剩余风险进行了评价，全部达到可接受的水平。产品风险分析资料需为申请人关于产品安全性的承诺提供支持。</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产品风险管理资料一般包括以下内容：</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lastRenderedPageBreak/>
        <w:t>1.1</w:t>
      </w:r>
      <w:r>
        <w:rPr>
          <w:rFonts w:eastAsia="仿宋_GB2312"/>
          <w:snapToGrid w:val="0"/>
          <w:kern w:val="0"/>
          <w:sz w:val="32"/>
          <w:szCs w:val="32"/>
          <w:lang w:val="zh-CN"/>
        </w:rPr>
        <w:t>申报产品的风险管理组织。</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1.2</w:t>
      </w:r>
      <w:r>
        <w:rPr>
          <w:rFonts w:eastAsia="仿宋_GB2312"/>
          <w:snapToGrid w:val="0"/>
          <w:kern w:val="0"/>
          <w:sz w:val="32"/>
          <w:szCs w:val="32"/>
          <w:lang w:val="zh-CN"/>
        </w:rPr>
        <w:t>申报产品的组成。</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1.3</w:t>
      </w:r>
      <w:r>
        <w:rPr>
          <w:rFonts w:eastAsia="仿宋_GB2312"/>
          <w:snapToGrid w:val="0"/>
          <w:kern w:val="0"/>
          <w:sz w:val="32"/>
          <w:szCs w:val="32"/>
          <w:lang w:val="zh-CN"/>
        </w:rPr>
        <w:t>申报产品符合的安全标准。</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1.4</w:t>
      </w:r>
      <w:r>
        <w:rPr>
          <w:rFonts w:eastAsia="仿宋_GB2312"/>
          <w:snapToGrid w:val="0"/>
          <w:kern w:val="0"/>
          <w:sz w:val="32"/>
          <w:szCs w:val="32"/>
          <w:lang w:val="zh-CN"/>
        </w:rPr>
        <w:t>申报产品的预期用途，与安全性有关的特征的判定。</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1.5</w:t>
      </w:r>
      <w:r>
        <w:rPr>
          <w:rFonts w:eastAsia="仿宋_GB2312"/>
          <w:snapToGrid w:val="0"/>
          <w:kern w:val="0"/>
          <w:sz w:val="32"/>
          <w:szCs w:val="32"/>
          <w:lang w:val="zh-CN"/>
        </w:rPr>
        <w:t>对申报产品的可能危害</w:t>
      </w:r>
      <w:proofErr w:type="gramStart"/>
      <w:r>
        <w:rPr>
          <w:rFonts w:eastAsia="仿宋_GB2312"/>
          <w:snapToGrid w:val="0"/>
          <w:kern w:val="0"/>
          <w:sz w:val="32"/>
          <w:szCs w:val="32"/>
          <w:lang w:val="zh-CN"/>
        </w:rPr>
        <w:t>作出</w:t>
      </w:r>
      <w:proofErr w:type="gramEnd"/>
      <w:r>
        <w:rPr>
          <w:rFonts w:eastAsia="仿宋_GB2312"/>
          <w:snapToGrid w:val="0"/>
          <w:kern w:val="0"/>
          <w:sz w:val="32"/>
          <w:szCs w:val="32"/>
          <w:lang w:val="zh-CN"/>
        </w:rPr>
        <w:t>判定（见附件）。</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rPr>
        <w:t>1.6</w:t>
      </w:r>
      <w:r>
        <w:rPr>
          <w:rFonts w:eastAsia="仿宋_GB2312"/>
          <w:snapToGrid w:val="0"/>
          <w:kern w:val="0"/>
          <w:sz w:val="32"/>
          <w:szCs w:val="32"/>
          <w:lang w:val="zh-CN"/>
        </w:rPr>
        <w:t>对所判定的危害采取的降低风险的控制措施。</w:t>
      </w:r>
    </w:p>
    <w:p w:rsidR="00AD7C24" w:rsidRDefault="00B44348">
      <w:pPr>
        <w:overflowPunct w:val="0"/>
        <w:autoSpaceDE w:val="0"/>
        <w:autoSpaceDN w:val="0"/>
        <w:adjustRightInd w:val="0"/>
        <w:spacing w:line="520" w:lineRule="exact"/>
        <w:ind w:firstLineChars="200" w:firstLine="640"/>
      </w:pPr>
      <w:r>
        <w:rPr>
          <w:rFonts w:eastAsia="仿宋_GB2312"/>
          <w:snapToGrid w:val="0"/>
          <w:kern w:val="0"/>
          <w:sz w:val="32"/>
          <w:szCs w:val="32"/>
        </w:rPr>
        <w:t>1.7</w:t>
      </w:r>
      <w:r>
        <w:rPr>
          <w:rFonts w:eastAsia="仿宋_GB2312"/>
          <w:snapToGrid w:val="0"/>
          <w:kern w:val="0"/>
          <w:sz w:val="32"/>
          <w:szCs w:val="32"/>
          <w:lang w:val="zh-CN"/>
        </w:rPr>
        <w:t>对采取控制措施后的剩余风险进行估计和评价</w:t>
      </w:r>
      <w:r>
        <w:t>。</w:t>
      </w:r>
    </w:p>
    <w:p w:rsidR="00AD7C24" w:rsidRDefault="00B44348">
      <w:pPr>
        <w:spacing w:line="520" w:lineRule="exact"/>
        <w:ind w:firstLineChars="200" w:firstLine="640"/>
        <w:outlineLvl w:val="1"/>
        <w:rPr>
          <w:rFonts w:eastAsia="仿宋_GB2312"/>
          <w:bCs/>
          <w:sz w:val="32"/>
          <w:szCs w:val="28"/>
        </w:rPr>
      </w:pPr>
      <w:r>
        <w:rPr>
          <w:rFonts w:eastAsia="仿宋_GB2312"/>
          <w:kern w:val="0"/>
          <w:sz w:val="32"/>
          <w:szCs w:val="32"/>
        </w:rPr>
        <w:t>2.</w:t>
      </w:r>
      <w:r>
        <w:rPr>
          <w:rFonts w:eastAsia="仿宋_GB2312"/>
          <w:kern w:val="0"/>
          <w:sz w:val="32"/>
          <w:szCs w:val="32"/>
        </w:rPr>
        <w:t>医疗器械安全和性能基本原则清单</w:t>
      </w:r>
    </w:p>
    <w:p w:rsidR="00AD7C24" w:rsidRDefault="00B44348">
      <w:pPr>
        <w:spacing w:line="520" w:lineRule="exact"/>
        <w:ind w:firstLineChars="200" w:firstLine="640"/>
        <w:outlineLvl w:val="1"/>
        <w:rPr>
          <w:rFonts w:eastAsia="仿宋_GB2312"/>
          <w:bCs/>
          <w:sz w:val="32"/>
          <w:szCs w:val="28"/>
        </w:rPr>
      </w:pPr>
      <w:r>
        <w:rPr>
          <w:rFonts w:eastAsia="仿宋_GB2312"/>
          <w:bCs/>
          <w:sz w:val="32"/>
          <w:szCs w:val="28"/>
        </w:rPr>
        <w:t>说明产品符合《医疗器械安全和性能基本原则清单》各项适用要求所采用的方法，以及证明其符合性的文件。对于不适用的各项要求，应当说明理由。</w:t>
      </w:r>
    </w:p>
    <w:p w:rsidR="00AD7C24" w:rsidRDefault="00B44348">
      <w:pPr>
        <w:spacing w:line="520" w:lineRule="exact"/>
        <w:ind w:firstLineChars="200" w:firstLine="640"/>
        <w:outlineLvl w:val="2"/>
        <w:rPr>
          <w:rFonts w:eastAsia="仿宋_GB2312"/>
          <w:sz w:val="32"/>
          <w:szCs w:val="32"/>
        </w:rPr>
      </w:pPr>
      <w:r>
        <w:rPr>
          <w:rFonts w:eastAsia="仿宋_GB2312"/>
          <w:sz w:val="32"/>
          <w:szCs w:val="32"/>
        </w:rPr>
        <w:t>3.</w:t>
      </w:r>
      <w:r>
        <w:rPr>
          <w:rFonts w:eastAsia="仿宋_GB2312"/>
          <w:sz w:val="32"/>
          <w:szCs w:val="32"/>
        </w:rPr>
        <w:t>产品技术要求及检验报告</w:t>
      </w:r>
    </w:p>
    <w:p w:rsidR="00AD7C24" w:rsidRDefault="00B44348">
      <w:pPr>
        <w:spacing w:line="520" w:lineRule="exact"/>
        <w:ind w:firstLineChars="200" w:firstLine="640"/>
        <w:outlineLvl w:val="2"/>
        <w:rPr>
          <w:rFonts w:eastAsia="仿宋_GB2312"/>
          <w:sz w:val="32"/>
          <w:szCs w:val="32"/>
        </w:rPr>
      </w:pPr>
      <w:r>
        <w:rPr>
          <w:rFonts w:eastAsia="仿宋_GB2312"/>
          <w:sz w:val="32"/>
          <w:szCs w:val="32"/>
        </w:rPr>
        <w:t>3.1</w:t>
      </w:r>
      <w:r>
        <w:rPr>
          <w:rFonts w:eastAsia="仿宋_GB2312"/>
          <w:sz w:val="32"/>
          <w:szCs w:val="32"/>
        </w:rPr>
        <w:t>申报产品适用标准情况</w:t>
      </w:r>
    </w:p>
    <w:p w:rsidR="00AD7C24" w:rsidRDefault="00B44348">
      <w:pPr>
        <w:spacing w:line="520" w:lineRule="exact"/>
        <w:ind w:firstLineChars="200" w:firstLine="640"/>
        <w:outlineLvl w:val="2"/>
        <w:rPr>
          <w:rFonts w:eastAsia="仿宋_GB2312"/>
          <w:sz w:val="32"/>
          <w:szCs w:val="32"/>
        </w:rPr>
      </w:pPr>
      <w:r>
        <w:rPr>
          <w:rFonts w:eastAsia="仿宋_GB2312"/>
          <w:sz w:val="32"/>
          <w:szCs w:val="32"/>
        </w:rPr>
        <w:t>申报产品应当符合适用的强制性标准。对于强制性行业标准，若申报产品结构特征、预期用途、使用方式等与强制</w:t>
      </w:r>
      <w:r>
        <w:rPr>
          <w:rFonts w:eastAsia="仿宋_GB2312"/>
          <w:bCs/>
          <w:sz w:val="32"/>
          <w:szCs w:val="32"/>
        </w:rPr>
        <w:t>性标准的适用范围不一致，申请人应当提出不适用强制性标准的说明，并提供经验证的证明性资料。</w:t>
      </w:r>
      <w:r>
        <w:rPr>
          <w:rFonts w:eastAsia="仿宋_GB2312"/>
          <w:sz w:val="32"/>
          <w:szCs w:val="28"/>
        </w:rPr>
        <w:t>如有其他产品功能，企业应根据产品的技术特性，参考相应的</w:t>
      </w:r>
      <w:r>
        <w:rPr>
          <w:rFonts w:eastAsia="仿宋_GB2312"/>
          <w:sz w:val="32"/>
          <w:szCs w:val="28"/>
        </w:rPr>
        <w:t>国家标准、行业标准。</w:t>
      </w:r>
    </w:p>
    <w:p w:rsidR="00AD7C24" w:rsidRDefault="00B44348">
      <w:pPr>
        <w:spacing w:line="520" w:lineRule="exact"/>
        <w:ind w:firstLineChars="200" w:firstLine="640"/>
        <w:outlineLvl w:val="2"/>
        <w:rPr>
          <w:rFonts w:eastAsia="仿宋_GB2312"/>
          <w:sz w:val="32"/>
          <w:szCs w:val="32"/>
        </w:rPr>
      </w:pPr>
      <w:r>
        <w:rPr>
          <w:rFonts w:eastAsia="仿宋_GB2312"/>
          <w:sz w:val="32"/>
          <w:szCs w:val="32"/>
        </w:rPr>
        <w:t>3.2</w:t>
      </w:r>
      <w:r>
        <w:rPr>
          <w:rFonts w:eastAsia="仿宋_GB2312"/>
          <w:sz w:val="32"/>
          <w:szCs w:val="32"/>
        </w:rPr>
        <w:t>产品技术要求</w:t>
      </w:r>
    </w:p>
    <w:p w:rsidR="00AD7C24" w:rsidRDefault="00B44348">
      <w:pPr>
        <w:spacing w:line="520" w:lineRule="exact"/>
        <w:ind w:firstLine="640"/>
        <w:rPr>
          <w:rFonts w:eastAsia="仿宋_GB2312"/>
          <w:bCs/>
          <w:sz w:val="32"/>
          <w:szCs w:val="32"/>
        </w:rPr>
      </w:pPr>
      <w:r>
        <w:rPr>
          <w:rFonts w:eastAsia="仿宋_GB2312"/>
          <w:bCs/>
          <w:sz w:val="32"/>
          <w:szCs w:val="32"/>
        </w:rPr>
        <w:t>产品技术要求应按照《医疗器械产品技术要求编写指导原则》等规范性文件进行编制。</w:t>
      </w:r>
    </w:p>
    <w:p w:rsidR="00AD7C24" w:rsidRDefault="00B44348">
      <w:pPr>
        <w:spacing w:line="560" w:lineRule="exact"/>
        <w:ind w:firstLineChars="200" w:firstLine="640"/>
        <w:rPr>
          <w:rFonts w:eastAsia="仿宋_GB2312"/>
          <w:sz w:val="32"/>
          <w:szCs w:val="32"/>
        </w:rPr>
      </w:pPr>
      <w:r>
        <w:rPr>
          <w:rFonts w:eastAsia="仿宋_GB2312"/>
          <w:sz w:val="32"/>
          <w:szCs w:val="32"/>
        </w:rPr>
        <w:t>3.2.1</w:t>
      </w:r>
      <w:r>
        <w:rPr>
          <w:rFonts w:eastAsia="仿宋_GB2312"/>
          <w:sz w:val="32"/>
          <w:szCs w:val="32"/>
        </w:rPr>
        <w:t>产品型号</w:t>
      </w:r>
      <w:r>
        <w:rPr>
          <w:rFonts w:eastAsia="仿宋_GB2312"/>
          <w:sz w:val="32"/>
          <w:szCs w:val="32"/>
        </w:rPr>
        <w:t>/</w:t>
      </w:r>
      <w:r>
        <w:rPr>
          <w:rFonts w:eastAsia="仿宋_GB2312"/>
          <w:sz w:val="32"/>
          <w:szCs w:val="32"/>
        </w:rPr>
        <w:t>规格及其划分说明</w:t>
      </w:r>
    </w:p>
    <w:p w:rsidR="00AD7C24" w:rsidRDefault="00B44348">
      <w:pPr>
        <w:spacing w:line="500" w:lineRule="exact"/>
        <w:ind w:rightChars="-32" w:right="-67" w:firstLineChars="200" w:firstLine="640"/>
        <w:rPr>
          <w:rFonts w:eastAsia="仿宋_GB2312"/>
          <w:sz w:val="32"/>
          <w:szCs w:val="32"/>
        </w:rPr>
      </w:pPr>
      <w:r>
        <w:rPr>
          <w:rFonts w:eastAsia="仿宋_GB2312"/>
          <w:sz w:val="32"/>
          <w:szCs w:val="32"/>
        </w:rPr>
        <w:t>应明确产品型号</w:t>
      </w:r>
      <w:r>
        <w:rPr>
          <w:rFonts w:eastAsia="仿宋_GB2312"/>
          <w:sz w:val="32"/>
          <w:szCs w:val="32"/>
        </w:rPr>
        <w:t>/</w:t>
      </w:r>
      <w:r>
        <w:rPr>
          <w:rFonts w:eastAsia="仿宋_GB2312"/>
          <w:sz w:val="32"/>
          <w:szCs w:val="32"/>
        </w:rPr>
        <w:t>规格。若产品有多个型号，应明确不同型号、规格的划分说明。</w:t>
      </w:r>
    </w:p>
    <w:p w:rsidR="00AD7C24" w:rsidRDefault="00B44348">
      <w:pPr>
        <w:spacing w:line="560" w:lineRule="exact"/>
        <w:ind w:firstLineChars="200" w:firstLine="640"/>
        <w:rPr>
          <w:rFonts w:eastAsia="仿宋_GB2312"/>
          <w:sz w:val="32"/>
          <w:szCs w:val="32"/>
        </w:rPr>
      </w:pPr>
      <w:r>
        <w:rPr>
          <w:rFonts w:eastAsia="仿宋_GB2312"/>
          <w:sz w:val="32"/>
          <w:szCs w:val="32"/>
        </w:rPr>
        <w:t>若含有软件，应按照《医疗器械软件注册审查指导原则</w:t>
      </w:r>
      <w:r>
        <w:rPr>
          <w:rFonts w:eastAsia="仿宋_GB2312"/>
          <w:sz w:val="32"/>
          <w:szCs w:val="32"/>
        </w:rPr>
        <w:lastRenderedPageBreak/>
        <w:t>（</w:t>
      </w:r>
      <w:r>
        <w:rPr>
          <w:rFonts w:eastAsia="仿宋_GB2312"/>
          <w:sz w:val="32"/>
          <w:szCs w:val="32"/>
        </w:rPr>
        <w:t>2022</w:t>
      </w:r>
      <w:r>
        <w:rPr>
          <w:rFonts w:eastAsia="仿宋_GB2312"/>
          <w:sz w:val="32"/>
          <w:szCs w:val="32"/>
        </w:rPr>
        <w:t>年修订版）》的要求，明确软件名称、型号规格（如适用）、发布版本、版本命名规则等。</w:t>
      </w:r>
    </w:p>
    <w:p w:rsidR="00AD7C24" w:rsidRDefault="00B44348">
      <w:pPr>
        <w:spacing w:line="520" w:lineRule="exact"/>
        <w:ind w:firstLineChars="200" w:firstLine="640"/>
        <w:rPr>
          <w:rFonts w:eastAsia="仿宋_GB2312"/>
          <w:kern w:val="0"/>
          <w:sz w:val="32"/>
          <w:szCs w:val="28"/>
        </w:rPr>
      </w:pPr>
      <w:r>
        <w:rPr>
          <w:rFonts w:eastAsia="仿宋_GB2312"/>
          <w:sz w:val="32"/>
          <w:szCs w:val="32"/>
        </w:rPr>
        <w:t>3.2.2</w:t>
      </w:r>
      <w:r>
        <w:rPr>
          <w:rFonts w:eastAsia="仿宋_GB2312"/>
          <w:kern w:val="0"/>
          <w:sz w:val="32"/>
          <w:szCs w:val="28"/>
        </w:rPr>
        <w:t>功能指标</w:t>
      </w:r>
    </w:p>
    <w:p w:rsidR="00AD7C24" w:rsidRDefault="00B44348">
      <w:pPr>
        <w:overflowPunct w:val="0"/>
        <w:adjustRightInd w:val="0"/>
        <w:snapToGrid w:val="0"/>
        <w:spacing w:line="560" w:lineRule="exact"/>
        <w:ind w:firstLineChars="200" w:firstLine="640"/>
        <w:rPr>
          <w:rFonts w:eastAsia="仿宋_GB2312"/>
          <w:kern w:val="0"/>
          <w:sz w:val="32"/>
          <w:szCs w:val="28"/>
        </w:rPr>
      </w:pPr>
      <w:r>
        <w:rPr>
          <w:rFonts w:eastAsia="仿宋_GB2312"/>
          <w:sz w:val="32"/>
          <w:szCs w:val="32"/>
        </w:rPr>
        <w:t>3.2.2</w:t>
      </w:r>
      <w:r>
        <w:rPr>
          <w:rFonts w:eastAsia="仿宋_GB2312"/>
          <w:kern w:val="0"/>
          <w:sz w:val="32"/>
          <w:szCs w:val="28"/>
        </w:rPr>
        <w:t>.1</w:t>
      </w:r>
      <w:r>
        <w:rPr>
          <w:rFonts w:eastAsia="仿宋_GB2312"/>
          <w:kern w:val="0"/>
          <w:sz w:val="32"/>
          <w:szCs w:val="28"/>
        </w:rPr>
        <w:t>血氧饱和度测量部分</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w:t>
      </w:r>
      <w:r>
        <w:rPr>
          <w:rFonts w:eastAsia="仿宋_GB2312"/>
          <w:sz w:val="32"/>
          <w:szCs w:val="28"/>
        </w:rPr>
        <w:t>）测量范围</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应不小于</w:t>
      </w:r>
      <w:r>
        <w:rPr>
          <w:rFonts w:eastAsia="仿宋_GB2312"/>
          <w:sz w:val="32"/>
          <w:szCs w:val="28"/>
        </w:rPr>
        <w:t>70%</w:t>
      </w:r>
      <w:r>
        <w:rPr>
          <w:rFonts w:eastAsia="仿宋_GB2312"/>
          <w:sz w:val="32"/>
          <w:szCs w:val="28"/>
        </w:rPr>
        <w:t>至</w:t>
      </w:r>
      <w:r>
        <w:rPr>
          <w:rFonts w:eastAsia="仿宋_GB2312"/>
          <w:sz w:val="32"/>
          <w:szCs w:val="28"/>
        </w:rPr>
        <w:t>100%</w:t>
      </w:r>
      <w:r>
        <w:rPr>
          <w:rFonts w:eastAsia="仿宋_GB2312"/>
          <w:sz w:val="32"/>
          <w:szCs w:val="28"/>
        </w:rPr>
        <w:t>的范围，如适用于不同人群（成人、儿童和新生儿）且测量范围不同，应考虑将测量范围分开宣称。</w:t>
      </w:r>
    </w:p>
    <w:p w:rsidR="00AD7C24" w:rsidRDefault="00B44348">
      <w:pPr>
        <w:numPr>
          <w:ilvl w:val="0"/>
          <w:numId w:val="1"/>
        </w:numPr>
        <w:overflowPunct w:val="0"/>
        <w:adjustRightInd w:val="0"/>
        <w:snapToGrid w:val="0"/>
        <w:spacing w:line="560" w:lineRule="exact"/>
        <w:ind w:firstLineChars="200" w:firstLine="640"/>
        <w:rPr>
          <w:rFonts w:eastAsia="仿宋_GB2312"/>
          <w:sz w:val="32"/>
          <w:szCs w:val="28"/>
        </w:rPr>
      </w:pPr>
      <w:r>
        <w:rPr>
          <w:rFonts w:eastAsia="仿宋_GB2312"/>
          <w:sz w:val="32"/>
          <w:szCs w:val="28"/>
        </w:rPr>
        <w:t>准确度</w:t>
      </w:r>
    </w:p>
    <w:p w:rsidR="00AD7C24" w:rsidRDefault="00B44348">
      <w:pPr>
        <w:pStyle w:val="a0"/>
        <w:spacing w:line="56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如适用于不同人群（成人、儿童和新生儿）且准确度不同，应考虑将准确度分开宣称。</w:t>
      </w:r>
    </w:p>
    <w:p w:rsidR="00AD7C24" w:rsidRDefault="00B44348">
      <w:pPr>
        <w:pStyle w:val="a0"/>
        <w:spacing w:line="56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如适用于运动状态和非运动状态，应考虑将准确度分开宣称。</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3</w:t>
      </w:r>
      <w:r>
        <w:rPr>
          <w:rFonts w:eastAsia="仿宋_GB2312"/>
          <w:sz w:val="32"/>
          <w:szCs w:val="28"/>
        </w:rPr>
        <w:t>）报警设置范围（如适用）</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4</w:t>
      </w:r>
      <w:r>
        <w:rPr>
          <w:rFonts w:eastAsia="仿宋_GB2312"/>
          <w:sz w:val="32"/>
          <w:szCs w:val="28"/>
        </w:rPr>
        <w:t>）报警误差（如适用）</w:t>
      </w:r>
    </w:p>
    <w:p w:rsidR="00AD7C24" w:rsidRDefault="00B44348">
      <w:pPr>
        <w:overflowPunct w:val="0"/>
        <w:adjustRightInd w:val="0"/>
        <w:snapToGrid w:val="0"/>
        <w:spacing w:line="560" w:lineRule="exact"/>
        <w:ind w:firstLineChars="200" w:firstLine="640"/>
        <w:rPr>
          <w:rFonts w:eastAsia="仿宋_GB2312"/>
          <w:kern w:val="0"/>
          <w:sz w:val="32"/>
          <w:szCs w:val="28"/>
        </w:rPr>
      </w:pPr>
      <w:r>
        <w:rPr>
          <w:rFonts w:eastAsia="仿宋_GB2312"/>
          <w:sz w:val="32"/>
          <w:szCs w:val="32"/>
        </w:rPr>
        <w:t>3.2.2</w:t>
      </w:r>
      <w:r>
        <w:rPr>
          <w:rFonts w:eastAsia="仿宋_GB2312"/>
          <w:kern w:val="0"/>
          <w:sz w:val="32"/>
          <w:szCs w:val="28"/>
        </w:rPr>
        <w:t>.2</w:t>
      </w:r>
      <w:r>
        <w:rPr>
          <w:rFonts w:eastAsia="仿宋_GB2312"/>
          <w:kern w:val="0"/>
          <w:sz w:val="32"/>
          <w:szCs w:val="28"/>
        </w:rPr>
        <w:t>脉率测量部分</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w:t>
      </w:r>
      <w:r>
        <w:rPr>
          <w:rFonts w:eastAsia="仿宋_GB2312"/>
          <w:sz w:val="32"/>
          <w:szCs w:val="28"/>
        </w:rPr>
        <w:t>）测量范围</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一般可定为</w:t>
      </w:r>
      <w:r>
        <w:rPr>
          <w:rFonts w:eastAsia="仿宋_GB2312"/>
          <w:sz w:val="32"/>
          <w:szCs w:val="28"/>
        </w:rPr>
        <w:t>25</w:t>
      </w:r>
      <w:r>
        <w:rPr>
          <w:rFonts w:eastAsia="仿宋_GB2312"/>
          <w:sz w:val="32"/>
          <w:szCs w:val="28"/>
        </w:rPr>
        <w:t>次</w:t>
      </w:r>
      <w:r>
        <w:rPr>
          <w:rFonts w:eastAsia="仿宋_GB2312"/>
          <w:sz w:val="32"/>
          <w:szCs w:val="28"/>
        </w:rPr>
        <w:t>/</w:t>
      </w:r>
      <w:r>
        <w:rPr>
          <w:rFonts w:eastAsia="仿宋_GB2312"/>
          <w:sz w:val="32"/>
          <w:szCs w:val="28"/>
        </w:rPr>
        <w:t>分（</w:t>
      </w:r>
      <w:r>
        <w:rPr>
          <w:rFonts w:eastAsia="仿宋_GB2312"/>
          <w:sz w:val="32"/>
          <w:szCs w:val="28"/>
        </w:rPr>
        <w:t>bpm</w:t>
      </w:r>
      <w:r>
        <w:rPr>
          <w:rFonts w:eastAsia="仿宋_GB2312"/>
          <w:sz w:val="32"/>
          <w:szCs w:val="28"/>
        </w:rPr>
        <w:t>）至</w:t>
      </w:r>
      <w:r>
        <w:rPr>
          <w:rFonts w:eastAsia="仿宋_GB2312"/>
          <w:sz w:val="32"/>
          <w:szCs w:val="28"/>
        </w:rPr>
        <w:t>250</w:t>
      </w:r>
      <w:r>
        <w:rPr>
          <w:rFonts w:eastAsia="仿宋_GB2312"/>
          <w:sz w:val="32"/>
          <w:szCs w:val="28"/>
        </w:rPr>
        <w:t>次</w:t>
      </w:r>
      <w:r>
        <w:rPr>
          <w:rFonts w:eastAsia="仿宋_GB2312"/>
          <w:sz w:val="32"/>
          <w:szCs w:val="28"/>
        </w:rPr>
        <w:t>/</w:t>
      </w:r>
      <w:r>
        <w:rPr>
          <w:rFonts w:eastAsia="仿宋_GB2312"/>
          <w:sz w:val="32"/>
          <w:szCs w:val="28"/>
        </w:rPr>
        <w:t>分（</w:t>
      </w:r>
      <w:r>
        <w:rPr>
          <w:rFonts w:eastAsia="仿宋_GB2312"/>
          <w:sz w:val="32"/>
          <w:szCs w:val="28"/>
        </w:rPr>
        <w:t>bpm</w:t>
      </w:r>
      <w:r>
        <w:rPr>
          <w:rFonts w:eastAsia="仿宋_GB2312"/>
          <w:sz w:val="32"/>
          <w:szCs w:val="28"/>
        </w:rPr>
        <w:t>）。</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2</w:t>
      </w:r>
      <w:r>
        <w:rPr>
          <w:rFonts w:eastAsia="仿宋_GB2312"/>
          <w:sz w:val="32"/>
          <w:szCs w:val="28"/>
        </w:rPr>
        <w:t>）准确度</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一般可定为</w:t>
      </w:r>
      <w:r>
        <w:rPr>
          <w:rFonts w:eastAsia="仿宋_GB2312"/>
          <w:sz w:val="32"/>
          <w:szCs w:val="28"/>
        </w:rPr>
        <w:t>±3</w:t>
      </w:r>
      <w:r>
        <w:rPr>
          <w:rFonts w:eastAsia="仿宋_GB2312"/>
          <w:sz w:val="32"/>
          <w:szCs w:val="28"/>
        </w:rPr>
        <w:t>次</w:t>
      </w:r>
      <w:r>
        <w:rPr>
          <w:rFonts w:eastAsia="仿宋_GB2312"/>
          <w:sz w:val="32"/>
          <w:szCs w:val="28"/>
        </w:rPr>
        <w:t>/</w:t>
      </w:r>
      <w:r>
        <w:rPr>
          <w:rFonts w:eastAsia="仿宋_GB2312"/>
          <w:sz w:val="32"/>
          <w:szCs w:val="28"/>
        </w:rPr>
        <w:t>分。</w:t>
      </w:r>
    </w:p>
    <w:p w:rsidR="00AD7C24" w:rsidRDefault="00B44348">
      <w:pPr>
        <w:overflowPunct w:val="0"/>
        <w:adjustRightInd w:val="0"/>
        <w:snapToGrid w:val="0"/>
        <w:spacing w:line="560" w:lineRule="exact"/>
        <w:ind w:firstLineChars="200" w:firstLine="640"/>
        <w:rPr>
          <w:rFonts w:eastAsia="仿宋_GB2312"/>
          <w:kern w:val="0"/>
          <w:sz w:val="32"/>
          <w:szCs w:val="28"/>
        </w:rPr>
      </w:pPr>
      <w:r>
        <w:rPr>
          <w:rFonts w:eastAsia="仿宋_GB2312"/>
          <w:sz w:val="32"/>
          <w:szCs w:val="32"/>
        </w:rPr>
        <w:t>3.2.2</w:t>
      </w:r>
      <w:r>
        <w:rPr>
          <w:rFonts w:eastAsia="仿宋_GB2312"/>
          <w:kern w:val="0"/>
          <w:sz w:val="32"/>
          <w:szCs w:val="28"/>
        </w:rPr>
        <w:t>.3</w:t>
      </w:r>
      <w:r>
        <w:rPr>
          <w:rFonts w:eastAsia="仿宋_GB2312"/>
          <w:kern w:val="0"/>
          <w:sz w:val="32"/>
          <w:szCs w:val="28"/>
        </w:rPr>
        <w:t>灌注指数（</w:t>
      </w:r>
      <w:r>
        <w:rPr>
          <w:rFonts w:eastAsia="仿宋_GB2312"/>
          <w:kern w:val="0"/>
          <w:sz w:val="32"/>
          <w:szCs w:val="28"/>
        </w:rPr>
        <w:t>PI</w:t>
      </w:r>
      <w:r>
        <w:rPr>
          <w:rFonts w:eastAsia="仿宋_GB2312"/>
          <w:kern w:val="0"/>
          <w:sz w:val="32"/>
          <w:szCs w:val="28"/>
        </w:rPr>
        <w:t>）测量部分（如适用）</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测量范围</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一般可定为</w:t>
      </w:r>
      <w:r>
        <w:rPr>
          <w:rFonts w:eastAsia="仿宋_GB2312"/>
          <w:sz w:val="32"/>
          <w:szCs w:val="28"/>
        </w:rPr>
        <w:t>0.05%</w:t>
      </w:r>
      <w:r>
        <w:rPr>
          <w:rFonts w:eastAsia="微软雅黑"/>
          <w:sz w:val="32"/>
          <w:szCs w:val="28"/>
        </w:rPr>
        <w:t>～</w:t>
      </w:r>
      <w:r>
        <w:rPr>
          <w:rFonts w:eastAsia="仿宋_GB2312"/>
          <w:sz w:val="32"/>
          <w:szCs w:val="28"/>
        </w:rPr>
        <w:t>20%</w:t>
      </w:r>
      <w:r>
        <w:rPr>
          <w:rFonts w:eastAsia="仿宋_GB2312"/>
          <w:sz w:val="32"/>
          <w:szCs w:val="28"/>
        </w:rPr>
        <w:t>。</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32"/>
        </w:rPr>
        <w:t>3.2</w:t>
      </w:r>
      <w:r>
        <w:rPr>
          <w:rFonts w:eastAsia="仿宋_GB2312"/>
          <w:sz w:val="32"/>
          <w:szCs w:val="28"/>
        </w:rPr>
        <w:t>.3</w:t>
      </w:r>
      <w:r>
        <w:rPr>
          <w:rFonts w:eastAsia="仿宋_GB2312"/>
          <w:sz w:val="32"/>
          <w:szCs w:val="28"/>
        </w:rPr>
        <w:t>基本安全和基本性能指标</w:t>
      </w:r>
    </w:p>
    <w:p w:rsidR="00AD7C24" w:rsidRDefault="00B44348">
      <w:pPr>
        <w:spacing w:line="520" w:lineRule="exact"/>
        <w:ind w:firstLineChars="200" w:firstLine="640"/>
        <w:rPr>
          <w:rFonts w:eastAsia="仿宋_GB2312"/>
          <w:sz w:val="32"/>
          <w:szCs w:val="32"/>
        </w:rPr>
      </w:pPr>
      <w:r>
        <w:rPr>
          <w:rFonts w:eastAsia="仿宋_GB2312"/>
          <w:sz w:val="32"/>
          <w:szCs w:val="32"/>
        </w:rPr>
        <w:t>产品的基本性能指标应符合</w:t>
      </w:r>
      <w:r>
        <w:rPr>
          <w:rFonts w:eastAsia="仿宋_GB2312"/>
          <w:sz w:val="32"/>
          <w:szCs w:val="28"/>
        </w:rPr>
        <w:t>YY 9706.261</w:t>
      </w:r>
      <w:r>
        <w:rPr>
          <w:rFonts w:eastAsia="仿宋_GB2312"/>
          <w:sz w:val="32"/>
          <w:szCs w:val="32"/>
        </w:rPr>
        <w:t>标准的要求。</w:t>
      </w:r>
      <w:r>
        <w:rPr>
          <w:rFonts w:eastAsia="仿宋_GB2312"/>
          <w:sz w:val="32"/>
          <w:szCs w:val="32"/>
        </w:rPr>
        <w:lastRenderedPageBreak/>
        <w:t>光源性能指标应</w:t>
      </w:r>
      <w:bookmarkStart w:id="1" w:name="_Hlk184161317"/>
      <w:r>
        <w:rPr>
          <w:rFonts w:eastAsia="仿宋_GB2312"/>
          <w:sz w:val="32"/>
          <w:szCs w:val="32"/>
        </w:rPr>
        <w:t>按照《医疗器械光辐射安全注册审查指导原则》要求</w:t>
      </w:r>
      <w:bookmarkEnd w:id="1"/>
      <w:r>
        <w:rPr>
          <w:rFonts w:eastAsia="仿宋_GB2312"/>
          <w:sz w:val="32"/>
          <w:szCs w:val="32"/>
        </w:rPr>
        <w:t>，至少包含光源的波长和最大输出（能量</w:t>
      </w:r>
      <w:r>
        <w:rPr>
          <w:rFonts w:eastAsia="仿宋_GB2312"/>
          <w:sz w:val="32"/>
          <w:szCs w:val="32"/>
        </w:rPr>
        <w:t>/</w:t>
      </w:r>
      <w:r>
        <w:rPr>
          <w:rFonts w:eastAsia="仿宋_GB2312"/>
          <w:sz w:val="32"/>
          <w:szCs w:val="32"/>
        </w:rPr>
        <w:t>功率等）。</w:t>
      </w:r>
    </w:p>
    <w:p w:rsidR="00AD7C24" w:rsidRDefault="00B44348">
      <w:pPr>
        <w:spacing w:line="520" w:lineRule="exact"/>
        <w:ind w:firstLineChars="200" w:firstLine="640"/>
        <w:outlineLvl w:val="2"/>
        <w:rPr>
          <w:rFonts w:eastAsia="仿宋_GB2312"/>
          <w:sz w:val="32"/>
          <w:szCs w:val="32"/>
        </w:rPr>
      </w:pPr>
      <w:r>
        <w:rPr>
          <w:rFonts w:eastAsia="仿宋_GB2312"/>
          <w:sz w:val="32"/>
          <w:szCs w:val="32"/>
        </w:rPr>
        <w:t>3.2.4</w:t>
      </w:r>
      <w:r>
        <w:rPr>
          <w:rFonts w:eastAsia="仿宋_GB2312"/>
          <w:sz w:val="32"/>
          <w:szCs w:val="32"/>
        </w:rPr>
        <w:t>软件功能</w:t>
      </w:r>
    </w:p>
    <w:p w:rsidR="00AD7C24" w:rsidRDefault="00B44348">
      <w:pPr>
        <w:overflowPunct w:val="0"/>
        <w:spacing w:line="520" w:lineRule="exact"/>
        <w:ind w:firstLineChars="200" w:firstLine="640"/>
        <w:rPr>
          <w:rFonts w:eastAsia="仿宋_GB2312"/>
          <w:color w:val="000000" w:themeColor="text1"/>
          <w:sz w:val="32"/>
          <w:szCs w:val="32"/>
        </w:rPr>
      </w:pPr>
      <w:r>
        <w:rPr>
          <w:rFonts w:eastAsia="仿宋_GB2312"/>
          <w:color w:val="000000" w:themeColor="text1"/>
          <w:sz w:val="32"/>
          <w:szCs w:val="20"/>
        </w:rPr>
        <w:t>产品若含有软件组件，应参照《医疗器械软件注册审查指导原则（</w:t>
      </w:r>
      <w:r>
        <w:rPr>
          <w:rFonts w:eastAsia="仿宋_GB2312"/>
          <w:color w:val="000000" w:themeColor="text1"/>
          <w:sz w:val="32"/>
          <w:szCs w:val="20"/>
        </w:rPr>
        <w:t>2022</w:t>
      </w:r>
      <w:r>
        <w:rPr>
          <w:rFonts w:eastAsia="仿宋_GB2312"/>
          <w:color w:val="000000" w:themeColor="text1"/>
          <w:sz w:val="32"/>
          <w:szCs w:val="20"/>
        </w:rPr>
        <w:t>年修订版）》明确软件的性能指标。如软件的功能、使用限制、接口（如适用）、访问控制（如适用）、运行环境（如适用）、性能效率（如适用）等要求。</w:t>
      </w:r>
    </w:p>
    <w:p w:rsidR="00AD7C24" w:rsidRDefault="00B44348">
      <w:pPr>
        <w:overflowPunct w:val="0"/>
        <w:adjustRightInd w:val="0"/>
        <w:snapToGrid w:val="0"/>
        <w:spacing w:line="560" w:lineRule="exact"/>
        <w:ind w:firstLineChars="200" w:firstLine="640"/>
        <w:rPr>
          <w:rFonts w:eastAsia="仿宋_GB2312"/>
          <w:sz w:val="32"/>
          <w:szCs w:val="32"/>
        </w:rPr>
      </w:pPr>
      <w:r>
        <w:rPr>
          <w:rFonts w:eastAsia="仿宋_GB2312"/>
          <w:sz w:val="32"/>
          <w:szCs w:val="32"/>
        </w:rPr>
        <w:t>3.2.5</w:t>
      </w:r>
      <w:r>
        <w:rPr>
          <w:rFonts w:eastAsia="仿宋_GB2312"/>
          <w:sz w:val="32"/>
          <w:szCs w:val="32"/>
        </w:rPr>
        <w:t>网络安全</w:t>
      </w:r>
      <w:r>
        <w:rPr>
          <w:rFonts w:eastAsia="仿宋_GB2312"/>
          <w:sz w:val="32"/>
          <w:szCs w:val="32"/>
        </w:rPr>
        <w:t>(</w:t>
      </w:r>
      <w:r>
        <w:rPr>
          <w:rFonts w:eastAsia="仿宋_GB2312"/>
          <w:sz w:val="32"/>
          <w:szCs w:val="32"/>
        </w:rPr>
        <w:t>如适用</w:t>
      </w:r>
      <w:r>
        <w:rPr>
          <w:rFonts w:eastAsia="仿宋_GB2312"/>
          <w:sz w:val="32"/>
          <w:szCs w:val="32"/>
        </w:rPr>
        <w:t>)</w:t>
      </w:r>
    </w:p>
    <w:p w:rsidR="00AD7C24" w:rsidRDefault="00B44348">
      <w:pPr>
        <w:overflowPunct w:val="0"/>
        <w:adjustRightInd w:val="0"/>
        <w:snapToGrid w:val="0"/>
        <w:spacing w:line="560" w:lineRule="exact"/>
        <w:ind w:firstLineChars="200" w:firstLine="640"/>
        <w:rPr>
          <w:rFonts w:eastAsia="仿宋_GB2312"/>
          <w:color w:val="FF0000"/>
          <w:sz w:val="32"/>
          <w:szCs w:val="32"/>
          <w:highlight w:val="yellow"/>
        </w:rPr>
      </w:pPr>
      <w:r>
        <w:rPr>
          <w:rFonts w:eastAsia="仿宋_GB2312"/>
          <w:sz w:val="32"/>
          <w:szCs w:val="32"/>
        </w:rPr>
        <w:t>应明确数据接口、用户访问控制。</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32"/>
        </w:rPr>
        <w:t>3.2</w:t>
      </w:r>
      <w:r>
        <w:rPr>
          <w:rFonts w:eastAsia="仿宋_GB2312"/>
          <w:sz w:val="32"/>
          <w:szCs w:val="28"/>
        </w:rPr>
        <w:t>.6</w:t>
      </w:r>
      <w:r>
        <w:rPr>
          <w:rFonts w:eastAsia="仿宋_GB2312"/>
          <w:sz w:val="32"/>
          <w:szCs w:val="28"/>
        </w:rPr>
        <w:t>对于产品说明书中的其他产品功能，企业还应根据产品特性制定相关的技术要求。</w:t>
      </w:r>
    </w:p>
    <w:p w:rsidR="00AD7C24" w:rsidRDefault="00B44348">
      <w:pPr>
        <w:overflowPunct w:val="0"/>
        <w:adjustRightInd w:val="0"/>
        <w:snapToGrid w:val="0"/>
        <w:spacing w:line="560" w:lineRule="exact"/>
        <w:ind w:firstLineChars="200" w:firstLine="640"/>
        <w:rPr>
          <w:rFonts w:eastAsia="仿宋_GB2312"/>
          <w:sz w:val="22"/>
          <w:lang w:val="zh-CN"/>
        </w:rPr>
      </w:pPr>
      <w:r>
        <w:rPr>
          <w:rFonts w:eastAsia="仿宋_GB2312"/>
          <w:sz w:val="32"/>
          <w:szCs w:val="32"/>
        </w:rPr>
        <w:t>3.2</w:t>
      </w:r>
      <w:r>
        <w:rPr>
          <w:rFonts w:eastAsia="仿宋_GB2312"/>
          <w:sz w:val="32"/>
          <w:szCs w:val="28"/>
        </w:rPr>
        <w:t>.7.</w:t>
      </w:r>
      <w:r>
        <w:rPr>
          <w:rFonts w:eastAsia="仿宋_GB2312"/>
          <w:sz w:val="32"/>
          <w:szCs w:val="32"/>
        </w:rPr>
        <w:t>安全要求</w:t>
      </w:r>
    </w:p>
    <w:p w:rsidR="00AD7C24" w:rsidRDefault="00B44348">
      <w:pPr>
        <w:spacing w:line="520" w:lineRule="exact"/>
        <w:ind w:firstLineChars="200" w:firstLine="640"/>
        <w:outlineLvl w:val="2"/>
        <w:rPr>
          <w:rFonts w:eastAsia="仿宋_GB2312"/>
          <w:bCs/>
          <w:sz w:val="32"/>
          <w:szCs w:val="32"/>
        </w:rPr>
      </w:pPr>
      <w:r>
        <w:rPr>
          <w:rFonts w:eastAsia="仿宋_GB2312"/>
          <w:sz w:val="32"/>
          <w:szCs w:val="32"/>
        </w:rPr>
        <w:t>电气安全应符合</w:t>
      </w:r>
      <w:r>
        <w:rPr>
          <w:rFonts w:eastAsia="仿宋_GB2312"/>
          <w:sz w:val="32"/>
          <w:szCs w:val="32"/>
        </w:rPr>
        <w:t>GB 9706.1</w:t>
      </w:r>
      <w:r>
        <w:rPr>
          <w:rFonts w:eastAsia="仿宋_GB2312"/>
          <w:sz w:val="32"/>
          <w:szCs w:val="32"/>
        </w:rPr>
        <w:t>和</w:t>
      </w:r>
      <w:r>
        <w:rPr>
          <w:rFonts w:eastAsia="仿宋_GB2312"/>
          <w:sz w:val="32"/>
          <w:szCs w:val="28"/>
        </w:rPr>
        <w:t>YY 9706.261</w:t>
      </w:r>
      <w:r>
        <w:rPr>
          <w:rFonts w:eastAsia="仿宋_GB2312"/>
          <w:sz w:val="32"/>
          <w:szCs w:val="32"/>
        </w:rPr>
        <w:t>标准的要求。对于包含报警系统的设备</w:t>
      </w:r>
      <w:r>
        <w:rPr>
          <w:rFonts w:eastAsia="微软雅黑"/>
          <w:sz w:val="32"/>
          <w:szCs w:val="32"/>
        </w:rPr>
        <w:t>，</w:t>
      </w:r>
      <w:r>
        <w:rPr>
          <w:rFonts w:eastAsia="仿宋_GB2312"/>
          <w:sz w:val="32"/>
          <w:szCs w:val="32"/>
        </w:rPr>
        <w:t>应符合</w:t>
      </w:r>
      <w:r>
        <w:rPr>
          <w:rFonts w:eastAsia="仿宋_GB2312"/>
          <w:sz w:val="32"/>
          <w:szCs w:val="32"/>
        </w:rPr>
        <w:t>YY 9706.108</w:t>
      </w:r>
      <w:r>
        <w:rPr>
          <w:rFonts w:eastAsia="仿宋_GB2312"/>
          <w:sz w:val="32"/>
          <w:szCs w:val="32"/>
        </w:rPr>
        <w:t>的要求。</w:t>
      </w:r>
      <w:r>
        <w:rPr>
          <w:rFonts w:eastAsia="仿宋_GB2312"/>
          <w:bCs/>
          <w:sz w:val="32"/>
          <w:szCs w:val="32"/>
        </w:rPr>
        <w:t>对于预期在家庭环境下使用的设备，还应符合</w:t>
      </w:r>
      <w:r>
        <w:rPr>
          <w:rFonts w:eastAsia="仿宋_GB2312"/>
          <w:bCs/>
          <w:sz w:val="32"/>
          <w:szCs w:val="32"/>
        </w:rPr>
        <w:t>YY 9706.111</w:t>
      </w:r>
      <w:r>
        <w:rPr>
          <w:rFonts w:eastAsia="仿宋_GB2312"/>
          <w:bCs/>
          <w:sz w:val="32"/>
          <w:szCs w:val="32"/>
        </w:rPr>
        <w:t>标准的要求。</w:t>
      </w:r>
    </w:p>
    <w:p w:rsidR="00AD7C24" w:rsidRDefault="00B44348">
      <w:pPr>
        <w:overflowPunct w:val="0"/>
        <w:adjustRightInd w:val="0"/>
        <w:snapToGrid w:val="0"/>
        <w:spacing w:line="560" w:lineRule="exact"/>
        <w:ind w:firstLineChars="200" w:firstLine="640"/>
        <w:rPr>
          <w:rFonts w:eastAsia="仿宋_GB2312"/>
          <w:kern w:val="0"/>
          <w:sz w:val="32"/>
          <w:szCs w:val="28"/>
        </w:rPr>
      </w:pPr>
      <w:r>
        <w:rPr>
          <w:rFonts w:eastAsia="仿宋_GB2312"/>
          <w:sz w:val="32"/>
          <w:szCs w:val="32"/>
        </w:rPr>
        <w:t>电磁兼容应符合</w:t>
      </w:r>
      <w:r>
        <w:rPr>
          <w:rFonts w:eastAsia="仿宋_GB2312"/>
          <w:sz w:val="32"/>
          <w:szCs w:val="32"/>
        </w:rPr>
        <w:t>YY 9706.102</w:t>
      </w:r>
      <w:r>
        <w:rPr>
          <w:rFonts w:eastAsia="仿宋_GB2312"/>
          <w:sz w:val="32"/>
          <w:szCs w:val="32"/>
        </w:rPr>
        <w:t>、</w:t>
      </w:r>
      <w:r>
        <w:rPr>
          <w:rFonts w:eastAsia="仿宋_GB2312"/>
          <w:sz w:val="32"/>
          <w:szCs w:val="28"/>
        </w:rPr>
        <w:t>YY 9706.261</w:t>
      </w:r>
      <w:r>
        <w:rPr>
          <w:rFonts w:eastAsia="仿宋_GB2312"/>
          <w:sz w:val="32"/>
          <w:szCs w:val="28"/>
        </w:rPr>
        <w:t>和</w:t>
      </w:r>
      <w:r>
        <w:rPr>
          <w:rFonts w:eastAsia="仿宋_GB2312"/>
          <w:bCs/>
          <w:sz w:val="32"/>
          <w:szCs w:val="32"/>
        </w:rPr>
        <w:t>YY 9706.111</w:t>
      </w:r>
      <w:r>
        <w:rPr>
          <w:rFonts w:eastAsia="仿宋_GB2312"/>
          <w:bCs/>
          <w:sz w:val="32"/>
          <w:szCs w:val="32"/>
        </w:rPr>
        <w:t>（如适用）标准</w:t>
      </w:r>
      <w:r>
        <w:rPr>
          <w:rFonts w:eastAsia="仿宋_GB2312"/>
          <w:sz w:val="32"/>
          <w:szCs w:val="32"/>
        </w:rPr>
        <w:t>的要求。</w:t>
      </w:r>
    </w:p>
    <w:p w:rsidR="00AD7C24" w:rsidRDefault="00B44348">
      <w:pPr>
        <w:spacing w:line="520" w:lineRule="exact"/>
        <w:ind w:firstLineChars="200" w:firstLine="640"/>
        <w:outlineLvl w:val="1"/>
        <w:rPr>
          <w:rFonts w:eastAsia="仿宋_GB2312"/>
          <w:sz w:val="32"/>
          <w:szCs w:val="32"/>
        </w:rPr>
      </w:pPr>
      <w:r>
        <w:rPr>
          <w:rFonts w:eastAsia="仿宋_GB2312"/>
          <w:sz w:val="32"/>
          <w:szCs w:val="32"/>
        </w:rPr>
        <w:t>3.3</w:t>
      </w:r>
      <w:r>
        <w:rPr>
          <w:rFonts w:eastAsia="仿宋_GB2312"/>
          <w:sz w:val="32"/>
          <w:szCs w:val="32"/>
        </w:rPr>
        <w:t>检验报告</w:t>
      </w:r>
    </w:p>
    <w:p w:rsidR="00AD7C24" w:rsidRDefault="00B44348">
      <w:pPr>
        <w:pStyle w:val="a6"/>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申请人应当按照产品技术要求进行检验，并提交检验</w:t>
      </w:r>
      <w:r>
        <w:rPr>
          <w:rFonts w:ascii="Times New Roman" w:eastAsia="仿宋_GB2312" w:hAnsi="Times New Roman" w:cs="Times New Roman"/>
          <w:sz w:val="32"/>
          <w:szCs w:val="32"/>
        </w:rPr>
        <w:t>报告。应说明检验用型号规格的典型性。检验报告可以是申请人出具的自检报告，也可以是委托有资质的医疗器械检验机构出具的检验报告。</w:t>
      </w:r>
    </w:p>
    <w:p w:rsidR="00AD7C24" w:rsidRDefault="00B44348">
      <w:pPr>
        <w:pStyle w:val="a6"/>
        <w:spacing w:line="520" w:lineRule="exact"/>
        <w:ind w:firstLineChars="200" w:firstLine="640"/>
        <w:jc w:val="left"/>
        <w:rPr>
          <w:rFonts w:ascii="Times New Roman" w:hAnsi="Times New Roman" w:cs="Times New Roman"/>
        </w:rPr>
      </w:pPr>
      <w:r>
        <w:rPr>
          <w:rFonts w:ascii="Times New Roman" w:eastAsia="仿宋_GB2312" w:hAnsi="Times New Roman" w:cs="Times New Roman"/>
          <w:sz w:val="32"/>
          <w:szCs w:val="32"/>
        </w:rPr>
        <w:t>同一注册单元应按产品风险与技术指标的覆盖性来选择典型产品。典型产品应是同一注册单元内能够代表本单元内其他产品安全性和有效性的产品，应考虑功能最齐</w:t>
      </w:r>
      <w:r>
        <w:rPr>
          <w:rFonts w:ascii="Times New Roman" w:eastAsia="仿宋_GB2312" w:hAnsi="Times New Roman" w:cs="Times New Roman"/>
          <w:sz w:val="32"/>
          <w:szCs w:val="32"/>
        </w:rPr>
        <w:lastRenderedPageBreak/>
        <w:t>全、结构最复杂、风险最高的产品。同一注册单元中，若性能指标不能互相覆盖，</w:t>
      </w:r>
      <w:proofErr w:type="gramStart"/>
      <w:r>
        <w:rPr>
          <w:rFonts w:ascii="Times New Roman" w:eastAsia="仿宋_GB2312" w:hAnsi="Times New Roman" w:cs="Times New Roman"/>
          <w:sz w:val="32"/>
          <w:szCs w:val="32"/>
        </w:rPr>
        <w:t>则典型</w:t>
      </w:r>
      <w:proofErr w:type="gramEnd"/>
      <w:r>
        <w:rPr>
          <w:rFonts w:ascii="Times New Roman" w:eastAsia="仿宋_GB2312" w:hAnsi="Times New Roman" w:cs="Times New Roman"/>
          <w:sz w:val="32"/>
          <w:szCs w:val="32"/>
        </w:rPr>
        <w:t>产品应为多个型号。电磁兼容检测单元的评价应结合注册申请人提供的典型型号的说明、电磁兼容检测差异性分析、必要的差异性检验数据以及注册申请人的结论做出判定。</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4.</w:t>
      </w:r>
      <w:r>
        <w:rPr>
          <w:rFonts w:eastAsia="仿宋_GB2312"/>
          <w:snapToGrid w:val="0"/>
          <w:kern w:val="0"/>
          <w:sz w:val="32"/>
          <w:szCs w:val="32"/>
          <w:lang w:val="zh-CN"/>
        </w:rPr>
        <w:t>研究资料</w:t>
      </w:r>
    </w:p>
    <w:p w:rsidR="00AD7C24" w:rsidRDefault="00B44348">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AD7C24" w:rsidRDefault="00B44348">
      <w:pPr>
        <w:overflowPunct w:val="0"/>
        <w:adjustRightInd w:val="0"/>
        <w:snapToGrid w:val="0"/>
        <w:spacing w:line="540" w:lineRule="exact"/>
        <w:ind w:firstLineChars="200" w:firstLine="640"/>
        <w:rPr>
          <w:rFonts w:eastAsia="仿宋_GB2312"/>
          <w:kern w:val="0"/>
          <w:sz w:val="32"/>
          <w:szCs w:val="28"/>
        </w:rPr>
      </w:pPr>
      <w:r>
        <w:rPr>
          <w:rFonts w:eastAsia="仿宋_GB2312"/>
          <w:kern w:val="0"/>
          <w:sz w:val="32"/>
          <w:szCs w:val="28"/>
        </w:rPr>
        <w:t>4.1.1</w:t>
      </w:r>
      <w:r>
        <w:rPr>
          <w:rFonts w:eastAsia="仿宋_GB2312"/>
          <w:kern w:val="0"/>
          <w:sz w:val="32"/>
          <w:szCs w:val="28"/>
        </w:rPr>
        <w:t>产品性能研究</w:t>
      </w:r>
    </w:p>
    <w:p w:rsidR="00AD7C24" w:rsidRDefault="00B44348">
      <w:pPr>
        <w:spacing w:line="560" w:lineRule="exact"/>
        <w:ind w:firstLineChars="200" w:firstLine="640"/>
        <w:rPr>
          <w:rFonts w:eastAsia="仿宋_GB2312"/>
          <w:sz w:val="32"/>
          <w:szCs w:val="32"/>
        </w:rPr>
      </w:pPr>
      <w:r>
        <w:rPr>
          <w:rFonts w:eastAsia="仿宋_GB2312"/>
          <w:sz w:val="32"/>
          <w:szCs w:val="32"/>
        </w:rPr>
        <w:t>4.1.1.1</w:t>
      </w:r>
      <w:r>
        <w:rPr>
          <w:rFonts w:eastAsia="仿宋_GB2312"/>
          <w:sz w:val="32"/>
          <w:szCs w:val="32"/>
        </w:rPr>
        <w:t>应当提供产品物理和</w:t>
      </w:r>
      <w:r>
        <w:rPr>
          <w:rFonts w:eastAsia="仿宋_GB2312"/>
          <w:sz w:val="32"/>
          <w:szCs w:val="32"/>
        </w:rPr>
        <w:t>/</w:t>
      </w:r>
      <w:r>
        <w:rPr>
          <w:rFonts w:eastAsia="仿宋_GB2312"/>
          <w:sz w:val="32"/>
          <w:szCs w:val="32"/>
        </w:rPr>
        <w:t>或机械性能指标的确定依据、设计输入来源以及临床意义，所采用的标准或方法、采用的原因及理论基础。</w:t>
      </w:r>
    </w:p>
    <w:p w:rsidR="00AD7C24" w:rsidRDefault="00B44348">
      <w:pPr>
        <w:overflowPunct w:val="0"/>
        <w:adjustRightInd w:val="0"/>
        <w:snapToGrid w:val="0"/>
        <w:spacing w:line="560" w:lineRule="exact"/>
        <w:ind w:firstLineChars="200" w:firstLine="640"/>
        <w:rPr>
          <w:rFonts w:eastAsia="仿宋_GB2312"/>
          <w:color w:val="000000" w:themeColor="text1"/>
          <w:kern w:val="0"/>
          <w:sz w:val="32"/>
          <w:szCs w:val="28"/>
        </w:rPr>
      </w:pPr>
      <w:r>
        <w:rPr>
          <w:rFonts w:eastAsia="仿宋_GB2312"/>
          <w:color w:val="000000" w:themeColor="text1"/>
          <w:sz w:val="32"/>
          <w:szCs w:val="32"/>
        </w:rPr>
        <w:t>4.1.1.2</w:t>
      </w:r>
      <w:r>
        <w:rPr>
          <w:rFonts w:eastAsia="仿宋_GB2312"/>
          <w:color w:val="000000" w:themeColor="text1"/>
          <w:kern w:val="0"/>
          <w:sz w:val="32"/>
          <w:szCs w:val="28"/>
        </w:rPr>
        <w:t>如有附加或其他产品功能（如灌注指数、运动状态下的准确度、弱灌</w:t>
      </w:r>
      <w:r>
        <w:rPr>
          <w:rFonts w:eastAsia="仿宋_GB2312"/>
          <w:color w:val="000000" w:themeColor="text1"/>
          <w:kern w:val="0"/>
          <w:sz w:val="32"/>
          <w:szCs w:val="28"/>
        </w:rPr>
        <w:t>注状态下的准确度、碳氧血红蛋白、高铁血红蛋白和总血红蛋白）及试验方法，应提供制定的相关依据。</w:t>
      </w:r>
    </w:p>
    <w:p w:rsidR="00AD7C24" w:rsidRDefault="00B44348">
      <w:pPr>
        <w:tabs>
          <w:tab w:val="left" w:pos="6078"/>
        </w:tabs>
        <w:spacing w:line="520" w:lineRule="exact"/>
        <w:ind w:firstLineChars="200" w:firstLine="640"/>
        <w:rPr>
          <w:rFonts w:eastAsia="仿宋_GB2312"/>
          <w:sz w:val="32"/>
          <w:szCs w:val="32"/>
        </w:rPr>
      </w:pPr>
      <w:r>
        <w:rPr>
          <w:rFonts w:eastAsia="仿宋_GB2312"/>
          <w:sz w:val="32"/>
          <w:szCs w:val="32"/>
        </w:rPr>
        <w:t>4.1.2</w:t>
      </w:r>
      <w:r>
        <w:rPr>
          <w:rFonts w:eastAsia="仿宋_GB2312"/>
          <w:sz w:val="32"/>
          <w:szCs w:val="32"/>
        </w:rPr>
        <w:t>联合使用</w:t>
      </w:r>
    </w:p>
    <w:p w:rsidR="00AD7C24" w:rsidRDefault="00B44348">
      <w:pPr>
        <w:spacing w:line="520" w:lineRule="exact"/>
        <w:ind w:firstLineChars="200" w:firstLine="640"/>
      </w:pPr>
      <w:r>
        <w:rPr>
          <w:rFonts w:eastAsia="仿宋_GB2312"/>
          <w:sz w:val="32"/>
          <w:szCs w:val="32"/>
        </w:rPr>
        <w:t>若申报产品预期与</w:t>
      </w:r>
      <w:r>
        <w:rPr>
          <w:rFonts w:eastAsia="仿宋_GB2312"/>
          <w:color w:val="000000"/>
          <w:sz w:val="32"/>
          <w:szCs w:val="32"/>
        </w:rPr>
        <w:t>其他医疗器械</w:t>
      </w:r>
      <w:r>
        <w:rPr>
          <w:rFonts w:eastAsia="仿宋_GB2312"/>
          <w:sz w:val="32"/>
          <w:szCs w:val="32"/>
        </w:rPr>
        <w:t>联合使用实现同一预期用途，如脉搏血氧仪与监护仪设备联合使用，应当提供证明联合使用安全有效的研究资料。包括互联基本信息（连接类型、接口、最低性能）、联合使用风险及控制措施、联合使用上的限制，兼容性研究等。</w:t>
      </w:r>
    </w:p>
    <w:p w:rsidR="00AD7C24" w:rsidRDefault="00B44348">
      <w:pPr>
        <w:spacing w:line="520" w:lineRule="exact"/>
        <w:ind w:firstLineChars="200" w:firstLine="640"/>
        <w:rPr>
          <w:rFonts w:eastAsia="仿宋_GB2312"/>
          <w:sz w:val="32"/>
          <w:szCs w:val="32"/>
        </w:rPr>
      </w:pPr>
      <w:r>
        <w:rPr>
          <w:rFonts w:eastAsia="仿宋_GB2312"/>
          <w:sz w:val="32"/>
          <w:szCs w:val="32"/>
        </w:rPr>
        <w:lastRenderedPageBreak/>
        <w:t>4.2</w:t>
      </w:r>
      <w:r>
        <w:rPr>
          <w:rFonts w:eastAsia="仿宋_GB2312"/>
          <w:sz w:val="32"/>
          <w:szCs w:val="32"/>
        </w:rPr>
        <w:t>电气系统安全性研究</w:t>
      </w:r>
    </w:p>
    <w:p w:rsidR="00AD7C24" w:rsidRDefault="00B44348">
      <w:pPr>
        <w:spacing w:line="520" w:lineRule="exact"/>
        <w:ind w:firstLineChars="200" w:firstLine="640"/>
        <w:rPr>
          <w:rFonts w:eastAsia="仿宋_GB2312"/>
          <w:sz w:val="32"/>
          <w:szCs w:val="32"/>
        </w:rPr>
      </w:pPr>
      <w:r>
        <w:rPr>
          <w:rFonts w:eastAsia="仿宋_GB2312"/>
          <w:sz w:val="32"/>
          <w:szCs w:val="32"/>
        </w:rPr>
        <w:t>应当提供电气安全性、机械和环境保护以及电磁兼容性的研究资料，说明适用的标准以及开展的研究。</w:t>
      </w:r>
    </w:p>
    <w:p w:rsidR="00AD7C24" w:rsidRDefault="00B44348">
      <w:pPr>
        <w:spacing w:line="520" w:lineRule="exact"/>
        <w:ind w:firstLineChars="200" w:firstLine="640"/>
        <w:rPr>
          <w:rFonts w:eastAsia="仿宋_GB2312"/>
          <w:sz w:val="32"/>
          <w:szCs w:val="32"/>
        </w:rPr>
      </w:pPr>
      <w:r>
        <w:rPr>
          <w:rFonts w:eastAsia="仿宋_GB2312"/>
          <w:sz w:val="32"/>
          <w:szCs w:val="32"/>
        </w:rPr>
        <w:t>4.3</w:t>
      </w:r>
      <w:r>
        <w:rPr>
          <w:rFonts w:eastAsia="仿宋_GB2312"/>
          <w:sz w:val="32"/>
          <w:szCs w:val="32"/>
        </w:rPr>
        <w:t>光辐射安全研究</w:t>
      </w:r>
    </w:p>
    <w:p w:rsidR="00AD7C24" w:rsidRDefault="00B44348">
      <w:pPr>
        <w:spacing w:line="520" w:lineRule="exact"/>
        <w:ind w:firstLineChars="200" w:firstLine="640"/>
        <w:rPr>
          <w:rFonts w:eastAsia="仿宋_GB2312"/>
          <w:sz w:val="32"/>
          <w:szCs w:val="32"/>
        </w:rPr>
      </w:pPr>
      <w:r>
        <w:rPr>
          <w:rFonts w:eastAsia="仿宋_GB2312"/>
          <w:sz w:val="32"/>
          <w:szCs w:val="32"/>
        </w:rPr>
        <w:t>按照《医疗器械光辐射安全注册审查指导原则》相关规定提交</w:t>
      </w:r>
      <w:bookmarkStart w:id="2" w:name="OLE_LINK1"/>
      <w:r>
        <w:rPr>
          <w:rFonts w:eastAsia="仿宋_GB2312"/>
          <w:sz w:val="32"/>
          <w:szCs w:val="32"/>
        </w:rPr>
        <w:t>光辐射安全研究资料</w:t>
      </w:r>
      <w:bookmarkEnd w:id="2"/>
      <w:r>
        <w:rPr>
          <w:rFonts w:eastAsia="仿宋_GB2312"/>
          <w:sz w:val="32"/>
          <w:szCs w:val="32"/>
        </w:rPr>
        <w:t>。</w:t>
      </w:r>
      <w:r>
        <w:rPr>
          <w:rFonts w:eastAsia="仿宋_GB2312"/>
          <w:bCs/>
          <w:sz w:val="32"/>
          <w:szCs w:val="32"/>
        </w:rPr>
        <w:t>需要在研究资料中提交符合</w:t>
      </w:r>
      <w:r>
        <w:rPr>
          <w:rFonts w:eastAsia="仿宋_GB2312"/>
          <w:bCs/>
          <w:sz w:val="32"/>
          <w:szCs w:val="32"/>
        </w:rPr>
        <w:t>GB/T 41265</w:t>
      </w:r>
      <w:r>
        <w:rPr>
          <w:rFonts w:eastAsia="仿宋_GB2312"/>
          <w:bCs/>
          <w:sz w:val="32"/>
          <w:szCs w:val="32"/>
        </w:rPr>
        <w:t>标准要求的证明资料。</w:t>
      </w:r>
    </w:p>
    <w:p w:rsidR="00AD7C24" w:rsidRDefault="00B44348">
      <w:pPr>
        <w:spacing w:line="520" w:lineRule="exact"/>
        <w:ind w:firstLineChars="200" w:firstLine="640"/>
        <w:rPr>
          <w:rFonts w:eastAsia="仿宋_GB2312"/>
          <w:color w:val="000000"/>
          <w:kern w:val="0"/>
          <w:sz w:val="32"/>
          <w:szCs w:val="32"/>
        </w:rPr>
      </w:pPr>
      <w:r>
        <w:rPr>
          <w:rFonts w:eastAsia="仿宋_GB2312"/>
          <w:color w:val="000000"/>
          <w:kern w:val="0"/>
          <w:sz w:val="32"/>
          <w:szCs w:val="32"/>
        </w:rPr>
        <w:t>4.4</w:t>
      </w:r>
      <w:r>
        <w:rPr>
          <w:rFonts w:eastAsia="仿宋_GB2312"/>
          <w:color w:val="000000"/>
          <w:kern w:val="0"/>
          <w:sz w:val="32"/>
          <w:szCs w:val="32"/>
        </w:rPr>
        <w:t>软件研究</w:t>
      </w:r>
    </w:p>
    <w:p w:rsidR="00AD7C24" w:rsidRDefault="00B44348">
      <w:pPr>
        <w:spacing w:line="520" w:lineRule="exact"/>
        <w:ind w:firstLineChars="200" w:firstLine="640"/>
        <w:rPr>
          <w:rFonts w:eastAsia="仿宋_GB2312"/>
          <w:sz w:val="32"/>
          <w:szCs w:val="32"/>
        </w:rPr>
      </w:pPr>
      <w:r>
        <w:rPr>
          <w:rFonts w:eastAsia="仿宋_GB2312"/>
          <w:color w:val="000000"/>
          <w:sz w:val="32"/>
          <w:szCs w:val="32"/>
        </w:rPr>
        <w:t>按照《医疗器械软件注册审查指导原则（</w:t>
      </w:r>
      <w:r>
        <w:rPr>
          <w:rFonts w:eastAsia="仿宋_GB2312"/>
          <w:color w:val="000000"/>
          <w:sz w:val="32"/>
          <w:szCs w:val="32"/>
        </w:rPr>
        <w:t>2022</w:t>
      </w:r>
      <w:r>
        <w:rPr>
          <w:rFonts w:eastAsia="仿宋_GB2312"/>
          <w:color w:val="000000"/>
          <w:sz w:val="32"/>
          <w:szCs w:val="32"/>
        </w:rPr>
        <w:t>年修订版）》的要求提供研究资料，脉搏血氧仪的</w:t>
      </w:r>
      <w:r>
        <w:rPr>
          <w:rFonts w:eastAsia="仿宋_GB2312"/>
          <w:color w:val="000000"/>
          <w:sz w:val="32"/>
          <w:szCs w:val="28"/>
        </w:rPr>
        <w:t>软件安全性级别</w:t>
      </w:r>
      <w:r>
        <w:rPr>
          <w:rFonts w:eastAsia="仿宋_GB2312"/>
          <w:color w:val="000000"/>
          <w:sz w:val="32"/>
          <w:szCs w:val="32"/>
        </w:rPr>
        <w:t>通常为中等级别。</w:t>
      </w:r>
    </w:p>
    <w:p w:rsidR="00AD7C24" w:rsidRDefault="00B44348">
      <w:pPr>
        <w:spacing w:line="520" w:lineRule="exact"/>
        <w:ind w:firstLineChars="200" w:firstLine="640"/>
        <w:rPr>
          <w:rFonts w:eastAsia="仿宋_GB2312"/>
          <w:color w:val="000000"/>
          <w:sz w:val="32"/>
          <w:szCs w:val="32"/>
        </w:rPr>
      </w:pPr>
      <w:r>
        <w:rPr>
          <w:rFonts w:eastAsia="仿宋_GB2312"/>
          <w:color w:val="000000"/>
          <w:sz w:val="32"/>
          <w:szCs w:val="32"/>
        </w:rPr>
        <w:t>产品若具备电子数据交换、远程控制或用户访问功能，按照《医疗器械网络安全注册审查指导原则（</w:t>
      </w:r>
      <w:r>
        <w:rPr>
          <w:rFonts w:eastAsia="仿宋_GB2312"/>
          <w:color w:val="000000"/>
          <w:sz w:val="32"/>
          <w:szCs w:val="32"/>
        </w:rPr>
        <w:t>2022</w:t>
      </w:r>
      <w:r>
        <w:rPr>
          <w:rFonts w:eastAsia="仿宋_GB2312"/>
          <w:color w:val="000000"/>
          <w:sz w:val="32"/>
          <w:szCs w:val="32"/>
        </w:rPr>
        <w:t>年修订版）》提供研究资料。</w:t>
      </w:r>
    </w:p>
    <w:p w:rsidR="00AD7C24" w:rsidRDefault="00B44348">
      <w:pPr>
        <w:spacing w:line="520" w:lineRule="exact"/>
        <w:ind w:firstLineChars="200" w:firstLine="640"/>
        <w:rPr>
          <w:rFonts w:eastAsia="微软雅黑"/>
          <w:sz w:val="22"/>
          <w:szCs w:val="22"/>
        </w:rPr>
      </w:pPr>
      <w:r>
        <w:rPr>
          <w:rFonts w:eastAsia="仿宋_GB2312"/>
          <w:color w:val="000000"/>
          <w:sz w:val="32"/>
          <w:szCs w:val="32"/>
        </w:rPr>
        <w:t>脉搏血氧仪的应用软件若运行于移动计算终端（如平板计算机、智能手机等），则属于移动医疗器械，此时需综合考虑移动计算终端的技术特征及其风险，应按《移动医疗器械注册审查指导原则（</w:t>
      </w:r>
      <w:r>
        <w:rPr>
          <w:rFonts w:eastAsia="仿宋_GB2312"/>
          <w:color w:val="000000"/>
          <w:sz w:val="32"/>
          <w:szCs w:val="32"/>
        </w:rPr>
        <w:t>2025</w:t>
      </w:r>
      <w:r>
        <w:rPr>
          <w:rFonts w:eastAsia="仿宋_GB2312"/>
          <w:color w:val="000000"/>
          <w:sz w:val="32"/>
          <w:szCs w:val="32"/>
        </w:rPr>
        <w:t>年修订版）》提交相关研究资料。</w:t>
      </w:r>
    </w:p>
    <w:p w:rsidR="00AD7C24" w:rsidRDefault="00B44348">
      <w:pPr>
        <w:spacing w:line="560" w:lineRule="exact"/>
        <w:ind w:firstLineChars="200" w:firstLine="640"/>
        <w:rPr>
          <w:rFonts w:eastAsia="仿宋_GB2312"/>
          <w:color w:val="000000"/>
          <w:sz w:val="32"/>
          <w:szCs w:val="32"/>
        </w:rPr>
      </w:pPr>
      <w:r>
        <w:rPr>
          <w:rFonts w:eastAsia="仿宋_GB2312"/>
          <w:color w:val="000000"/>
          <w:sz w:val="32"/>
          <w:szCs w:val="32"/>
        </w:rPr>
        <w:t>4.5</w:t>
      </w:r>
      <w:r>
        <w:rPr>
          <w:rFonts w:eastAsia="仿宋_GB2312"/>
          <w:color w:val="000000"/>
          <w:sz w:val="32"/>
          <w:szCs w:val="32"/>
        </w:rPr>
        <w:t>可用性工程研究</w:t>
      </w:r>
    </w:p>
    <w:p w:rsidR="00AD7C24" w:rsidRDefault="00B44348">
      <w:pPr>
        <w:overflowPunct w:val="0"/>
        <w:adjustRightInd w:val="0"/>
        <w:snapToGrid w:val="0"/>
        <w:spacing w:line="560" w:lineRule="exact"/>
        <w:ind w:firstLineChars="200" w:firstLine="640"/>
        <w:rPr>
          <w:rFonts w:eastAsia="仿宋_GB2312"/>
          <w:kern w:val="0"/>
          <w:sz w:val="32"/>
          <w:szCs w:val="28"/>
        </w:rPr>
      </w:pPr>
      <w:r>
        <w:rPr>
          <w:rFonts w:eastAsia="仿宋_GB2312"/>
          <w:kern w:val="0"/>
          <w:sz w:val="32"/>
          <w:szCs w:val="28"/>
        </w:rPr>
        <w:t>按照《医疗器械可用性工程注册审查指导原则》，按照中、</w:t>
      </w:r>
      <w:proofErr w:type="gramStart"/>
      <w:r>
        <w:rPr>
          <w:rFonts w:eastAsia="仿宋_GB2312"/>
          <w:kern w:val="0"/>
          <w:sz w:val="32"/>
          <w:szCs w:val="28"/>
        </w:rPr>
        <w:t>低使用</w:t>
      </w:r>
      <w:proofErr w:type="gramEnd"/>
      <w:r>
        <w:rPr>
          <w:rFonts w:eastAsia="仿宋_GB2312"/>
          <w:kern w:val="0"/>
          <w:sz w:val="32"/>
          <w:szCs w:val="28"/>
        </w:rPr>
        <w:t>风险医疗器械要求提交使用错误评估报告。若前期已开展可用性工程研究，亦可提交可用性工程研究报告，用于替代使用错误评估报告。</w:t>
      </w:r>
    </w:p>
    <w:p w:rsidR="00AD7C24" w:rsidRDefault="00B44348">
      <w:pPr>
        <w:overflowPunct w:val="0"/>
        <w:adjustRightInd w:val="0"/>
        <w:snapToGrid w:val="0"/>
        <w:spacing w:line="560" w:lineRule="exact"/>
        <w:ind w:firstLineChars="200" w:firstLine="640"/>
        <w:rPr>
          <w:rFonts w:eastAsia="仿宋_GB2312"/>
          <w:kern w:val="0"/>
          <w:sz w:val="32"/>
          <w:szCs w:val="28"/>
        </w:rPr>
      </w:pPr>
      <w:r>
        <w:rPr>
          <w:rFonts w:eastAsia="仿宋_GB2312"/>
          <w:kern w:val="0"/>
          <w:sz w:val="32"/>
          <w:szCs w:val="28"/>
        </w:rPr>
        <w:t>4.6</w:t>
      </w:r>
      <w:r>
        <w:rPr>
          <w:rFonts w:eastAsia="仿宋_GB2312"/>
          <w:kern w:val="0"/>
          <w:sz w:val="32"/>
          <w:szCs w:val="28"/>
        </w:rPr>
        <w:t>生物相容性评价研究</w:t>
      </w:r>
    </w:p>
    <w:p w:rsidR="00AD7C24" w:rsidRDefault="00B44348">
      <w:pPr>
        <w:spacing w:line="520" w:lineRule="exact"/>
        <w:ind w:firstLineChars="200" w:firstLine="640"/>
        <w:jc w:val="left"/>
        <w:rPr>
          <w:rFonts w:eastAsia="仿宋_GB2312"/>
          <w:color w:val="000000"/>
          <w:kern w:val="0"/>
          <w:sz w:val="32"/>
          <w:szCs w:val="32"/>
        </w:rPr>
      </w:pPr>
      <w:r>
        <w:rPr>
          <w:rFonts w:eastAsia="仿宋_GB2312"/>
          <w:color w:val="000000"/>
          <w:kern w:val="0"/>
          <w:sz w:val="32"/>
          <w:szCs w:val="32"/>
        </w:rPr>
        <w:t>生物相容性评价根据</w:t>
      </w:r>
      <w:r>
        <w:rPr>
          <w:rFonts w:eastAsia="仿宋_GB2312"/>
          <w:color w:val="000000"/>
          <w:kern w:val="0"/>
          <w:sz w:val="32"/>
          <w:szCs w:val="32"/>
        </w:rPr>
        <w:t>GB/T 16886.1</w:t>
      </w:r>
      <w:r>
        <w:rPr>
          <w:rFonts w:eastAsia="仿宋_GB2312"/>
          <w:color w:val="000000"/>
          <w:kern w:val="0"/>
          <w:sz w:val="32"/>
          <w:szCs w:val="32"/>
        </w:rPr>
        <w:t>标准进行，描述脉搏血氧仪所用材</w:t>
      </w:r>
      <w:r>
        <w:rPr>
          <w:rFonts w:eastAsia="仿宋_GB2312"/>
          <w:color w:val="000000"/>
          <w:kern w:val="0"/>
          <w:sz w:val="32"/>
          <w:szCs w:val="32"/>
        </w:rPr>
        <w:t>料及其与人体接触的性质及接触时间。生</w:t>
      </w:r>
      <w:r>
        <w:rPr>
          <w:rFonts w:eastAsia="仿宋_GB2312"/>
          <w:color w:val="000000"/>
          <w:kern w:val="0"/>
          <w:sz w:val="32"/>
          <w:szCs w:val="32"/>
        </w:rPr>
        <w:lastRenderedPageBreak/>
        <w:t>物学相容性评价研究应给出实施或豁免生物学试验的理由和论证，并对现有数据或试验结果进行评价。对于脉搏血氧仪与人体接触部件（包括患者和操作者），生物学特性相容性评价应至少考虑细胞毒性、迟发型超敏反应、皮肤刺激。</w:t>
      </w:r>
    </w:p>
    <w:p w:rsidR="00AD7C24" w:rsidRDefault="00B44348">
      <w:pPr>
        <w:spacing w:line="520" w:lineRule="exact"/>
        <w:ind w:firstLineChars="200" w:firstLine="640"/>
        <w:jc w:val="left"/>
        <w:rPr>
          <w:rFonts w:eastAsia="仿宋_GB2312"/>
          <w:color w:val="000000"/>
          <w:kern w:val="0"/>
          <w:sz w:val="32"/>
          <w:szCs w:val="32"/>
        </w:rPr>
      </w:pPr>
      <w:r>
        <w:rPr>
          <w:rFonts w:eastAsia="仿宋_GB2312"/>
          <w:color w:val="000000"/>
          <w:kern w:val="0"/>
          <w:sz w:val="32"/>
          <w:szCs w:val="32"/>
        </w:rPr>
        <w:t>4.7</w:t>
      </w:r>
      <w:r>
        <w:rPr>
          <w:rFonts w:eastAsia="仿宋_GB2312"/>
          <w:color w:val="000000"/>
          <w:kern w:val="0"/>
          <w:sz w:val="32"/>
          <w:szCs w:val="32"/>
        </w:rPr>
        <w:t>清洁</w:t>
      </w:r>
      <w:r>
        <w:rPr>
          <w:rFonts w:eastAsia="仿宋_GB2312"/>
          <w:sz w:val="32"/>
          <w:szCs w:val="32"/>
        </w:rPr>
        <w:t>和</w:t>
      </w:r>
      <w:r>
        <w:rPr>
          <w:rFonts w:eastAsia="仿宋_GB2312"/>
          <w:color w:val="000000"/>
          <w:kern w:val="0"/>
          <w:sz w:val="32"/>
          <w:szCs w:val="32"/>
        </w:rPr>
        <w:t>消毒研究（如适用）</w:t>
      </w:r>
    </w:p>
    <w:p w:rsidR="00AD7C24" w:rsidRDefault="00B44348">
      <w:pPr>
        <w:spacing w:line="520" w:lineRule="exact"/>
        <w:ind w:firstLineChars="200" w:firstLine="640"/>
        <w:rPr>
          <w:rFonts w:eastAsia="仿宋_GB2312"/>
          <w:color w:val="000000"/>
          <w:kern w:val="0"/>
          <w:sz w:val="32"/>
          <w:szCs w:val="32"/>
        </w:rPr>
      </w:pPr>
      <w:r>
        <w:rPr>
          <w:rFonts w:eastAsia="仿宋_GB2312"/>
          <w:color w:val="000000"/>
          <w:kern w:val="0"/>
          <w:sz w:val="32"/>
          <w:szCs w:val="32"/>
        </w:rPr>
        <w:t>申请人应开展清洁消毒研究。</w:t>
      </w:r>
      <w:r>
        <w:rPr>
          <w:rFonts w:eastAsia="仿宋_GB2312"/>
          <w:kern w:val="0"/>
          <w:sz w:val="32"/>
          <w:szCs w:val="28"/>
        </w:rPr>
        <w:t>主机、</w:t>
      </w:r>
      <w:r>
        <w:rPr>
          <w:rFonts w:eastAsia="仿宋_GB2312"/>
          <w:sz w:val="32"/>
          <w:szCs w:val="28"/>
        </w:rPr>
        <w:t>脉搏血氧饱和度传感器及导线</w:t>
      </w:r>
      <w:r>
        <w:rPr>
          <w:rFonts w:eastAsia="仿宋_GB2312"/>
          <w:kern w:val="0"/>
          <w:sz w:val="32"/>
          <w:szCs w:val="28"/>
        </w:rPr>
        <w:t>的外表面在使用过程中与人接触，因此应定期进行清洁和消毒。</w:t>
      </w:r>
      <w:r>
        <w:rPr>
          <w:rFonts w:eastAsia="仿宋_GB2312"/>
          <w:color w:val="000000"/>
          <w:kern w:val="0"/>
          <w:sz w:val="32"/>
          <w:szCs w:val="32"/>
        </w:rPr>
        <w:t>应当明确推荐的清洗和消毒工艺（方法和参数）、工艺的确定依据以及验证的相关研究资料。</w:t>
      </w:r>
    </w:p>
    <w:p w:rsidR="00AD7C24" w:rsidRDefault="00B44348">
      <w:pPr>
        <w:spacing w:line="520" w:lineRule="exact"/>
        <w:ind w:firstLineChars="200" w:firstLine="640"/>
        <w:rPr>
          <w:rFonts w:eastAsia="仿宋_GB2312"/>
          <w:color w:val="000000"/>
          <w:kern w:val="0"/>
          <w:sz w:val="32"/>
          <w:szCs w:val="32"/>
        </w:rPr>
      </w:pPr>
      <w:r>
        <w:rPr>
          <w:rFonts w:eastAsia="仿宋_GB2312"/>
          <w:color w:val="000000"/>
          <w:kern w:val="0"/>
          <w:sz w:val="32"/>
          <w:szCs w:val="32"/>
        </w:rPr>
        <w:t>4.8</w:t>
      </w:r>
      <w:r>
        <w:rPr>
          <w:rFonts w:eastAsia="仿宋_GB2312"/>
          <w:color w:val="000000"/>
          <w:kern w:val="0"/>
          <w:sz w:val="32"/>
          <w:szCs w:val="32"/>
        </w:rPr>
        <w:t>稳定性研究</w:t>
      </w:r>
    </w:p>
    <w:p w:rsidR="00AD7C24" w:rsidRDefault="00B44348">
      <w:pPr>
        <w:spacing w:line="520" w:lineRule="exact"/>
        <w:ind w:firstLineChars="200" w:firstLine="640"/>
        <w:jc w:val="left"/>
        <w:rPr>
          <w:rFonts w:eastAsia="仿宋_GB2312"/>
          <w:color w:val="000000"/>
          <w:sz w:val="32"/>
          <w:szCs w:val="32"/>
        </w:rPr>
      </w:pPr>
      <w:r>
        <w:rPr>
          <w:rFonts w:eastAsia="仿宋_GB2312"/>
          <w:color w:val="000000"/>
          <w:sz w:val="32"/>
          <w:szCs w:val="32"/>
        </w:rPr>
        <w:t>使用期限一般主要取决</w:t>
      </w:r>
      <w:r>
        <w:rPr>
          <w:rFonts w:eastAsia="仿宋_GB2312"/>
          <w:color w:val="000000"/>
          <w:sz w:val="32"/>
          <w:szCs w:val="32"/>
        </w:rPr>
        <w:t>于使用过程中部件、元器件的损耗、老化等。注册申请人应按照声称的使用期限对设备进行老化</w:t>
      </w:r>
      <w:r>
        <w:rPr>
          <w:rFonts w:eastAsia="仿宋_GB2312"/>
          <w:color w:val="000000"/>
          <w:sz w:val="32"/>
          <w:szCs w:val="32"/>
        </w:rPr>
        <w:t>/</w:t>
      </w:r>
      <w:r>
        <w:rPr>
          <w:rFonts w:eastAsia="仿宋_GB2312"/>
          <w:color w:val="000000"/>
          <w:sz w:val="32"/>
          <w:szCs w:val="32"/>
        </w:rPr>
        <w:t>疲劳试验，也可对影响设备使用期限的关键部件进行老化</w:t>
      </w:r>
      <w:r>
        <w:rPr>
          <w:rFonts w:eastAsia="仿宋_GB2312"/>
          <w:color w:val="000000"/>
          <w:sz w:val="32"/>
          <w:szCs w:val="32"/>
        </w:rPr>
        <w:t>/</w:t>
      </w:r>
      <w:r>
        <w:rPr>
          <w:rFonts w:eastAsia="仿宋_GB2312"/>
          <w:color w:val="000000"/>
          <w:sz w:val="32"/>
          <w:szCs w:val="32"/>
        </w:rPr>
        <w:t>疲劳试验，例如设备中不可更换（或更换成本高）的部件，并提供相应的研究资料。研究资料应能证明上述部件按照所声称的使用期限，经过老化</w:t>
      </w:r>
      <w:r>
        <w:rPr>
          <w:rFonts w:eastAsia="仿宋_GB2312"/>
          <w:color w:val="000000"/>
          <w:sz w:val="32"/>
          <w:szCs w:val="32"/>
        </w:rPr>
        <w:t>/</w:t>
      </w:r>
      <w:r>
        <w:rPr>
          <w:rFonts w:eastAsia="仿宋_GB2312"/>
          <w:color w:val="000000"/>
          <w:sz w:val="32"/>
          <w:szCs w:val="32"/>
        </w:rPr>
        <w:t>疲劳试验后，产品性能和安全仍符合预期的要求。使用期限也可基于已有数据进行合理的分析、计算得出，但应提供详细的说明及支持性资料。可参考《有源医疗器械使用期限技术审查指导原则》的要求。</w:t>
      </w:r>
    </w:p>
    <w:p w:rsidR="00AD7C24" w:rsidRDefault="00B44348">
      <w:pPr>
        <w:spacing w:line="520" w:lineRule="exact"/>
        <w:ind w:firstLineChars="200" w:firstLine="640"/>
        <w:jc w:val="left"/>
        <w:rPr>
          <w:rFonts w:eastAsia="仿宋_GB2312"/>
          <w:color w:val="000000"/>
          <w:sz w:val="32"/>
          <w:szCs w:val="32"/>
        </w:rPr>
      </w:pPr>
      <w:r>
        <w:rPr>
          <w:rFonts w:eastAsia="仿宋_GB2312"/>
          <w:color w:val="000000"/>
          <w:sz w:val="32"/>
          <w:szCs w:val="32"/>
        </w:rPr>
        <w:t>注册申请人可对包装和产品进行模拟试验，模拟在贮存和运输过程中，</w:t>
      </w:r>
      <w:r>
        <w:rPr>
          <w:rFonts w:eastAsia="仿宋_GB2312"/>
          <w:color w:val="000000"/>
          <w:sz w:val="32"/>
          <w:szCs w:val="32"/>
        </w:rPr>
        <w:t>遇到极端情况时，例如环境（温湿度、气压等）变化、跌落、振动、加速度等，产品不会发生性能、功能改变，包装系统具有保护产品的能力。经过模拟试验后，观察包装外观是否有不可接受的异常现象，对产</w:t>
      </w:r>
      <w:r>
        <w:rPr>
          <w:rFonts w:eastAsia="仿宋_GB2312"/>
          <w:color w:val="000000"/>
          <w:sz w:val="32"/>
          <w:szCs w:val="32"/>
        </w:rPr>
        <w:lastRenderedPageBreak/>
        <w:t>品进行性能测试，证明运输和环境测试后产品能够保持其完整性和功能性。环境试验可参考</w:t>
      </w:r>
      <w:r>
        <w:rPr>
          <w:rFonts w:eastAsia="仿宋_GB2312"/>
          <w:color w:val="000000"/>
          <w:sz w:val="32"/>
          <w:szCs w:val="32"/>
        </w:rPr>
        <w:t>GB/T 14710</w:t>
      </w:r>
      <w:r>
        <w:rPr>
          <w:rFonts w:eastAsia="仿宋_GB2312"/>
          <w:color w:val="000000"/>
          <w:sz w:val="32"/>
          <w:szCs w:val="32"/>
        </w:rPr>
        <w:t>的要求。</w:t>
      </w:r>
    </w:p>
    <w:p w:rsidR="00AD7C24" w:rsidRDefault="00B44348">
      <w:pPr>
        <w:spacing w:line="520" w:lineRule="exact"/>
        <w:ind w:firstLineChars="200" w:firstLine="640"/>
        <w:rPr>
          <w:rFonts w:eastAsia="仿宋_GB2312"/>
          <w:kern w:val="0"/>
          <w:sz w:val="32"/>
          <w:szCs w:val="32"/>
        </w:rPr>
      </w:pPr>
      <w:r>
        <w:rPr>
          <w:rFonts w:eastAsia="仿宋_GB2312"/>
          <w:kern w:val="0"/>
          <w:sz w:val="32"/>
          <w:szCs w:val="32"/>
        </w:rPr>
        <w:t>4.9</w:t>
      </w:r>
      <w:r>
        <w:rPr>
          <w:rFonts w:eastAsia="仿宋_GB2312"/>
          <w:kern w:val="0"/>
          <w:sz w:val="32"/>
          <w:szCs w:val="32"/>
        </w:rPr>
        <w:t>其他资料</w:t>
      </w:r>
    </w:p>
    <w:p w:rsidR="00AD7C24" w:rsidRDefault="00B44348">
      <w:pPr>
        <w:spacing w:line="520" w:lineRule="exact"/>
        <w:ind w:firstLineChars="200" w:firstLine="640"/>
        <w:rPr>
          <w:rFonts w:eastAsia="仿宋_GB2312"/>
          <w:sz w:val="32"/>
          <w:szCs w:val="32"/>
        </w:rPr>
      </w:pPr>
      <w:r>
        <w:rPr>
          <w:rFonts w:eastAsia="仿宋_GB2312"/>
          <w:sz w:val="32"/>
          <w:szCs w:val="32"/>
        </w:rPr>
        <w:t>脉搏血氧</w:t>
      </w:r>
      <w:proofErr w:type="gramStart"/>
      <w:r>
        <w:rPr>
          <w:rFonts w:eastAsia="仿宋_GB2312"/>
          <w:sz w:val="32"/>
          <w:szCs w:val="32"/>
        </w:rPr>
        <w:t>仪属于</w:t>
      </w:r>
      <w:proofErr w:type="gramEnd"/>
      <w:r>
        <w:rPr>
          <w:rFonts w:eastAsia="仿宋_GB2312"/>
          <w:sz w:val="32"/>
          <w:szCs w:val="32"/>
        </w:rPr>
        <w:t>免于临床评价的医疗器械，申请人应按照《列入免于临床评价医疗器械目录产品对比说明技术指导原则》的要求，从基本原理、结构组成、性能、安全性、适用范围等方面，证明产品的安全有效性，</w:t>
      </w:r>
      <w:r>
        <w:rPr>
          <w:rFonts w:eastAsia="仿宋_GB2312"/>
          <w:sz w:val="32"/>
          <w:szCs w:val="28"/>
        </w:rPr>
        <w:t>还需提供脉搏血</w:t>
      </w:r>
      <w:r>
        <w:rPr>
          <w:rFonts w:eastAsia="仿宋_GB2312"/>
          <w:sz w:val="32"/>
          <w:szCs w:val="28"/>
        </w:rPr>
        <w:t>氧饱和度准确度人体评估报告</w:t>
      </w:r>
      <w:r>
        <w:rPr>
          <w:rFonts w:eastAsia="仿宋_GB2312"/>
          <w:sz w:val="32"/>
          <w:szCs w:val="32"/>
        </w:rPr>
        <w:t>，提供的报告应符合《脉搏血氧仪设备临床评价技术指导原则》和</w:t>
      </w:r>
      <w:r>
        <w:rPr>
          <w:rFonts w:eastAsia="仿宋_GB2312"/>
          <w:color w:val="000000" w:themeColor="text1"/>
          <w:sz w:val="32"/>
          <w:szCs w:val="28"/>
        </w:rPr>
        <w:t>YY 9706.261</w:t>
      </w:r>
      <w:r>
        <w:rPr>
          <w:rFonts w:eastAsia="仿宋_GB2312"/>
          <w:sz w:val="32"/>
          <w:szCs w:val="32"/>
        </w:rPr>
        <w:t>的要求。</w:t>
      </w:r>
    </w:p>
    <w:p w:rsidR="00AD7C24" w:rsidRDefault="00B44348">
      <w:pPr>
        <w:overflowPunct w:val="0"/>
        <w:autoSpaceDE w:val="0"/>
        <w:autoSpaceDN w:val="0"/>
        <w:spacing w:line="520" w:lineRule="exact"/>
        <w:ind w:firstLineChars="200" w:firstLine="640"/>
        <w:outlineLvl w:val="1"/>
        <w:rPr>
          <w:rFonts w:eastAsia="楷体_GB2312"/>
          <w:sz w:val="32"/>
          <w:szCs w:val="32"/>
        </w:rPr>
      </w:pPr>
      <w:r>
        <w:rPr>
          <w:rFonts w:eastAsia="楷体_GB2312"/>
          <w:sz w:val="32"/>
          <w:szCs w:val="32"/>
        </w:rPr>
        <w:t>（四）临床评价资料</w:t>
      </w:r>
    </w:p>
    <w:p w:rsidR="00AD7C24" w:rsidRDefault="00B44348">
      <w:pPr>
        <w:spacing w:line="520" w:lineRule="exact"/>
        <w:ind w:firstLineChars="200" w:firstLine="640"/>
      </w:pPr>
      <w:r>
        <w:rPr>
          <w:rFonts w:eastAsia="仿宋_GB2312"/>
          <w:sz w:val="32"/>
          <w:szCs w:val="32"/>
        </w:rPr>
        <w:t>提交的资料应能证明申报产品与《免于进行临床评价的医疗器械目录》（以下简称</w:t>
      </w:r>
      <w:r>
        <w:rPr>
          <w:rFonts w:eastAsia="仿宋_GB2312"/>
          <w:sz w:val="32"/>
          <w:szCs w:val="32"/>
        </w:rPr>
        <w:t>“</w:t>
      </w:r>
      <w:r>
        <w:rPr>
          <w:rFonts w:eastAsia="仿宋_GB2312"/>
          <w:sz w:val="32"/>
          <w:szCs w:val="32"/>
        </w:rPr>
        <w:t>目录</w:t>
      </w:r>
      <w:r>
        <w:rPr>
          <w:rFonts w:eastAsia="仿宋_GB2312"/>
          <w:sz w:val="32"/>
          <w:szCs w:val="32"/>
        </w:rPr>
        <w:t>”</w:t>
      </w:r>
      <w:r>
        <w:rPr>
          <w:rFonts w:eastAsia="仿宋_GB2312"/>
          <w:sz w:val="32"/>
          <w:szCs w:val="32"/>
        </w:rPr>
        <w:t>）所述的产品具有基本等同性。若无法证明申报产品与《目录》所述的产品具有基本等同性，则应开展临床评价。按照《医疗器械临床评价技术指导原则》提交临床评价资料。</w:t>
      </w:r>
    </w:p>
    <w:p w:rsidR="00AD7C24" w:rsidRDefault="00B44348">
      <w:pPr>
        <w:spacing w:line="520" w:lineRule="exact"/>
        <w:ind w:firstLineChars="200" w:firstLine="640"/>
        <w:outlineLvl w:val="1"/>
        <w:rPr>
          <w:rFonts w:eastAsia="楷体_GB2312"/>
          <w:bCs/>
          <w:iCs/>
          <w:sz w:val="32"/>
          <w:szCs w:val="28"/>
        </w:rPr>
      </w:pPr>
      <w:r>
        <w:rPr>
          <w:rFonts w:eastAsia="楷体_GB2312"/>
          <w:bCs/>
          <w:iCs/>
          <w:sz w:val="32"/>
          <w:szCs w:val="28"/>
        </w:rPr>
        <w:t>（五）产品说明书和标签样稿</w:t>
      </w:r>
    </w:p>
    <w:p w:rsidR="00AD7C24" w:rsidRDefault="00B44348">
      <w:pPr>
        <w:autoSpaceDE w:val="0"/>
        <w:autoSpaceDN w:val="0"/>
        <w:spacing w:line="520" w:lineRule="exact"/>
        <w:ind w:firstLineChars="200" w:firstLine="640"/>
        <w:rPr>
          <w:rFonts w:eastAsia="仿宋_GB2312"/>
          <w:spacing w:val="2"/>
          <w:sz w:val="32"/>
          <w:szCs w:val="28"/>
        </w:rPr>
      </w:pPr>
      <w:r>
        <w:rPr>
          <w:rFonts w:eastAsia="仿宋_GB2312"/>
          <w:sz w:val="32"/>
          <w:szCs w:val="28"/>
        </w:rPr>
        <w:t>说</w:t>
      </w:r>
      <w:r>
        <w:rPr>
          <w:rFonts w:eastAsia="仿宋_GB2312"/>
          <w:spacing w:val="2"/>
          <w:sz w:val="32"/>
          <w:szCs w:val="28"/>
        </w:rPr>
        <w:t>明书和标签应当符合《医疗器械说明书和标签管理规定》和</w:t>
      </w:r>
      <w:r>
        <w:rPr>
          <w:rFonts w:eastAsia="仿宋_GB2312"/>
          <w:spacing w:val="2"/>
          <w:sz w:val="32"/>
          <w:szCs w:val="28"/>
        </w:rPr>
        <w:t>GB 9706.1</w:t>
      </w:r>
      <w:r>
        <w:rPr>
          <w:rFonts w:eastAsia="仿宋_GB2312"/>
          <w:spacing w:val="2"/>
          <w:sz w:val="32"/>
          <w:szCs w:val="28"/>
        </w:rPr>
        <w:t>、</w:t>
      </w:r>
      <w:r>
        <w:rPr>
          <w:rFonts w:eastAsia="仿宋_GB2312"/>
          <w:color w:val="000000" w:themeColor="text1"/>
          <w:sz w:val="32"/>
          <w:szCs w:val="28"/>
        </w:rPr>
        <w:t>YY 9706.261</w:t>
      </w:r>
      <w:r>
        <w:rPr>
          <w:rFonts w:eastAsia="仿宋_GB2312"/>
          <w:spacing w:val="2"/>
          <w:sz w:val="32"/>
          <w:szCs w:val="28"/>
        </w:rPr>
        <w:t>、</w:t>
      </w:r>
      <w:r>
        <w:rPr>
          <w:rFonts w:eastAsia="仿宋_GB2312"/>
          <w:spacing w:val="2"/>
          <w:sz w:val="32"/>
          <w:szCs w:val="28"/>
        </w:rPr>
        <w:t xml:space="preserve">YY </w:t>
      </w:r>
      <w:r>
        <w:rPr>
          <w:rFonts w:eastAsia="仿宋_GB2312"/>
          <w:spacing w:val="2"/>
          <w:sz w:val="32"/>
          <w:szCs w:val="28"/>
        </w:rPr>
        <w:t>9706.102</w:t>
      </w:r>
      <w:r>
        <w:rPr>
          <w:rFonts w:eastAsia="仿宋_GB2312"/>
          <w:spacing w:val="2"/>
          <w:sz w:val="32"/>
          <w:szCs w:val="28"/>
        </w:rPr>
        <w:t>中的相关要求。家庭环境下使用的产品还应符合</w:t>
      </w:r>
      <w:r>
        <w:rPr>
          <w:rFonts w:eastAsia="仿宋_GB2312"/>
          <w:spacing w:val="2"/>
          <w:sz w:val="32"/>
          <w:szCs w:val="28"/>
        </w:rPr>
        <w:t>YY 9706.111</w:t>
      </w:r>
      <w:r>
        <w:rPr>
          <w:rFonts w:eastAsia="仿宋_GB2312"/>
          <w:spacing w:val="2"/>
          <w:sz w:val="32"/>
          <w:szCs w:val="28"/>
        </w:rPr>
        <w:t>的相关要求。</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1.</w:t>
      </w:r>
      <w:r>
        <w:rPr>
          <w:rFonts w:eastAsia="仿宋_GB2312"/>
          <w:sz w:val="32"/>
          <w:szCs w:val="28"/>
        </w:rPr>
        <w:t>说明书的内容</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使用说明书应包含下列主要内容：</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w:t>
      </w:r>
      <w:r>
        <w:rPr>
          <w:rFonts w:eastAsia="仿宋_GB2312"/>
          <w:sz w:val="32"/>
          <w:szCs w:val="28"/>
        </w:rPr>
        <w:t>）产品名称、型号、规格。</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2</w:t>
      </w:r>
      <w:r>
        <w:rPr>
          <w:rFonts w:eastAsia="仿宋_GB2312"/>
          <w:sz w:val="32"/>
          <w:szCs w:val="28"/>
        </w:rPr>
        <w:t>）注册人或者备案人的名称、住所、联系方式及售后服务单位，进口医疗器械还应当载明代理人的名称、住所及联系方式。</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3</w:t>
      </w:r>
      <w:r>
        <w:rPr>
          <w:rFonts w:eastAsia="仿宋_GB2312"/>
          <w:sz w:val="32"/>
          <w:szCs w:val="28"/>
        </w:rPr>
        <w:t>）生产企业的名称、住所、生产地址、联系方式及生</w:t>
      </w:r>
      <w:r>
        <w:rPr>
          <w:rFonts w:eastAsia="仿宋_GB2312"/>
          <w:sz w:val="32"/>
          <w:szCs w:val="28"/>
        </w:rPr>
        <w:lastRenderedPageBreak/>
        <w:t>产许可证编号或者生产备案凭证编号，委托生产的还应当标注受托企业的名称、住所、生产地址、生产许可证编号或者生产备案凭证编号。</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4</w:t>
      </w:r>
      <w:r>
        <w:rPr>
          <w:rFonts w:eastAsia="仿宋_GB2312"/>
          <w:sz w:val="32"/>
          <w:szCs w:val="28"/>
        </w:rPr>
        <w:t>）医疗器械注册证编号或者备案凭证编号。</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5</w:t>
      </w:r>
      <w:r>
        <w:rPr>
          <w:rFonts w:eastAsia="仿宋_GB2312"/>
          <w:sz w:val="32"/>
          <w:szCs w:val="28"/>
        </w:rPr>
        <w:t>）</w:t>
      </w:r>
      <w:r>
        <w:rPr>
          <w:rFonts w:eastAsia="仿宋_GB2312"/>
          <w:sz w:val="32"/>
          <w:szCs w:val="28"/>
        </w:rPr>
        <w:t>产品技术要求的编号。</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6</w:t>
      </w:r>
      <w:r>
        <w:rPr>
          <w:rFonts w:eastAsia="仿宋_GB2312"/>
          <w:sz w:val="32"/>
          <w:szCs w:val="28"/>
        </w:rPr>
        <w:t>）产品性能、主要结构组成或者成分、适用范围。</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7</w:t>
      </w:r>
      <w:r>
        <w:rPr>
          <w:rFonts w:eastAsia="仿宋_GB2312"/>
          <w:sz w:val="32"/>
          <w:szCs w:val="28"/>
        </w:rPr>
        <w:t>）禁忌证、注意事项、警示以及提示的内容。</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8</w:t>
      </w:r>
      <w:r>
        <w:rPr>
          <w:rFonts w:eastAsia="仿宋_GB2312"/>
          <w:sz w:val="32"/>
          <w:szCs w:val="28"/>
        </w:rPr>
        <w:t>）安装和使用说明或者图示，由消费者个人自行使用的医疗器械还应当具有安全使用的特别说明。</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9</w:t>
      </w:r>
      <w:r>
        <w:rPr>
          <w:rFonts w:eastAsia="仿宋_GB2312"/>
          <w:sz w:val="32"/>
          <w:szCs w:val="28"/>
        </w:rPr>
        <w:t>）产品维护和保养方法，特殊储存、运输条件、方法。</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10</w:t>
      </w:r>
      <w:r>
        <w:rPr>
          <w:rFonts w:eastAsia="仿宋_GB2312"/>
          <w:sz w:val="32"/>
          <w:szCs w:val="28"/>
        </w:rPr>
        <w:t>）生产日期，使用期限或者失效日期。</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11</w:t>
      </w:r>
      <w:r>
        <w:rPr>
          <w:rFonts w:eastAsia="仿宋_GB2312"/>
          <w:sz w:val="32"/>
          <w:szCs w:val="28"/>
        </w:rPr>
        <w:t>）配件清单，包括配件、附属品、损耗品更换周期以及更换方法的说明等。</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12</w:t>
      </w:r>
      <w:r>
        <w:rPr>
          <w:rFonts w:eastAsia="仿宋_GB2312"/>
          <w:sz w:val="32"/>
          <w:szCs w:val="28"/>
        </w:rPr>
        <w:t>）医疗器械标签所用的图形、符号、缩写等内容的解释。</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13</w:t>
      </w:r>
      <w:r>
        <w:rPr>
          <w:rFonts w:eastAsia="仿宋_GB2312"/>
          <w:sz w:val="32"/>
          <w:szCs w:val="28"/>
        </w:rPr>
        <w:t>）说明书的编制或者修订日期。</w:t>
      </w:r>
    </w:p>
    <w:p w:rsidR="00AD7C24" w:rsidRDefault="00B44348">
      <w:pPr>
        <w:overflowPunct w:val="0"/>
        <w:autoSpaceDE w:val="0"/>
        <w:autoSpaceDN w:val="0"/>
        <w:adjustRightInd w:val="0"/>
        <w:spacing w:line="520" w:lineRule="exact"/>
        <w:ind w:firstLineChars="200" w:firstLine="640"/>
        <w:rPr>
          <w:rFonts w:eastAsia="仿宋_GB2312"/>
          <w:sz w:val="32"/>
          <w:szCs w:val="28"/>
        </w:rPr>
      </w:pPr>
      <w:r>
        <w:rPr>
          <w:rFonts w:eastAsia="仿宋_GB2312"/>
          <w:sz w:val="32"/>
          <w:szCs w:val="28"/>
        </w:rPr>
        <w:t>（</w:t>
      </w:r>
      <w:r>
        <w:rPr>
          <w:rFonts w:eastAsia="仿宋_GB2312"/>
          <w:sz w:val="32"/>
          <w:szCs w:val="28"/>
        </w:rPr>
        <w:t>14</w:t>
      </w:r>
      <w:r>
        <w:rPr>
          <w:rFonts w:eastAsia="仿宋_GB2312"/>
          <w:sz w:val="32"/>
          <w:szCs w:val="28"/>
        </w:rPr>
        <w:t>）如适用，明确软件发布版本、软件</w:t>
      </w:r>
      <w:r>
        <w:rPr>
          <w:rFonts w:eastAsia="仿宋_GB2312"/>
          <w:sz w:val="32"/>
          <w:szCs w:val="28"/>
        </w:rPr>
        <w:t>功能、网络安全相关信息。</w:t>
      </w:r>
    </w:p>
    <w:p w:rsidR="00AD7C24" w:rsidRDefault="00B44348">
      <w:pPr>
        <w:overflowPunct w:val="0"/>
        <w:adjustRightInd w:val="0"/>
        <w:snapToGrid w:val="0"/>
        <w:spacing w:line="560" w:lineRule="exact"/>
        <w:ind w:firstLineChars="200" w:firstLine="640"/>
        <w:rPr>
          <w:rFonts w:eastAsia="仿宋_GB2312"/>
          <w:sz w:val="22"/>
          <w:szCs w:val="22"/>
        </w:rPr>
      </w:pPr>
      <w:r>
        <w:rPr>
          <w:rFonts w:eastAsia="仿宋_GB2312"/>
          <w:sz w:val="32"/>
          <w:szCs w:val="28"/>
        </w:rPr>
        <w:t>（</w:t>
      </w:r>
      <w:r>
        <w:rPr>
          <w:rFonts w:eastAsia="仿宋_GB2312"/>
          <w:sz w:val="32"/>
          <w:szCs w:val="28"/>
        </w:rPr>
        <w:t>15</w:t>
      </w:r>
      <w:r>
        <w:rPr>
          <w:rFonts w:eastAsia="仿宋_GB2312"/>
          <w:sz w:val="32"/>
          <w:szCs w:val="28"/>
        </w:rPr>
        <w:t>）其他应当标注的内容。</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医疗器械说明书中有关注意事项、警示以及提示性内容主要包括：</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w:t>
      </w:r>
      <w:r>
        <w:rPr>
          <w:rFonts w:eastAsia="仿宋_GB2312"/>
          <w:sz w:val="32"/>
          <w:szCs w:val="28"/>
        </w:rPr>
        <w:t>）产品适用人群。</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2</w:t>
      </w:r>
      <w:r>
        <w:rPr>
          <w:rFonts w:eastAsia="仿宋_GB2312"/>
          <w:sz w:val="32"/>
          <w:szCs w:val="28"/>
        </w:rPr>
        <w:t>）潜在的安全危害及使用限制。</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3</w:t>
      </w:r>
      <w:r>
        <w:rPr>
          <w:rFonts w:eastAsia="仿宋_GB2312"/>
          <w:sz w:val="32"/>
          <w:szCs w:val="28"/>
        </w:rPr>
        <w:t>）产品在正确使用过程中出现意外时，对操作者、使用者的保护措施以及应当采取的应急和纠正措施。</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lastRenderedPageBreak/>
        <w:t>（</w:t>
      </w:r>
      <w:r>
        <w:rPr>
          <w:rFonts w:eastAsia="仿宋_GB2312"/>
          <w:sz w:val="32"/>
          <w:szCs w:val="28"/>
        </w:rPr>
        <w:t>4</w:t>
      </w:r>
      <w:r>
        <w:rPr>
          <w:rFonts w:eastAsia="仿宋_GB2312"/>
          <w:sz w:val="32"/>
          <w:szCs w:val="28"/>
        </w:rPr>
        <w:t>）必要的监测、评估、控制手段。</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5</w:t>
      </w:r>
      <w:r>
        <w:rPr>
          <w:rFonts w:eastAsia="仿宋_GB2312"/>
          <w:sz w:val="32"/>
          <w:szCs w:val="28"/>
        </w:rPr>
        <w:t>）一次性使用产品应当注明</w:t>
      </w:r>
      <w:r>
        <w:rPr>
          <w:rFonts w:eastAsia="仿宋_GB2312"/>
          <w:sz w:val="32"/>
          <w:szCs w:val="28"/>
        </w:rPr>
        <w:t>“</w:t>
      </w:r>
      <w:r>
        <w:rPr>
          <w:rFonts w:eastAsia="仿宋_GB2312"/>
          <w:sz w:val="32"/>
          <w:szCs w:val="28"/>
        </w:rPr>
        <w:t>一次性使用</w:t>
      </w:r>
      <w:r>
        <w:rPr>
          <w:rFonts w:eastAsia="仿宋_GB2312"/>
          <w:sz w:val="32"/>
          <w:szCs w:val="28"/>
        </w:rPr>
        <w:t>”</w:t>
      </w:r>
      <w:r>
        <w:rPr>
          <w:rFonts w:eastAsia="仿宋_GB2312"/>
          <w:sz w:val="32"/>
          <w:szCs w:val="28"/>
        </w:rPr>
        <w:t>字样或者符号，使用前需要消毒的应当说明消毒的方法。</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6</w:t>
      </w:r>
      <w:r>
        <w:rPr>
          <w:rFonts w:eastAsia="仿宋_GB2312"/>
          <w:sz w:val="32"/>
          <w:szCs w:val="28"/>
        </w:rPr>
        <w:t>）产品需要同其他医疗器械一起安装或者联合使用时，应当注明联合使用器械的要求、使用方法、注意事项。</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7</w:t>
      </w:r>
      <w:r>
        <w:rPr>
          <w:rFonts w:eastAsia="仿宋_GB2312"/>
          <w:sz w:val="32"/>
          <w:szCs w:val="28"/>
        </w:rPr>
        <w:t>）在使用过程中，与其他产品可能产生的相互干扰及其可能出现的危害。</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8</w:t>
      </w:r>
      <w:r>
        <w:rPr>
          <w:rFonts w:eastAsia="仿宋_GB2312"/>
          <w:sz w:val="32"/>
          <w:szCs w:val="28"/>
        </w:rPr>
        <w:t>）产品使用中可能带来的不良事件或者产品成分中含有的可能引起副作用的成分或者辅料。</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9</w:t>
      </w:r>
      <w:r>
        <w:rPr>
          <w:rFonts w:eastAsia="仿宋_GB2312"/>
          <w:sz w:val="32"/>
          <w:szCs w:val="28"/>
        </w:rPr>
        <w:t>）医疗器械废弃处理时应当注意的事项，产品使用后需要处理的，应当注明相应的处理方法。</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10</w:t>
      </w:r>
      <w:r>
        <w:rPr>
          <w:rFonts w:eastAsia="仿宋_GB2312"/>
          <w:sz w:val="32"/>
          <w:szCs w:val="28"/>
        </w:rPr>
        <w:t>）根据产品特性，应当提示操作者、使用者注意的其他事项。</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11</w:t>
      </w:r>
      <w:r>
        <w:rPr>
          <w:rFonts w:eastAsia="仿宋_GB2312"/>
          <w:sz w:val="32"/>
          <w:szCs w:val="28"/>
        </w:rPr>
        <w:t>）可参阅随机文件的图标表示。</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制造商的产品说明书中宜有以下警告：</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1</w:t>
      </w:r>
      <w:r>
        <w:rPr>
          <w:rFonts w:eastAsia="仿宋_GB2312"/>
          <w:sz w:val="32"/>
          <w:szCs w:val="28"/>
        </w:rPr>
        <w:t>）请勿将脉搏血氧仪显示的信息作为临床诊断的唯一依据。脉搏</w:t>
      </w:r>
      <w:proofErr w:type="gramStart"/>
      <w:r>
        <w:rPr>
          <w:rFonts w:eastAsia="仿宋_GB2312"/>
          <w:sz w:val="32"/>
          <w:szCs w:val="28"/>
        </w:rPr>
        <w:t>血氧仪仅作为</w:t>
      </w:r>
      <w:proofErr w:type="gramEnd"/>
      <w:r>
        <w:rPr>
          <w:rFonts w:eastAsia="仿宋_GB2312"/>
          <w:sz w:val="32"/>
          <w:szCs w:val="28"/>
        </w:rPr>
        <w:t>诊断中的一种辅助手段。必须结合临床表现及症状与医生的诊断一起使</w:t>
      </w:r>
      <w:r>
        <w:rPr>
          <w:rFonts w:eastAsia="仿宋_GB2312"/>
          <w:sz w:val="32"/>
          <w:szCs w:val="28"/>
        </w:rPr>
        <w:t>用。</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2</w:t>
      </w:r>
      <w:r>
        <w:rPr>
          <w:rFonts w:eastAsia="仿宋_GB2312"/>
          <w:sz w:val="32"/>
          <w:szCs w:val="28"/>
        </w:rPr>
        <w:t>）使用脉搏血氧仪前，必须确保脉搏血氧</w:t>
      </w:r>
      <w:proofErr w:type="gramStart"/>
      <w:r>
        <w:rPr>
          <w:rFonts w:eastAsia="仿宋_GB2312"/>
          <w:sz w:val="32"/>
          <w:szCs w:val="28"/>
        </w:rPr>
        <w:t>仪处于</w:t>
      </w:r>
      <w:proofErr w:type="gramEnd"/>
      <w:r>
        <w:rPr>
          <w:rFonts w:eastAsia="仿宋_GB2312"/>
          <w:sz w:val="32"/>
          <w:szCs w:val="28"/>
        </w:rPr>
        <w:t>正常的工作状态和操作环境下。</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3</w:t>
      </w:r>
      <w:r>
        <w:rPr>
          <w:rFonts w:eastAsia="仿宋_GB2312"/>
          <w:sz w:val="32"/>
          <w:szCs w:val="28"/>
        </w:rPr>
        <w:t>）为确保病人安全，请使用制造商生产或推荐的部件和附件，使用其他附件有可能对病人、操作者造成伤害或损坏脉搏血氧仪。</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4</w:t>
      </w:r>
      <w:r>
        <w:rPr>
          <w:rFonts w:eastAsia="仿宋_GB2312"/>
          <w:sz w:val="32"/>
          <w:szCs w:val="28"/>
        </w:rPr>
        <w:t>）监护病人时请勿完全依赖本仪器的报警系统，报警</w:t>
      </w:r>
      <w:r>
        <w:rPr>
          <w:rFonts w:eastAsia="仿宋_GB2312"/>
          <w:sz w:val="32"/>
          <w:szCs w:val="28"/>
        </w:rPr>
        <w:lastRenderedPageBreak/>
        <w:t>功能必须定期予以验证。最可靠的监护方法是医护人员密切地监视和正确地使用脉搏血氧仪。</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5</w:t>
      </w:r>
      <w:r>
        <w:rPr>
          <w:rFonts w:eastAsia="仿宋_GB2312"/>
          <w:sz w:val="32"/>
          <w:szCs w:val="28"/>
        </w:rPr>
        <w:t>）使用脉搏血氧仪时，请远离会产生强电场、强磁场的设备（比如</w:t>
      </w:r>
      <w:r>
        <w:rPr>
          <w:rFonts w:eastAsia="仿宋_GB2312"/>
          <w:sz w:val="32"/>
          <w:szCs w:val="28"/>
        </w:rPr>
        <w:t>MR</w:t>
      </w:r>
      <w:r>
        <w:rPr>
          <w:rFonts w:eastAsia="仿宋_GB2312"/>
          <w:sz w:val="32"/>
          <w:szCs w:val="28"/>
        </w:rPr>
        <w:t>设备）。在不适当的环境中使用该设备可能会对周围的无线电装置造成干扰或影响脉搏血氧仪的工作。</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6</w:t>
      </w:r>
      <w:r>
        <w:rPr>
          <w:rFonts w:eastAsia="仿宋_GB2312"/>
          <w:sz w:val="32"/>
          <w:szCs w:val="28"/>
        </w:rPr>
        <w:t>）几种设备同时使</w:t>
      </w:r>
      <w:r>
        <w:rPr>
          <w:rFonts w:eastAsia="仿宋_GB2312"/>
          <w:sz w:val="32"/>
          <w:szCs w:val="28"/>
        </w:rPr>
        <w:t>用于同一病人身上时，可能会带来额外的危险，建议咨询制造商正确的使用方法，确保漏电流在安全允许范围内，即对病人、操作者和周围环境不会造成危害。</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7</w:t>
      </w:r>
      <w:r>
        <w:rPr>
          <w:rFonts w:eastAsia="仿宋_GB2312"/>
          <w:sz w:val="32"/>
          <w:szCs w:val="28"/>
        </w:rPr>
        <w:t>）应由有资格的专业人员定期对本仪器进行维护保养。</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w:t>
      </w:r>
      <w:r>
        <w:rPr>
          <w:rFonts w:eastAsia="仿宋_GB2312"/>
          <w:sz w:val="32"/>
          <w:szCs w:val="28"/>
        </w:rPr>
        <w:t>8</w:t>
      </w:r>
      <w:r>
        <w:rPr>
          <w:rFonts w:eastAsia="仿宋_GB2312"/>
          <w:sz w:val="32"/>
          <w:szCs w:val="28"/>
        </w:rPr>
        <w:t>）请勿对脉搏血氧仪进行高温、高压、气体熏蒸或液体浸泡消毒，请按照制造商的要求对脉搏血氧</w:t>
      </w:r>
      <w:proofErr w:type="gramStart"/>
      <w:r>
        <w:rPr>
          <w:rFonts w:eastAsia="仿宋_GB2312"/>
          <w:sz w:val="32"/>
          <w:szCs w:val="28"/>
        </w:rPr>
        <w:t>仪及其</w:t>
      </w:r>
      <w:proofErr w:type="gramEnd"/>
      <w:r>
        <w:rPr>
          <w:rFonts w:eastAsia="仿宋_GB2312"/>
          <w:sz w:val="32"/>
          <w:szCs w:val="28"/>
        </w:rPr>
        <w:t>附件进行清洁和消毒，在清洁或消毒脉搏血氧仪前必须断开外部电源。</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技术说明书内容：</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一般包括概述、组成、原理、技术参数、规格型号、图示标记说明、系统配置、外形图、结构图、控制面板图，必要的电气原理图及表等。</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如产品宣称适用</w:t>
      </w:r>
      <w:r>
        <w:rPr>
          <w:rFonts w:eastAsia="仿宋_GB2312"/>
          <w:sz w:val="32"/>
          <w:szCs w:val="28"/>
        </w:rPr>
        <w:t>于家庭使用：</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说明书的编写应尽量使用清晰简洁的文字和结构简单的句子，以使非专业使用者可容易阅读并理解各项内容的含义。对说明书中的重要内容使用粗体字进行标注以提醒使用</w:t>
      </w:r>
      <w:r>
        <w:rPr>
          <w:rFonts w:eastAsia="仿宋_GB2312"/>
          <w:sz w:val="32"/>
          <w:szCs w:val="28"/>
        </w:rPr>
        <w:lastRenderedPageBreak/>
        <w:t>者，有必要时可用图例的形式形象解释相关内容，以便于理解。</w:t>
      </w:r>
    </w:p>
    <w:p w:rsidR="00AD7C24" w:rsidRDefault="00B44348">
      <w:pPr>
        <w:overflowPunct w:val="0"/>
        <w:adjustRightInd w:val="0"/>
        <w:snapToGrid w:val="0"/>
        <w:spacing w:line="560" w:lineRule="exact"/>
        <w:ind w:firstLineChars="200" w:firstLine="640"/>
        <w:rPr>
          <w:rFonts w:eastAsia="仿宋_GB2312"/>
          <w:sz w:val="32"/>
          <w:szCs w:val="28"/>
        </w:rPr>
      </w:pPr>
      <w:r>
        <w:rPr>
          <w:rFonts w:eastAsia="仿宋_GB2312"/>
          <w:sz w:val="32"/>
          <w:szCs w:val="28"/>
        </w:rPr>
        <w:t>制造商的产品说明书中宜有以下警告：</w:t>
      </w:r>
    </w:p>
    <w:p w:rsidR="00AD7C24" w:rsidRDefault="00B44348">
      <w:pPr>
        <w:overflowPunct w:val="0"/>
        <w:spacing w:line="560" w:lineRule="exact"/>
        <w:ind w:firstLineChars="200" w:firstLine="640"/>
        <w:rPr>
          <w:rFonts w:eastAsia="仿宋_GB2312"/>
        </w:rPr>
      </w:pPr>
      <w:proofErr w:type="gramStart"/>
      <w:r>
        <w:rPr>
          <w:rFonts w:eastAsia="仿宋_GB2312"/>
          <w:sz w:val="32"/>
          <w:szCs w:val="28"/>
        </w:rPr>
        <w:t>本设备</w:t>
      </w:r>
      <w:proofErr w:type="gramEnd"/>
      <w:r>
        <w:rPr>
          <w:rFonts w:eastAsia="仿宋_GB2312"/>
          <w:sz w:val="32"/>
          <w:szCs w:val="28"/>
        </w:rPr>
        <w:t>测量数据仅供用户自测参考，</w:t>
      </w:r>
      <w:proofErr w:type="gramStart"/>
      <w:r>
        <w:rPr>
          <w:rFonts w:eastAsia="仿宋_GB2312"/>
          <w:sz w:val="32"/>
          <w:szCs w:val="28"/>
        </w:rPr>
        <w:t>不</w:t>
      </w:r>
      <w:proofErr w:type="gramEnd"/>
      <w:r>
        <w:rPr>
          <w:rFonts w:eastAsia="仿宋_GB2312"/>
          <w:sz w:val="32"/>
          <w:szCs w:val="28"/>
        </w:rPr>
        <w:t>用以任何用药治疗的建议。</w:t>
      </w:r>
    </w:p>
    <w:p w:rsidR="00AD7C24" w:rsidRDefault="00AD7C24">
      <w:pPr>
        <w:pStyle w:val="a0"/>
        <w:rPr>
          <w:rFonts w:ascii="Times New Roman" w:hAnsi="Times New Roman" w:cs="Times New Roman"/>
        </w:rPr>
      </w:pPr>
    </w:p>
    <w:p w:rsidR="00AD7C24" w:rsidRDefault="00B44348">
      <w:pPr>
        <w:overflowPunct w:val="0"/>
        <w:adjustRightInd w:val="0"/>
        <w:snapToGrid w:val="0"/>
        <w:spacing w:line="540" w:lineRule="exact"/>
        <w:ind w:firstLineChars="200" w:firstLine="640"/>
        <w:rPr>
          <w:rFonts w:eastAsia="仿宋_GB2312"/>
          <w:sz w:val="32"/>
          <w:szCs w:val="28"/>
        </w:rPr>
      </w:pPr>
      <w:r>
        <w:rPr>
          <w:rFonts w:eastAsia="仿宋_GB2312"/>
          <w:sz w:val="32"/>
          <w:szCs w:val="28"/>
        </w:rPr>
        <w:t>2.</w:t>
      </w:r>
      <w:r>
        <w:rPr>
          <w:rFonts w:eastAsia="仿宋_GB2312"/>
          <w:sz w:val="32"/>
          <w:szCs w:val="28"/>
        </w:rPr>
        <w:t>标签和包装标识</w:t>
      </w:r>
    </w:p>
    <w:p w:rsidR="00AD7C24" w:rsidRDefault="00B44348">
      <w:pPr>
        <w:overflowPunct w:val="0"/>
        <w:adjustRightInd w:val="0"/>
        <w:snapToGrid w:val="0"/>
        <w:spacing w:line="540" w:lineRule="exact"/>
        <w:ind w:firstLineChars="200" w:firstLine="640"/>
        <w:rPr>
          <w:rFonts w:eastAsia="仿宋_GB2312"/>
          <w:sz w:val="32"/>
          <w:szCs w:val="28"/>
        </w:rPr>
      </w:pPr>
      <w:r>
        <w:rPr>
          <w:rFonts w:eastAsia="仿宋_GB2312"/>
          <w:sz w:val="32"/>
          <w:szCs w:val="28"/>
        </w:rPr>
        <w:t>至少应包括以下信息：</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1</w:t>
      </w:r>
      <w:r>
        <w:rPr>
          <w:rFonts w:eastAsia="仿宋_GB2312"/>
          <w:spacing w:val="-10"/>
          <w:sz w:val="32"/>
          <w:szCs w:val="28"/>
        </w:rPr>
        <w:t>）产品名称、型号、规格。</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2</w:t>
      </w:r>
      <w:r>
        <w:rPr>
          <w:rFonts w:eastAsia="仿宋_GB2312"/>
          <w:spacing w:val="-10"/>
          <w:sz w:val="32"/>
          <w:szCs w:val="28"/>
        </w:rPr>
        <w:t>）注册人或者备案人的名称、住所、联系方式，进口医疗器械还应当载明代理人的名称、住所及联系方式。</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3</w:t>
      </w:r>
      <w:r>
        <w:rPr>
          <w:rFonts w:eastAsia="仿宋_GB2312"/>
          <w:spacing w:val="-10"/>
          <w:sz w:val="32"/>
          <w:szCs w:val="28"/>
        </w:rPr>
        <w:t>）医疗器械注册证编号或者备案凭证编号。</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4</w:t>
      </w:r>
      <w:r>
        <w:rPr>
          <w:rFonts w:eastAsia="仿宋_GB2312"/>
          <w:spacing w:val="-10"/>
          <w:sz w:val="32"/>
          <w:szCs w:val="28"/>
        </w:rPr>
        <w:t>）</w:t>
      </w:r>
      <w:r>
        <w:rPr>
          <w:rFonts w:eastAsia="仿宋_GB2312"/>
          <w:sz w:val="32"/>
          <w:szCs w:val="28"/>
        </w:rPr>
        <w:t>生产企业的名称、住所、生产地址、联系方式</w:t>
      </w:r>
      <w:r>
        <w:rPr>
          <w:rFonts w:eastAsia="仿宋_GB2312"/>
          <w:spacing w:val="-10"/>
          <w:sz w:val="32"/>
          <w:szCs w:val="28"/>
        </w:rPr>
        <w:t>及名称、住所、生产地址、联系方式及生产许可证编号或者生产备案凭证编号，委托生产的还应当标注受托企业的名称、住所、生产地址、生产许可证编号或者生产备案凭证编号。</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5</w:t>
      </w:r>
      <w:r>
        <w:rPr>
          <w:rFonts w:eastAsia="仿宋_GB2312"/>
          <w:spacing w:val="-10"/>
          <w:sz w:val="32"/>
          <w:szCs w:val="28"/>
        </w:rPr>
        <w:t>）生产日期，使用期限或者失效日期。</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6</w:t>
      </w:r>
      <w:r>
        <w:rPr>
          <w:rFonts w:eastAsia="仿宋_GB2312"/>
          <w:spacing w:val="-10"/>
          <w:sz w:val="32"/>
          <w:szCs w:val="28"/>
        </w:rPr>
        <w:t>）电源连接条件、输入功率。</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7</w:t>
      </w:r>
      <w:r>
        <w:rPr>
          <w:rFonts w:eastAsia="仿宋_GB2312"/>
          <w:spacing w:val="-10"/>
          <w:sz w:val="32"/>
          <w:szCs w:val="28"/>
        </w:rPr>
        <w:t>）根据产品特性应当标注的图形、符号以及其他相关内容。</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8</w:t>
      </w:r>
      <w:r>
        <w:rPr>
          <w:rFonts w:eastAsia="仿宋_GB2312"/>
          <w:spacing w:val="-10"/>
          <w:sz w:val="32"/>
          <w:szCs w:val="28"/>
        </w:rPr>
        <w:t>）必要的警示、注意事项。</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9</w:t>
      </w:r>
      <w:r>
        <w:rPr>
          <w:rFonts w:eastAsia="仿宋_GB2312"/>
          <w:spacing w:val="-10"/>
          <w:sz w:val="32"/>
          <w:szCs w:val="28"/>
        </w:rPr>
        <w:t>）特殊储存、操作条件或者说明。</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10</w:t>
      </w:r>
      <w:r>
        <w:rPr>
          <w:rFonts w:eastAsia="仿宋_GB2312"/>
          <w:spacing w:val="-10"/>
          <w:sz w:val="32"/>
          <w:szCs w:val="28"/>
        </w:rPr>
        <w:t>）使用中对环境有破坏或者负面影响的医疗器械，其标签应当包含警示标志或者中文警示说明。</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t>（</w:t>
      </w:r>
      <w:r>
        <w:rPr>
          <w:rFonts w:eastAsia="仿宋_GB2312"/>
          <w:spacing w:val="-10"/>
          <w:sz w:val="32"/>
          <w:szCs w:val="28"/>
        </w:rPr>
        <w:t>11</w:t>
      </w:r>
      <w:r>
        <w:rPr>
          <w:rFonts w:eastAsia="仿宋_GB2312"/>
          <w:spacing w:val="-10"/>
          <w:sz w:val="32"/>
          <w:szCs w:val="28"/>
        </w:rPr>
        <w:t>）带放射或者辐射的医疗器械，其标签应当包含警示标志或者中文警示说明。</w:t>
      </w:r>
    </w:p>
    <w:p w:rsidR="00AD7C24" w:rsidRDefault="00B44348">
      <w:pPr>
        <w:overflowPunct w:val="0"/>
        <w:autoSpaceDE w:val="0"/>
        <w:autoSpaceDN w:val="0"/>
        <w:adjustRightInd w:val="0"/>
        <w:snapToGrid w:val="0"/>
        <w:spacing w:line="540" w:lineRule="exact"/>
        <w:ind w:firstLineChars="200" w:firstLine="600"/>
        <w:rPr>
          <w:rFonts w:eastAsia="仿宋_GB2312"/>
          <w:spacing w:val="-10"/>
          <w:sz w:val="32"/>
          <w:szCs w:val="28"/>
        </w:rPr>
      </w:pPr>
      <w:r>
        <w:rPr>
          <w:rFonts w:eastAsia="仿宋_GB2312"/>
          <w:spacing w:val="-10"/>
          <w:sz w:val="32"/>
          <w:szCs w:val="28"/>
        </w:rPr>
        <w:lastRenderedPageBreak/>
        <w:t>医疗器械标签因位置或者大小受限而无法全部标明上述内容的，至少应当标注产品名称、型号、规格、生产日期和使用期限或者失效日期，并在标签中明确</w:t>
      </w:r>
      <w:r>
        <w:rPr>
          <w:rFonts w:eastAsia="仿宋_GB2312"/>
          <w:spacing w:val="-10"/>
          <w:sz w:val="32"/>
          <w:szCs w:val="28"/>
        </w:rPr>
        <w:t>“</w:t>
      </w:r>
      <w:r>
        <w:rPr>
          <w:rFonts w:eastAsia="仿宋_GB2312"/>
          <w:spacing w:val="-10"/>
          <w:sz w:val="32"/>
          <w:szCs w:val="28"/>
        </w:rPr>
        <w:t>其他内容详见说明书</w:t>
      </w:r>
      <w:r>
        <w:rPr>
          <w:rFonts w:eastAsia="仿宋_GB2312"/>
          <w:spacing w:val="-10"/>
          <w:sz w:val="32"/>
          <w:szCs w:val="28"/>
        </w:rPr>
        <w:t>”</w:t>
      </w:r>
      <w:r>
        <w:rPr>
          <w:rFonts w:eastAsia="仿宋_GB2312"/>
          <w:spacing w:val="-10"/>
          <w:sz w:val="32"/>
          <w:szCs w:val="28"/>
        </w:rPr>
        <w:t>。</w:t>
      </w:r>
    </w:p>
    <w:p w:rsidR="00AD7C24" w:rsidRDefault="00B44348">
      <w:pPr>
        <w:spacing w:line="520" w:lineRule="exact"/>
        <w:ind w:firstLineChars="200" w:firstLine="640"/>
        <w:outlineLvl w:val="1"/>
        <w:rPr>
          <w:rFonts w:eastAsia="仿宋_GB2312"/>
          <w:snapToGrid w:val="0"/>
          <w:kern w:val="0"/>
          <w:sz w:val="32"/>
          <w:szCs w:val="32"/>
          <w:lang w:val="zh-CN"/>
        </w:rPr>
      </w:pPr>
      <w:r>
        <w:rPr>
          <w:rFonts w:eastAsia="楷体_GB2312"/>
          <w:bCs/>
          <w:sz w:val="32"/>
          <w:szCs w:val="32"/>
        </w:rPr>
        <w:t>（六）质量管理体系文件</w:t>
      </w:r>
    </w:p>
    <w:p w:rsidR="00AD7C24" w:rsidRDefault="00B44348">
      <w:pPr>
        <w:spacing w:line="520" w:lineRule="exact"/>
        <w:ind w:firstLineChars="200" w:firstLine="640"/>
        <w:rPr>
          <w:rFonts w:eastAsia="仿宋_GB2312"/>
          <w:sz w:val="32"/>
          <w:szCs w:val="32"/>
        </w:rPr>
      </w:pPr>
      <w:r>
        <w:rPr>
          <w:rFonts w:eastAsia="仿宋_GB2312"/>
          <w:sz w:val="32"/>
          <w:szCs w:val="32"/>
        </w:rPr>
        <w:t>产品的质量管理体系文件应符合《医疗器械生产质量管理规范》的要求，并按《医疗器械注册申报资料要求及说明》提交资料。</w:t>
      </w:r>
    </w:p>
    <w:p w:rsidR="00AD7C24" w:rsidRDefault="00B44348">
      <w:pPr>
        <w:spacing w:line="520" w:lineRule="exact"/>
        <w:ind w:firstLineChars="200" w:firstLine="640"/>
        <w:rPr>
          <w:rFonts w:eastAsia="仿宋_GB2312"/>
          <w:sz w:val="32"/>
          <w:szCs w:val="32"/>
        </w:rPr>
      </w:pPr>
      <w:r>
        <w:rPr>
          <w:rFonts w:eastAsia="仿宋_GB2312"/>
          <w:sz w:val="32"/>
          <w:szCs w:val="32"/>
        </w:rPr>
        <w:t>应对产品总体生产工艺做简要说明。生产加工工艺</w:t>
      </w:r>
      <w:r>
        <w:rPr>
          <w:rFonts w:eastAsia="仿宋_GB2312"/>
          <w:sz w:val="32"/>
          <w:szCs w:val="32"/>
        </w:rPr>
        <w:t>可采用流程图的形式，注明关键工艺和特殊工艺，说明过程控制点。应说明外包生产、重要组件或原材料的生产、关键工艺过程等情况。</w:t>
      </w:r>
    </w:p>
    <w:p w:rsidR="00AD7C24" w:rsidRDefault="00B44348">
      <w:pPr>
        <w:spacing w:line="520" w:lineRule="exact"/>
        <w:ind w:firstLineChars="200" w:firstLine="640"/>
      </w:pPr>
      <w:r>
        <w:rPr>
          <w:rFonts w:eastAsia="仿宋_GB2312"/>
          <w:sz w:val="32"/>
          <w:szCs w:val="32"/>
        </w:rPr>
        <w:t>生产工艺应已通过验证，能够生产出质量稳定、安全有效的产品，在注册质量管理体系核查中，对此项内容进行核查。关键工序、特殊过程应编制并执行工艺规程或作业指导书。</w:t>
      </w:r>
    </w:p>
    <w:p w:rsidR="00AD7C24" w:rsidRDefault="00B44348">
      <w:pPr>
        <w:numPr>
          <w:ilvl w:val="0"/>
          <w:numId w:val="2"/>
        </w:numPr>
        <w:spacing w:line="520" w:lineRule="exact"/>
        <w:ind w:firstLineChars="200" w:firstLine="640"/>
        <w:rPr>
          <w:rFonts w:eastAsia="黑体"/>
          <w:sz w:val="32"/>
          <w:szCs w:val="32"/>
        </w:rPr>
      </w:pPr>
      <w:r>
        <w:rPr>
          <w:rFonts w:eastAsia="黑体"/>
          <w:sz w:val="32"/>
          <w:szCs w:val="32"/>
        </w:rPr>
        <w:t>参考文献</w:t>
      </w:r>
      <w:r>
        <w:rPr>
          <w:rFonts w:eastAsia="黑体"/>
          <w:sz w:val="32"/>
          <w:szCs w:val="32"/>
        </w:rPr>
        <w:t xml:space="preserve"> </w:t>
      </w:r>
    </w:p>
    <w:p w:rsidR="00AD7C24" w:rsidRDefault="00B44348">
      <w:pPr>
        <w:spacing w:line="520" w:lineRule="exact"/>
        <w:ind w:firstLineChars="200" w:firstLine="640"/>
        <w:rPr>
          <w:rFonts w:eastAsia="仿宋_GB2312"/>
          <w:snapToGrid w:val="0"/>
          <w:color w:val="000000"/>
          <w:kern w:val="0"/>
          <w:sz w:val="32"/>
          <w:szCs w:val="32"/>
        </w:rPr>
      </w:pPr>
      <w:bookmarkStart w:id="3" w:name="_Ref455122128"/>
      <w:r>
        <w:rPr>
          <w:rFonts w:eastAsia="仿宋_GB2312"/>
          <w:snapToGrid w:val="0"/>
          <w:color w:val="000000"/>
          <w:kern w:val="0"/>
          <w:sz w:val="32"/>
          <w:szCs w:val="32"/>
        </w:rPr>
        <w:t>[1]</w:t>
      </w:r>
      <w:bookmarkStart w:id="4" w:name="_Ref455122141"/>
      <w:bookmarkEnd w:id="3"/>
      <w:r>
        <w:rPr>
          <w:rFonts w:eastAsia="仿宋_GB2312"/>
          <w:snapToGrid w:val="0"/>
          <w:color w:val="000000"/>
          <w:kern w:val="0"/>
          <w:sz w:val="32"/>
          <w:szCs w:val="32"/>
        </w:rPr>
        <w:t>中华人民共和国国务院</w:t>
      </w:r>
      <w:r>
        <w:rPr>
          <w:rFonts w:eastAsia="仿宋_GB2312"/>
          <w:snapToGrid w:val="0"/>
          <w:color w:val="000000"/>
          <w:kern w:val="0"/>
          <w:sz w:val="32"/>
          <w:szCs w:val="32"/>
        </w:rPr>
        <w:t>.</w:t>
      </w:r>
      <w:r>
        <w:rPr>
          <w:rFonts w:eastAsia="仿宋_GB2312"/>
          <w:snapToGrid w:val="0"/>
          <w:color w:val="000000"/>
          <w:kern w:val="0"/>
          <w:sz w:val="32"/>
          <w:szCs w:val="32"/>
        </w:rPr>
        <w:t>医疗器械监督管理条例</w:t>
      </w:r>
      <w:r>
        <w:rPr>
          <w:rFonts w:eastAsia="仿宋_GB2312"/>
          <w:snapToGrid w:val="0"/>
          <w:color w:val="000000"/>
          <w:kern w:val="0"/>
          <w:sz w:val="32"/>
          <w:szCs w:val="32"/>
        </w:rPr>
        <w:t>:</w:t>
      </w:r>
      <w:r>
        <w:rPr>
          <w:rFonts w:eastAsia="仿宋_GB2312"/>
          <w:snapToGrid w:val="0"/>
          <w:color w:val="000000"/>
          <w:kern w:val="0"/>
          <w:sz w:val="32"/>
          <w:szCs w:val="32"/>
        </w:rPr>
        <w:t>中华人民共和国国务院令第</w:t>
      </w:r>
      <w:r>
        <w:rPr>
          <w:rFonts w:eastAsia="仿宋_GB2312"/>
          <w:snapToGrid w:val="0"/>
          <w:color w:val="000000"/>
          <w:kern w:val="0"/>
          <w:sz w:val="32"/>
          <w:szCs w:val="32"/>
        </w:rPr>
        <w:t>739</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[2]</w:t>
      </w:r>
      <w:bookmarkEnd w:id="4"/>
      <w:r>
        <w:rPr>
          <w:rFonts w:eastAsia="仿宋_GB2312"/>
          <w:snapToGrid w:val="0"/>
          <w:color w:val="000000"/>
          <w:kern w:val="0"/>
          <w:sz w:val="32"/>
          <w:szCs w:val="32"/>
        </w:rPr>
        <w:t>国家市场监督管理总局</w:t>
      </w:r>
      <w:r>
        <w:rPr>
          <w:rFonts w:eastAsia="仿宋_GB2312"/>
          <w:snapToGrid w:val="0"/>
          <w:color w:val="000000"/>
          <w:kern w:val="0"/>
          <w:sz w:val="32"/>
          <w:szCs w:val="32"/>
        </w:rPr>
        <w:t>.</w:t>
      </w:r>
      <w:r>
        <w:rPr>
          <w:rFonts w:eastAsia="仿宋_GB2312"/>
          <w:snapToGrid w:val="0"/>
          <w:color w:val="000000"/>
          <w:kern w:val="0"/>
          <w:sz w:val="32"/>
          <w:szCs w:val="32"/>
        </w:rPr>
        <w:t>医疗器械注册与备案管理办法</w:t>
      </w:r>
      <w:r>
        <w:rPr>
          <w:rFonts w:eastAsia="仿宋_GB2312"/>
          <w:snapToGrid w:val="0"/>
          <w:color w:val="000000"/>
          <w:kern w:val="0"/>
          <w:sz w:val="32"/>
          <w:szCs w:val="32"/>
        </w:rPr>
        <w:t>:</w:t>
      </w:r>
      <w:r>
        <w:rPr>
          <w:rFonts w:eastAsia="仿宋_GB2312"/>
          <w:snapToGrid w:val="0"/>
          <w:color w:val="000000"/>
          <w:kern w:val="0"/>
          <w:sz w:val="32"/>
          <w:szCs w:val="32"/>
        </w:rPr>
        <w:t>国家市场监督管理总局令第</w:t>
      </w:r>
      <w:r>
        <w:rPr>
          <w:rFonts w:eastAsia="仿宋_GB2312"/>
          <w:snapToGrid w:val="0"/>
          <w:color w:val="000000"/>
          <w:kern w:val="0"/>
          <w:sz w:val="32"/>
          <w:szCs w:val="32"/>
        </w:rPr>
        <w:t>47</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[3]</w:t>
      </w:r>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医疗器械说明书和标签管理规定</w:t>
      </w:r>
      <w:r>
        <w:rPr>
          <w:rFonts w:eastAsia="仿宋_GB2312"/>
          <w:snapToGrid w:val="0"/>
          <w:color w:val="000000"/>
          <w:kern w:val="0"/>
          <w:sz w:val="32"/>
          <w:szCs w:val="32"/>
        </w:rPr>
        <w:t>:</w:t>
      </w:r>
      <w:r>
        <w:rPr>
          <w:rFonts w:eastAsia="仿宋_GB2312"/>
          <w:snapToGrid w:val="0"/>
          <w:color w:val="000000"/>
          <w:kern w:val="0"/>
          <w:sz w:val="32"/>
          <w:szCs w:val="32"/>
        </w:rPr>
        <w:t>国家食品药品监督管理总局令第</w:t>
      </w:r>
      <w:r>
        <w:rPr>
          <w:rFonts w:eastAsia="仿宋_GB2312"/>
          <w:snapToGrid w:val="0"/>
          <w:color w:val="000000"/>
          <w:kern w:val="0"/>
          <w:sz w:val="32"/>
          <w:szCs w:val="32"/>
        </w:rPr>
        <w:t>6</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[4]</w:t>
      </w:r>
      <w:bookmarkStart w:id="5" w:name="_Ref455123912"/>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医疗器械分类规则</w:t>
      </w:r>
      <w:r>
        <w:rPr>
          <w:rFonts w:eastAsia="仿宋_GB2312"/>
          <w:snapToGrid w:val="0"/>
          <w:color w:val="000000"/>
          <w:kern w:val="0"/>
          <w:sz w:val="32"/>
          <w:szCs w:val="32"/>
        </w:rPr>
        <w:t>:</w:t>
      </w:r>
      <w:r>
        <w:rPr>
          <w:rFonts w:eastAsia="仿宋_GB2312"/>
          <w:snapToGrid w:val="0"/>
          <w:color w:val="000000"/>
          <w:kern w:val="0"/>
          <w:sz w:val="32"/>
          <w:szCs w:val="32"/>
        </w:rPr>
        <w:t>国家食品药品监督管理总局令第</w:t>
      </w:r>
      <w:r>
        <w:rPr>
          <w:rFonts w:eastAsia="仿宋_GB2312"/>
          <w:snapToGrid w:val="0"/>
          <w:color w:val="000000"/>
          <w:kern w:val="0"/>
          <w:sz w:val="32"/>
          <w:szCs w:val="32"/>
        </w:rPr>
        <w:t>15</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[5]</w:t>
      </w:r>
      <w:bookmarkEnd w:id="5"/>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医疗器械通用名称命名规则：国家食品药品监督管理总局令第</w:t>
      </w:r>
      <w:r>
        <w:rPr>
          <w:rFonts w:eastAsia="仿宋_GB2312"/>
          <w:snapToGrid w:val="0"/>
          <w:color w:val="000000"/>
          <w:kern w:val="0"/>
          <w:sz w:val="32"/>
          <w:szCs w:val="32"/>
        </w:rPr>
        <w:t>19</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lastRenderedPageBreak/>
        <w:t>[6]</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中医器械通用名称命名指导原则</w:t>
      </w:r>
      <w:r>
        <w:rPr>
          <w:rFonts w:eastAsia="仿宋_GB2312"/>
          <w:snapToGrid w:val="0"/>
          <w:color w:val="000000"/>
          <w:kern w:val="0"/>
          <w:sz w:val="32"/>
          <w:szCs w:val="32"/>
        </w:rPr>
        <w:t>:</w:t>
      </w:r>
      <w:r>
        <w:rPr>
          <w:rFonts w:eastAsia="仿宋_GB2312"/>
          <w:snapToGrid w:val="0"/>
          <w:color w:val="000000"/>
          <w:kern w:val="0"/>
          <w:sz w:val="32"/>
          <w:szCs w:val="32"/>
        </w:rPr>
        <w:t>国家药监局通告</w:t>
      </w:r>
      <w:r>
        <w:rPr>
          <w:rFonts w:eastAsia="仿宋_GB2312"/>
          <w:snapToGrid w:val="0"/>
          <w:color w:val="000000"/>
          <w:kern w:val="0"/>
          <w:sz w:val="32"/>
          <w:szCs w:val="32"/>
        </w:rPr>
        <w:t>2021</w:t>
      </w:r>
      <w:r>
        <w:rPr>
          <w:rFonts w:eastAsia="仿宋_GB2312"/>
          <w:snapToGrid w:val="0"/>
          <w:color w:val="000000"/>
          <w:kern w:val="0"/>
          <w:sz w:val="32"/>
          <w:szCs w:val="32"/>
        </w:rPr>
        <w:t>年第</w:t>
      </w:r>
      <w:r>
        <w:rPr>
          <w:rFonts w:eastAsia="仿宋_GB2312"/>
          <w:snapToGrid w:val="0"/>
          <w:color w:val="000000"/>
          <w:kern w:val="0"/>
          <w:sz w:val="32"/>
          <w:szCs w:val="32"/>
        </w:rPr>
        <w:t>48</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[7]</w:t>
      </w:r>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医疗器械分类目录</w:t>
      </w:r>
      <w:r>
        <w:rPr>
          <w:rFonts w:eastAsia="仿宋_GB2312"/>
          <w:snapToGrid w:val="0"/>
          <w:color w:val="000000"/>
          <w:kern w:val="0"/>
          <w:sz w:val="32"/>
          <w:szCs w:val="32"/>
        </w:rPr>
        <w:t>:</w:t>
      </w:r>
      <w:r>
        <w:rPr>
          <w:rFonts w:eastAsia="仿宋_GB2312"/>
          <w:snapToGrid w:val="0"/>
          <w:color w:val="000000"/>
          <w:kern w:val="0"/>
          <w:sz w:val="32"/>
          <w:szCs w:val="32"/>
        </w:rPr>
        <w:t>国家食品药品监督管理总局公告</w:t>
      </w:r>
      <w:r>
        <w:rPr>
          <w:rFonts w:eastAsia="仿宋_GB2312"/>
          <w:snapToGrid w:val="0"/>
          <w:color w:val="000000"/>
          <w:kern w:val="0"/>
          <w:sz w:val="32"/>
          <w:szCs w:val="32"/>
        </w:rPr>
        <w:t>2017</w:t>
      </w:r>
      <w:r>
        <w:rPr>
          <w:rFonts w:eastAsia="仿宋_GB2312"/>
          <w:snapToGrid w:val="0"/>
          <w:color w:val="000000"/>
          <w:kern w:val="0"/>
          <w:sz w:val="32"/>
          <w:szCs w:val="32"/>
        </w:rPr>
        <w:t>年第</w:t>
      </w:r>
      <w:r>
        <w:rPr>
          <w:rFonts w:eastAsia="仿宋_GB2312"/>
          <w:snapToGrid w:val="0"/>
          <w:color w:val="000000"/>
          <w:kern w:val="0"/>
          <w:sz w:val="32"/>
          <w:szCs w:val="32"/>
        </w:rPr>
        <w:t>104</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[8]</w:t>
      </w:r>
      <w:r>
        <w:rPr>
          <w:rFonts w:eastAsia="仿宋_GB2312"/>
          <w:snapToGrid w:val="0"/>
          <w:color w:val="000000"/>
          <w:kern w:val="0"/>
          <w:sz w:val="32"/>
          <w:szCs w:val="32"/>
        </w:rPr>
        <w:t>国家食品</w:t>
      </w:r>
      <w:r>
        <w:rPr>
          <w:rFonts w:eastAsia="仿宋_GB2312"/>
          <w:snapToGrid w:val="0"/>
          <w:color w:val="000000"/>
          <w:kern w:val="0"/>
          <w:sz w:val="32"/>
          <w:szCs w:val="32"/>
        </w:rPr>
        <w:t>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医疗器械注册单元划分指导原则</w:t>
      </w:r>
      <w:r>
        <w:rPr>
          <w:rFonts w:eastAsia="仿宋_GB2312"/>
          <w:snapToGrid w:val="0"/>
          <w:color w:val="000000"/>
          <w:kern w:val="0"/>
          <w:sz w:val="32"/>
          <w:szCs w:val="32"/>
        </w:rPr>
        <w:t>:</w:t>
      </w:r>
      <w:r>
        <w:rPr>
          <w:rFonts w:eastAsia="仿宋_GB2312"/>
          <w:snapToGrid w:val="0"/>
          <w:color w:val="000000"/>
          <w:kern w:val="0"/>
          <w:sz w:val="32"/>
          <w:szCs w:val="32"/>
        </w:rPr>
        <w:t>国家食品药品监督管理总局通告</w:t>
      </w:r>
      <w:r>
        <w:rPr>
          <w:rFonts w:eastAsia="仿宋_GB2312"/>
          <w:snapToGrid w:val="0"/>
          <w:color w:val="000000"/>
          <w:kern w:val="0"/>
          <w:sz w:val="32"/>
          <w:szCs w:val="32"/>
        </w:rPr>
        <w:t>2017</w:t>
      </w:r>
      <w:r>
        <w:rPr>
          <w:rFonts w:eastAsia="仿宋_GB2312"/>
          <w:snapToGrid w:val="0"/>
          <w:color w:val="000000"/>
          <w:kern w:val="0"/>
          <w:sz w:val="32"/>
          <w:szCs w:val="32"/>
        </w:rPr>
        <w:t>年第</w:t>
      </w:r>
      <w:r>
        <w:rPr>
          <w:rFonts w:eastAsia="仿宋_GB2312"/>
          <w:snapToGrid w:val="0"/>
          <w:color w:val="000000"/>
          <w:kern w:val="0"/>
          <w:sz w:val="32"/>
          <w:szCs w:val="32"/>
        </w:rPr>
        <w:t>187</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[9]</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有源医疗器械使用期限注册技术审查指导原则</w:t>
      </w:r>
      <w:r>
        <w:rPr>
          <w:rFonts w:eastAsia="仿宋_GB2312"/>
          <w:snapToGrid w:val="0"/>
          <w:color w:val="000000"/>
          <w:kern w:val="0"/>
          <w:sz w:val="32"/>
          <w:szCs w:val="32"/>
        </w:rPr>
        <w:t>:</w:t>
      </w:r>
      <w:r>
        <w:rPr>
          <w:rFonts w:eastAsia="仿宋_GB2312"/>
          <w:snapToGrid w:val="0"/>
          <w:color w:val="000000"/>
          <w:kern w:val="0"/>
          <w:sz w:val="32"/>
          <w:szCs w:val="32"/>
        </w:rPr>
        <w:t>国家药品监督管理局通告</w:t>
      </w:r>
      <w:r>
        <w:rPr>
          <w:rFonts w:eastAsia="仿宋_GB2312"/>
          <w:snapToGrid w:val="0"/>
          <w:color w:val="000000"/>
          <w:kern w:val="0"/>
          <w:sz w:val="32"/>
          <w:szCs w:val="32"/>
        </w:rPr>
        <w:t>2019</w:t>
      </w:r>
      <w:r>
        <w:rPr>
          <w:rFonts w:eastAsia="仿宋_GB2312"/>
          <w:snapToGrid w:val="0"/>
          <w:color w:val="000000"/>
          <w:kern w:val="0"/>
          <w:sz w:val="32"/>
          <w:szCs w:val="32"/>
        </w:rPr>
        <w:t>年第</w:t>
      </w:r>
      <w:r>
        <w:rPr>
          <w:rFonts w:eastAsia="仿宋_GB2312"/>
          <w:snapToGrid w:val="0"/>
          <w:color w:val="000000"/>
          <w:kern w:val="0"/>
          <w:sz w:val="32"/>
          <w:szCs w:val="32"/>
        </w:rPr>
        <w:t>23</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[10]</w:t>
      </w:r>
      <w:r>
        <w:rPr>
          <w:rFonts w:eastAsia="仿宋_GB2312"/>
          <w:snapToGrid w:val="0"/>
          <w:color w:val="000000"/>
          <w:kern w:val="0"/>
          <w:sz w:val="32"/>
          <w:szCs w:val="32"/>
        </w:rPr>
        <w:t>国家药品监督管理局医疗器械审评中心</w:t>
      </w:r>
      <w:r>
        <w:rPr>
          <w:rFonts w:eastAsia="仿宋_GB2312"/>
          <w:snapToGrid w:val="0"/>
          <w:color w:val="000000"/>
          <w:kern w:val="0"/>
          <w:sz w:val="32"/>
          <w:szCs w:val="32"/>
        </w:rPr>
        <w:t>.</w:t>
      </w:r>
      <w:r>
        <w:rPr>
          <w:rFonts w:eastAsia="仿宋_GB2312"/>
          <w:snapToGrid w:val="0"/>
          <w:color w:val="000000"/>
          <w:kern w:val="0"/>
          <w:sz w:val="32"/>
          <w:szCs w:val="32"/>
        </w:rPr>
        <w:t>医疗器械软件注册审查指导原则（</w:t>
      </w:r>
      <w:r>
        <w:rPr>
          <w:rFonts w:eastAsia="仿宋_GB2312"/>
          <w:snapToGrid w:val="0"/>
          <w:color w:val="000000"/>
          <w:kern w:val="0"/>
          <w:sz w:val="32"/>
          <w:szCs w:val="32"/>
        </w:rPr>
        <w:t>2022</w:t>
      </w:r>
      <w:r>
        <w:rPr>
          <w:rFonts w:eastAsia="仿宋_GB2312"/>
          <w:snapToGrid w:val="0"/>
          <w:color w:val="000000"/>
          <w:kern w:val="0"/>
          <w:sz w:val="32"/>
          <w:szCs w:val="32"/>
        </w:rPr>
        <w:t>年修订版）</w:t>
      </w:r>
      <w:r>
        <w:rPr>
          <w:rFonts w:eastAsia="仿宋_GB2312"/>
          <w:snapToGrid w:val="0"/>
          <w:color w:val="000000"/>
          <w:kern w:val="0"/>
          <w:sz w:val="32"/>
          <w:szCs w:val="32"/>
        </w:rPr>
        <w:t>:</w:t>
      </w:r>
      <w:r>
        <w:rPr>
          <w:rFonts w:eastAsia="仿宋_GB2312"/>
          <w:snapToGrid w:val="0"/>
          <w:color w:val="000000"/>
          <w:kern w:val="0"/>
          <w:sz w:val="32"/>
          <w:szCs w:val="32"/>
        </w:rPr>
        <w:t>国家药监</w:t>
      </w:r>
      <w:proofErr w:type="gramStart"/>
      <w:r>
        <w:rPr>
          <w:rFonts w:eastAsia="仿宋_GB2312"/>
          <w:snapToGrid w:val="0"/>
          <w:color w:val="000000"/>
          <w:kern w:val="0"/>
          <w:sz w:val="32"/>
          <w:szCs w:val="32"/>
        </w:rPr>
        <w:t>局器审中心</w:t>
      </w:r>
      <w:proofErr w:type="gramEnd"/>
      <w:r>
        <w:rPr>
          <w:rFonts w:eastAsia="仿宋_GB2312"/>
          <w:snapToGrid w:val="0"/>
          <w:color w:val="000000"/>
          <w:kern w:val="0"/>
          <w:sz w:val="32"/>
          <w:szCs w:val="32"/>
        </w:rPr>
        <w:t>通告</w:t>
      </w:r>
      <w:r>
        <w:rPr>
          <w:rFonts w:eastAsia="仿宋_GB2312"/>
          <w:snapToGrid w:val="0"/>
          <w:color w:val="000000"/>
          <w:kern w:val="0"/>
          <w:sz w:val="32"/>
          <w:szCs w:val="32"/>
        </w:rPr>
        <w:t>2022</w:t>
      </w:r>
      <w:r>
        <w:rPr>
          <w:rFonts w:eastAsia="仿宋_GB2312"/>
          <w:snapToGrid w:val="0"/>
          <w:color w:val="000000"/>
          <w:kern w:val="0"/>
          <w:sz w:val="32"/>
          <w:szCs w:val="32"/>
        </w:rPr>
        <w:t>年第</w:t>
      </w:r>
      <w:r>
        <w:rPr>
          <w:rFonts w:eastAsia="仿宋_GB2312"/>
          <w:snapToGrid w:val="0"/>
          <w:color w:val="000000"/>
          <w:kern w:val="0"/>
          <w:sz w:val="32"/>
          <w:szCs w:val="32"/>
        </w:rPr>
        <w:t>9</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[11]</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医疗器械临床评价技术指导原则</w:t>
      </w:r>
      <w:r>
        <w:rPr>
          <w:rFonts w:eastAsia="仿宋_GB2312"/>
          <w:snapToGrid w:val="0"/>
          <w:color w:val="000000"/>
          <w:kern w:val="0"/>
          <w:sz w:val="32"/>
          <w:szCs w:val="32"/>
        </w:rPr>
        <w:t>:</w:t>
      </w:r>
      <w:r>
        <w:rPr>
          <w:rFonts w:eastAsia="仿宋_GB2312"/>
          <w:snapToGrid w:val="0"/>
          <w:color w:val="000000"/>
          <w:kern w:val="0"/>
          <w:sz w:val="32"/>
          <w:szCs w:val="32"/>
        </w:rPr>
        <w:t>国家药监局通告</w:t>
      </w:r>
      <w:r>
        <w:rPr>
          <w:rFonts w:eastAsia="仿宋_GB2312"/>
          <w:snapToGrid w:val="0"/>
          <w:color w:val="000000"/>
          <w:kern w:val="0"/>
          <w:sz w:val="32"/>
          <w:szCs w:val="32"/>
        </w:rPr>
        <w:t>2021</w:t>
      </w:r>
      <w:r>
        <w:rPr>
          <w:rFonts w:eastAsia="仿宋_GB2312"/>
          <w:snapToGrid w:val="0"/>
          <w:color w:val="000000"/>
          <w:kern w:val="0"/>
          <w:sz w:val="32"/>
          <w:szCs w:val="32"/>
        </w:rPr>
        <w:t>年第</w:t>
      </w:r>
      <w:r>
        <w:rPr>
          <w:rFonts w:eastAsia="仿宋_GB2312"/>
          <w:snapToGrid w:val="0"/>
          <w:color w:val="000000"/>
          <w:kern w:val="0"/>
          <w:sz w:val="32"/>
          <w:szCs w:val="32"/>
        </w:rPr>
        <w:t>73</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[12]</w:t>
      </w:r>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医疗器械生物学评</w:t>
      </w:r>
      <w:r>
        <w:rPr>
          <w:rFonts w:eastAsia="仿宋_GB2312"/>
          <w:snapToGrid w:val="0"/>
          <w:color w:val="000000"/>
          <w:kern w:val="0"/>
          <w:sz w:val="32"/>
          <w:szCs w:val="32"/>
        </w:rPr>
        <w:t>价和审查指南</w:t>
      </w:r>
      <w:r>
        <w:rPr>
          <w:rFonts w:eastAsia="仿宋_GB2312"/>
          <w:snapToGrid w:val="0"/>
          <w:color w:val="000000"/>
          <w:kern w:val="0"/>
          <w:sz w:val="32"/>
          <w:szCs w:val="32"/>
        </w:rPr>
        <w:t>:</w:t>
      </w:r>
      <w:r>
        <w:rPr>
          <w:rFonts w:eastAsia="仿宋_GB2312"/>
          <w:snapToGrid w:val="0"/>
          <w:color w:val="000000"/>
          <w:kern w:val="0"/>
          <w:sz w:val="32"/>
          <w:szCs w:val="32"/>
        </w:rPr>
        <w:t>国家食品药品监督管理局通知</w:t>
      </w:r>
      <w:r>
        <w:rPr>
          <w:rFonts w:eastAsia="仿宋_GB2312"/>
          <w:snapToGrid w:val="0"/>
          <w:color w:val="000000"/>
          <w:kern w:val="0"/>
          <w:sz w:val="32"/>
          <w:szCs w:val="32"/>
        </w:rPr>
        <w:t>2007</w:t>
      </w:r>
      <w:r>
        <w:rPr>
          <w:rFonts w:eastAsia="仿宋_GB2312"/>
          <w:snapToGrid w:val="0"/>
          <w:color w:val="000000"/>
          <w:kern w:val="0"/>
          <w:sz w:val="32"/>
          <w:szCs w:val="32"/>
        </w:rPr>
        <w:t>年</w:t>
      </w:r>
      <w:r>
        <w:rPr>
          <w:rFonts w:eastAsia="仿宋_GB2312"/>
          <w:snapToGrid w:val="0"/>
          <w:color w:val="000000"/>
          <w:kern w:val="0"/>
          <w:sz w:val="32"/>
          <w:szCs w:val="32"/>
        </w:rPr>
        <w:t>345</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[13]</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医疗器械产品技术要求编写指导原则</w:t>
      </w:r>
      <w:r>
        <w:rPr>
          <w:rFonts w:eastAsia="仿宋_GB2312"/>
          <w:snapToGrid w:val="0"/>
          <w:color w:val="000000"/>
          <w:kern w:val="0"/>
          <w:sz w:val="32"/>
          <w:szCs w:val="32"/>
        </w:rPr>
        <w:t>:</w:t>
      </w:r>
      <w:r>
        <w:rPr>
          <w:rFonts w:eastAsia="仿宋_GB2312"/>
          <w:snapToGrid w:val="0"/>
          <w:color w:val="000000"/>
          <w:kern w:val="0"/>
          <w:sz w:val="32"/>
          <w:szCs w:val="32"/>
        </w:rPr>
        <w:t>国家药监局通告</w:t>
      </w:r>
      <w:r>
        <w:rPr>
          <w:rFonts w:eastAsia="仿宋_GB2312"/>
          <w:snapToGrid w:val="0"/>
          <w:color w:val="000000"/>
          <w:kern w:val="0"/>
          <w:sz w:val="32"/>
          <w:szCs w:val="32"/>
        </w:rPr>
        <w:t>2022</w:t>
      </w:r>
      <w:r>
        <w:rPr>
          <w:rFonts w:eastAsia="仿宋_GB2312"/>
          <w:snapToGrid w:val="0"/>
          <w:color w:val="000000"/>
          <w:kern w:val="0"/>
          <w:sz w:val="32"/>
          <w:szCs w:val="32"/>
        </w:rPr>
        <w:t>年第</w:t>
      </w:r>
      <w:r>
        <w:rPr>
          <w:rFonts w:eastAsia="仿宋_GB2312"/>
          <w:snapToGrid w:val="0"/>
          <w:color w:val="000000"/>
          <w:kern w:val="0"/>
          <w:sz w:val="32"/>
          <w:szCs w:val="32"/>
        </w:rPr>
        <w:t>8</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[14]</w:t>
      </w:r>
      <w:bookmarkStart w:id="6" w:name="_Ref455127285"/>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医疗器械注册申报资料要求和批准证明文件格式</w:t>
      </w:r>
      <w:r>
        <w:rPr>
          <w:rFonts w:eastAsia="仿宋_GB2312"/>
          <w:snapToGrid w:val="0"/>
          <w:color w:val="000000"/>
          <w:kern w:val="0"/>
          <w:sz w:val="32"/>
          <w:szCs w:val="32"/>
        </w:rPr>
        <w:t>:</w:t>
      </w:r>
      <w:r>
        <w:rPr>
          <w:rFonts w:eastAsia="仿宋_GB2312"/>
          <w:snapToGrid w:val="0"/>
          <w:color w:val="000000"/>
          <w:kern w:val="0"/>
          <w:sz w:val="32"/>
          <w:szCs w:val="32"/>
        </w:rPr>
        <w:t>国家药监局公告</w:t>
      </w:r>
      <w:r>
        <w:rPr>
          <w:rFonts w:eastAsia="仿宋_GB2312"/>
          <w:snapToGrid w:val="0"/>
          <w:color w:val="000000"/>
          <w:kern w:val="0"/>
          <w:sz w:val="32"/>
          <w:szCs w:val="32"/>
        </w:rPr>
        <w:t>2021</w:t>
      </w:r>
      <w:r>
        <w:rPr>
          <w:rFonts w:eastAsia="仿宋_GB2312"/>
          <w:snapToGrid w:val="0"/>
          <w:color w:val="000000"/>
          <w:kern w:val="0"/>
          <w:sz w:val="32"/>
          <w:szCs w:val="32"/>
        </w:rPr>
        <w:t>年第</w:t>
      </w:r>
      <w:r>
        <w:rPr>
          <w:rFonts w:eastAsia="仿宋_GB2312"/>
          <w:snapToGrid w:val="0"/>
          <w:color w:val="000000"/>
          <w:kern w:val="0"/>
          <w:sz w:val="32"/>
          <w:szCs w:val="32"/>
        </w:rPr>
        <w:t>121</w:t>
      </w:r>
      <w:r>
        <w:rPr>
          <w:rFonts w:eastAsia="仿宋_GB2312"/>
          <w:snapToGrid w:val="0"/>
          <w:color w:val="000000"/>
          <w:kern w:val="0"/>
          <w:sz w:val="32"/>
          <w:szCs w:val="32"/>
        </w:rPr>
        <w:t>号</w:t>
      </w:r>
      <w:r>
        <w:rPr>
          <w:rFonts w:eastAsia="仿宋_GB2312"/>
          <w:snapToGrid w:val="0"/>
          <w:color w:val="000000"/>
          <w:kern w:val="0"/>
          <w:sz w:val="32"/>
          <w:szCs w:val="32"/>
        </w:rPr>
        <w:t>[Z].</w:t>
      </w:r>
      <w:bookmarkEnd w:id="6"/>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[15]</w:t>
      </w:r>
      <w:r>
        <w:rPr>
          <w:rFonts w:eastAsia="仿宋_GB2312"/>
          <w:snapToGrid w:val="0"/>
          <w:color w:val="000000"/>
          <w:kern w:val="0"/>
          <w:sz w:val="32"/>
          <w:szCs w:val="32"/>
        </w:rPr>
        <w:t>国家药品监督管理局医疗器械审评中心</w:t>
      </w:r>
      <w:r>
        <w:rPr>
          <w:rFonts w:eastAsia="仿宋_GB2312"/>
          <w:snapToGrid w:val="0"/>
          <w:color w:val="000000"/>
          <w:kern w:val="0"/>
          <w:sz w:val="32"/>
          <w:szCs w:val="32"/>
        </w:rPr>
        <w:t>:</w:t>
      </w:r>
      <w:r>
        <w:rPr>
          <w:rFonts w:eastAsia="仿宋_GB2312"/>
          <w:snapToGrid w:val="0"/>
          <w:color w:val="000000"/>
          <w:kern w:val="0"/>
          <w:sz w:val="32"/>
          <w:szCs w:val="32"/>
        </w:rPr>
        <w:t>移动医疗器械注册审查指导原则（</w:t>
      </w:r>
      <w:r>
        <w:rPr>
          <w:rFonts w:eastAsia="仿宋_GB2312"/>
          <w:snapToGrid w:val="0"/>
          <w:color w:val="000000"/>
          <w:kern w:val="0"/>
          <w:sz w:val="32"/>
          <w:szCs w:val="32"/>
        </w:rPr>
        <w:t>2025</w:t>
      </w:r>
      <w:r>
        <w:rPr>
          <w:rFonts w:eastAsia="仿宋_GB2312"/>
          <w:snapToGrid w:val="0"/>
          <w:color w:val="000000"/>
          <w:kern w:val="0"/>
          <w:sz w:val="32"/>
          <w:szCs w:val="32"/>
        </w:rPr>
        <w:t>年修订版）</w:t>
      </w:r>
      <w:r>
        <w:rPr>
          <w:rFonts w:eastAsia="仿宋_GB2312"/>
          <w:snapToGrid w:val="0"/>
          <w:color w:val="000000"/>
          <w:kern w:val="0"/>
          <w:sz w:val="32"/>
          <w:szCs w:val="32"/>
        </w:rPr>
        <w:t>:</w:t>
      </w:r>
      <w:r>
        <w:rPr>
          <w:rFonts w:eastAsia="仿宋_GB2312"/>
          <w:snapToGrid w:val="0"/>
          <w:color w:val="000000"/>
          <w:kern w:val="0"/>
          <w:sz w:val="32"/>
          <w:szCs w:val="32"/>
        </w:rPr>
        <w:t>国家药监</w:t>
      </w:r>
      <w:proofErr w:type="gramStart"/>
      <w:r>
        <w:rPr>
          <w:rFonts w:eastAsia="仿宋_GB2312"/>
          <w:snapToGrid w:val="0"/>
          <w:color w:val="000000"/>
          <w:kern w:val="0"/>
          <w:sz w:val="32"/>
          <w:szCs w:val="32"/>
        </w:rPr>
        <w:t>局器审中心</w:t>
      </w:r>
      <w:proofErr w:type="gramEnd"/>
      <w:r>
        <w:rPr>
          <w:rFonts w:eastAsia="仿宋_GB2312"/>
          <w:snapToGrid w:val="0"/>
          <w:color w:val="000000"/>
          <w:kern w:val="0"/>
          <w:sz w:val="32"/>
          <w:szCs w:val="32"/>
        </w:rPr>
        <w:t>通告</w:t>
      </w:r>
      <w:r>
        <w:rPr>
          <w:rFonts w:eastAsia="仿宋_GB2312"/>
          <w:snapToGrid w:val="0"/>
          <w:color w:val="000000"/>
          <w:kern w:val="0"/>
          <w:sz w:val="32"/>
          <w:szCs w:val="32"/>
        </w:rPr>
        <w:t>2025</w:t>
      </w:r>
      <w:r>
        <w:rPr>
          <w:rFonts w:eastAsia="仿宋_GB2312"/>
          <w:snapToGrid w:val="0"/>
          <w:color w:val="000000"/>
          <w:kern w:val="0"/>
          <w:sz w:val="32"/>
          <w:szCs w:val="32"/>
        </w:rPr>
        <w:t>年第</w:t>
      </w:r>
      <w:r>
        <w:rPr>
          <w:rFonts w:eastAsia="仿宋_GB2312"/>
          <w:snapToGrid w:val="0"/>
          <w:color w:val="000000"/>
          <w:kern w:val="0"/>
          <w:sz w:val="32"/>
          <w:szCs w:val="32"/>
        </w:rPr>
        <w:t>9</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[16]</w:t>
      </w:r>
      <w:r>
        <w:rPr>
          <w:rFonts w:eastAsia="仿宋_GB2312"/>
          <w:snapToGrid w:val="0"/>
          <w:color w:val="000000"/>
          <w:kern w:val="0"/>
          <w:sz w:val="32"/>
          <w:szCs w:val="32"/>
        </w:rPr>
        <w:t>国家药品监督管理局医疗器械审评中心</w:t>
      </w:r>
      <w:r>
        <w:rPr>
          <w:rFonts w:eastAsia="仿宋_GB2312"/>
          <w:snapToGrid w:val="0"/>
          <w:color w:val="000000"/>
          <w:kern w:val="0"/>
          <w:sz w:val="32"/>
          <w:szCs w:val="32"/>
        </w:rPr>
        <w:t>.</w:t>
      </w:r>
      <w:r>
        <w:rPr>
          <w:rFonts w:eastAsia="仿宋_GB2312"/>
          <w:snapToGrid w:val="0"/>
          <w:color w:val="000000"/>
          <w:kern w:val="0"/>
          <w:sz w:val="32"/>
          <w:szCs w:val="32"/>
        </w:rPr>
        <w:t>医疗器械光辐射安全注册审查指导原则</w:t>
      </w:r>
      <w:r>
        <w:rPr>
          <w:rFonts w:eastAsia="仿宋_GB2312"/>
          <w:snapToGrid w:val="0"/>
          <w:color w:val="000000"/>
          <w:kern w:val="0"/>
          <w:sz w:val="32"/>
          <w:szCs w:val="32"/>
        </w:rPr>
        <w:t>:</w:t>
      </w:r>
      <w:r>
        <w:rPr>
          <w:rFonts w:eastAsia="仿宋_GB2312"/>
          <w:snapToGrid w:val="0"/>
          <w:color w:val="000000"/>
          <w:kern w:val="0"/>
          <w:sz w:val="32"/>
          <w:szCs w:val="32"/>
        </w:rPr>
        <w:t>国家</w:t>
      </w:r>
      <w:r>
        <w:rPr>
          <w:rFonts w:eastAsia="仿宋_GB2312"/>
          <w:snapToGrid w:val="0"/>
          <w:color w:val="000000"/>
          <w:kern w:val="0"/>
          <w:sz w:val="32"/>
          <w:szCs w:val="32"/>
        </w:rPr>
        <w:t>药监</w:t>
      </w:r>
      <w:proofErr w:type="gramStart"/>
      <w:r>
        <w:rPr>
          <w:rFonts w:eastAsia="仿宋_GB2312"/>
          <w:snapToGrid w:val="0"/>
          <w:color w:val="000000"/>
          <w:kern w:val="0"/>
          <w:sz w:val="32"/>
          <w:szCs w:val="32"/>
        </w:rPr>
        <w:t>局器审中心</w:t>
      </w:r>
      <w:proofErr w:type="gramEnd"/>
      <w:r>
        <w:rPr>
          <w:rFonts w:eastAsia="仿宋_GB2312"/>
          <w:snapToGrid w:val="0"/>
          <w:color w:val="000000"/>
          <w:kern w:val="0"/>
          <w:sz w:val="32"/>
          <w:szCs w:val="32"/>
        </w:rPr>
        <w:t>通告</w:t>
      </w:r>
      <w:r>
        <w:rPr>
          <w:rFonts w:eastAsia="仿宋_GB2312"/>
          <w:snapToGrid w:val="0"/>
          <w:color w:val="000000"/>
          <w:kern w:val="0"/>
          <w:sz w:val="32"/>
          <w:szCs w:val="32"/>
        </w:rPr>
        <w:t>2024</w:t>
      </w:r>
      <w:r>
        <w:rPr>
          <w:rFonts w:eastAsia="仿宋_GB2312"/>
          <w:snapToGrid w:val="0"/>
          <w:color w:val="000000"/>
          <w:kern w:val="0"/>
          <w:sz w:val="32"/>
          <w:szCs w:val="32"/>
        </w:rPr>
        <w:t>年第</w:t>
      </w:r>
      <w:r>
        <w:rPr>
          <w:rFonts w:eastAsia="仿宋_GB2312"/>
          <w:snapToGrid w:val="0"/>
          <w:color w:val="000000"/>
          <w:kern w:val="0"/>
          <w:sz w:val="32"/>
          <w:szCs w:val="32"/>
        </w:rPr>
        <w:t>12</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微软雅黑"/>
        </w:rPr>
      </w:pPr>
      <w:r>
        <w:rPr>
          <w:rFonts w:eastAsia="仿宋_GB2312"/>
          <w:snapToGrid w:val="0"/>
          <w:color w:val="000000"/>
          <w:kern w:val="0"/>
          <w:sz w:val="32"/>
          <w:szCs w:val="32"/>
        </w:rPr>
        <w:lastRenderedPageBreak/>
        <w:t>[17]</w:t>
      </w:r>
      <w:r>
        <w:rPr>
          <w:rFonts w:eastAsia="仿宋_GB2312"/>
          <w:snapToGrid w:val="0"/>
          <w:color w:val="000000"/>
          <w:kern w:val="0"/>
          <w:sz w:val="32"/>
          <w:szCs w:val="32"/>
        </w:rPr>
        <w:t>国家药品监督管理局医疗器械审评中心</w:t>
      </w:r>
      <w:r>
        <w:rPr>
          <w:rFonts w:eastAsia="仿宋_GB2312"/>
          <w:snapToGrid w:val="0"/>
          <w:color w:val="000000"/>
          <w:kern w:val="0"/>
          <w:sz w:val="32"/>
          <w:szCs w:val="32"/>
        </w:rPr>
        <w:t>.</w:t>
      </w:r>
      <w:r>
        <w:rPr>
          <w:rFonts w:eastAsia="仿宋_GB2312"/>
          <w:snapToGrid w:val="0"/>
          <w:color w:val="000000"/>
          <w:kern w:val="0"/>
          <w:sz w:val="32"/>
          <w:szCs w:val="32"/>
        </w:rPr>
        <w:t>医疗器械可用性工程注册审查指导原则</w:t>
      </w:r>
      <w:r>
        <w:rPr>
          <w:rFonts w:eastAsia="仿宋_GB2312"/>
          <w:snapToGrid w:val="0"/>
          <w:color w:val="000000"/>
          <w:kern w:val="0"/>
          <w:sz w:val="32"/>
          <w:szCs w:val="32"/>
        </w:rPr>
        <w:t>:</w:t>
      </w:r>
      <w:r>
        <w:rPr>
          <w:rFonts w:eastAsia="仿宋_GB2312"/>
          <w:snapToGrid w:val="0"/>
          <w:color w:val="000000"/>
          <w:kern w:val="0"/>
          <w:sz w:val="32"/>
          <w:szCs w:val="32"/>
        </w:rPr>
        <w:t>国家药监</w:t>
      </w:r>
      <w:proofErr w:type="gramStart"/>
      <w:r>
        <w:rPr>
          <w:rFonts w:eastAsia="仿宋_GB2312"/>
          <w:snapToGrid w:val="0"/>
          <w:color w:val="000000"/>
          <w:kern w:val="0"/>
          <w:sz w:val="32"/>
          <w:szCs w:val="32"/>
        </w:rPr>
        <w:t>局器审中心</w:t>
      </w:r>
      <w:proofErr w:type="gramEnd"/>
      <w:r>
        <w:rPr>
          <w:rFonts w:eastAsia="仿宋_GB2312"/>
          <w:snapToGrid w:val="0"/>
          <w:color w:val="000000"/>
          <w:kern w:val="0"/>
          <w:sz w:val="32"/>
          <w:szCs w:val="32"/>
        </w:rPr>
        <w:t>通告</w:t>
      </w:r>
      <w:r>
        <w:rPr>
          <w:rFonts w:eastAsia="仿宋_GB2312"/>
          <w:snapToGrid w:val="0"/>
          <w:color w:val="000000"/>
          <w:kern w:val="0"/>
          <w:sz w:val="32"/>
          <w:szCs w:val="32"/>
        </w:rPr>
        <w:t>2024</w:t>
      </w:r>
      <w:r>
        <w:rPr>
          <w:rFonts w:eastAsia="仿宋_GB2312"/>
          <w:snapToGrid w:val="0"/>
          <w:color w:val="000000"/>
          <w:kern w:val="0"/>
          <w:sz w:val="32"/>
          <w:szCs w:val="32"/>
        </w:rPr>
        <w:t>年第</w:t>
      </w:r>
      <w:r>
        <w:rPr>
          <w:rFonts w:eastAsia="仿宋_GB2312"/>
          <w:snapToGrid w:val="0"/>
          <w:color w:val="000000"/>
          <w:kern w:val="0"/>
          <w:sz w:val="32"/>
          <w:szCs w:val="32"/>
        </w:rPr>
        <w:t>13</w:t>
      </w:r>
      <w:r>
        <w:rPr>
          <w:rFonts w:eastAsia="仿宋_GB2312"/>
          <w:snapToGrid w:val="0"/>
          <w:color w:val="000000"/>
          <w:kern w:val="0"/>
          <w:sz w:val="32"/>
          <w:szCs w:val="32"/>
        </w:rPr>
        <w:t>号</w:t>
      </w:r>
      <w:r>
        <w:rPr>
          <w:rFonts w:eastAsia="仿宋_GB2312"/>
          <w:snapToGrid w:val="0"/>
          <w:color w:val="000000"/>
          <w:kern w:val="0"/>
          <w:sz w:val="32"/>
          <w:szCs w:val="32"/>
        </w:rPr>
        <w:t>[Z].</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[18]GB 9706.1-2020,</w:t>
      </w:r>
      <w:r>
        <w:rPr>
          <w:rFonts w:eastAsia="仿宋_GB2312"/>
          <w:snapToGrid w:val="0"/>
          <w:color w:val="000000"/>
          <w:kern w:val="0"/>
          <w:sz w:val="32"/>
          <w:szCs w:val="32"/>
        </w:rPr>
        <w:t>医用电气设备</w:t>
      </w:r>
      <w:r>
        <w:rPr>
          <w:rFonts w:eastAsia="仿宋_GB2312"/>
          <w:snapToGrid w:val="0"/>
          <w:color w:val="000000"/>
          <w:kern w:val="0"/>
          <w:sz w:val="32"/>
          <w:szCs w:val="32"/>
        </w:rPr>
        <w:t xml:space="preserve"> </w:t>
      </w:r>
      <w:r>
        <w:rPr>
          <w:rFonts w:eastAsia="仿宋_GB2312"/>
          <w:snapToGrid w:val="0"/>
          <w:color w:val="000000"/>
          <w:kern w:val="0"/>
          <w:sz w:val="32"/>
          <w:szCs w:val="32"/>
        </w:rPr>
        <w:t>第</w:t>
      </w:r>
      <w:r>
        <w:rPr>
          <w:rFonts w:eastAsia="仿宋_GB2312"/>
          <w:snapToGrid w:val="0"/>
          <w:color w:val="000000"/>
          <w:kern w:val="0"/>
          <w:sz w:val="32"/>
          <w:szCs w:val="32"/>
        </w:rPr>
        <w:t>1</w:t>
      </w:r>
      <w:r>
        <w:rPr>
          <w:rFonts w:eastAsia="仿宋_GB2312"/>
          <w:snapToGrid w:val="0"/>
          <w:color w:val="000000"/>
          <w:kern w:val="0"/>
          <w:sz w:val="32"/>
          <w:szCs w:val="32"/>
        </w:rPr>
        <w:t>部分：基本安全和基本性能的通用要求</w:t>
      </w:r>
      <w:r>
        <w:rPr>
          <w:rFonts w:eastAsia="仿宋_GB2312"/>
          <w:snapToGrid w:val="0"/>
          <w:color w:val="000000"/>
          <w:kern w:val="0"/>
          <w:sz w:val="32"/>
          <w:szCs w:val="32"/>
        </w:rPr>
        <w:t>[S].</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[19]YY 9706.102-2021,</w:t>
      </w:r>
      <w:r>
        <w:rPr>
          <w:rFonts w:eastAsia="仿宋_GB2312"/>
          <w:snapToGrid w:val="0"/>
          <w:color w:val="000000"/>
          <w:kern w:val="0"/>
          <w:sz w:val="32"/>
          <w:szCs w:val="32"/>
        </w:rPr>
        <w:t>医用电气设备　第</w:t>
      </w:r>
      <w:r>
        <w:rPr>
          <w:rFonts w:eastAsia="仿宋_GB2312"/>
          <w:snapToGrid w:val="0"/>
          <w:color w:val="000000"/>
          <w:kern w:val="0"/>
          <w:sz w:val="32"/>
          <w:szCs w:val="32"/>
        </w:rPr>
        <w:t>1-2</w:t>
      </w:r>
      <w:r>
        <w:rPr>
          <w:rFonts w:eastAsia="仿宋_GB2312"/>
          <w:snapToGrid w:val="0"/>
          <w:color w:val="000000"/>
          <w:kern w:val="0"/>
          <w:sz w:val="32"/>
          <w:szCs w:val="32"/>
        </w:rPr>
        <w:t>部分：基本安全和基本性能的通用要求　并列标准：电磁兼容要求和试验</w:t>
      </w:r>
      <w:r>
        <w:rPr>
          <w:rFonts w:eastAsia="仿宋_GB2312"/>
          <w:snapToGrid w:val="0"/>
          <w:color w:val="000000"/>
          <w:kern w:val="0"/>
          <w:sz w:val="32"/>
          <w:szCs w:val="32"/>
        </w:rPr>
        <w:t>[S].</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 xml:space="preserve">[20]YY/T </w:t>
      </w:r>
      <w:r>
        <w:rPr>
          <w:rFonts w:eastAsia="仿宋_GB2312"/>
          <w:snapToGrid w:val="0"/>
          <w:color w:val="000000"/>
          <w:kern w:val="0"/>
          <w:sz w:val="32"/>
          <w:szCs w:val="32"/>
        </w:rPr>
        <w:t>0466.1-2023,</w:t>
      </w:r>
      <w:r>
        <w:rPr>
          <w:rFonts w:eastAsia="仿宋_GB2312"/>
          <w:snapToGrid w:val="0"/>
          <w:color w:val="000000"/>
          <w:kern w:val="0"/>
          <w:sz w:val="32"/>
          <w:szCs w:val="32"/>
        </w:rPr>
        <w:t>医疗器械用于医疗器械标签、标记和提供信息的符号第</w:t>
      </w:r>
      <w:r>
        <w:rPr>
          <w:rFonts w:eastAsia="仿宋_GB2312"/>
          <w:snapToGrid w:val="0"/>
          <w:color w:val="000000"/>
          <w:kern w:val="0"/>
          <w:sz w:val="32"/>
          <w:szCs w:val="32"/>
        </w:rPr>
        <w:t>1</w:t>
      </w:r>
      <w:r>
        <w:rPr>
          <w:rFonts w:eastAsia="仿宋_GB2312"/>
          <w:snapToGrid w:val="0"/>
          <w:color w:val="000000"/>
          <w:kern w:val="0"/>
          <w:sz w:val="32"/>
          <w:szCs w:val="32"/>
        </w:rPr>
        <w:t>部分：通用要求</w:t>
      </w:r>
      <w:r>
        <w:rPr>
          <w:rFonts w:eastAsia="仿宋_GB2312"/>
          <w:snapToGrid w:val="0"/>
          <w:color w:val="000000"/>
          <w:kern w:val="0"/>
          <w:sz w:val="32"/>
          <w:szCs w:val="32"/>
        </w:rPr>
        <w:t>[S].</w:t>
      </w:r>
    </w:p>
    <w:p w:rsidR="00AD7C24" w:rsidRDefault="00B44348">
      <w:pPr>
        <w:spacing w:line="520" w:lineRule="exact"/>
        <w:ind w:firstLineChars="200" w:firstLine="640"/>
        <w:rPr>
          <w:rFonts w:eastAsia="仿宋_GB2312"/>
          <w:sz w:val="32"/>
          <w:szCs w:val="32"/>
        </w:rPr>
      </w:pPr>
      <w:r>
        <w:rPr>
          <w:rFonts w:eastAsia="仿宋_GB2312"/>
          <w:snapToGrid w:val="0"/>
          <w:color w:val="000000" w:themeColor="text1"/>
          <w:kern w:val="0"/>
          <w:sz w:val="32"/>
          <w:szCs w:val="32"/>
        </w:rPr>
        <w:t>[21]YY 9706.261 -2023,</w:t>
      </w:r>
      <w:r>
        <w:rPr>
          <w:rFonts w:eastAsia="仿宋_GB2312"/>
          <w:color w:val="000000" w:themeColor="text1"/>
          <w:sz w:val="32"/>
          <w:szCs w:val="32"/>
        </w:rPr>
        <w:t>医</w:t>
      </w:r>
      <w:r>
        <w:rPr>
          <w:rFonts w:eastAsia="仿宋_GB2312"/>
          <w:sz w:val="32"/>
          <w:szCs w:val="32"/>
        </w:rPr>
        <w:t>用电气设备</w:t>
      </w:r>
      <w:r>
        <w:rPr>
          <w:rFonts w:eastAsia="仿宋_GB2312"/>
          <w:sz w:val="32"/>
          <w:szCs w:val="32"/>
        </w:rPr>
        <w:t xml:space="preserve"> </w:t>
      </w:r>
      <w:r>
        <w:rPr>
          <w:rFonts w:eastAsia="仿宋_GB2312"/>
          <w:sz w:val="32"/>
          <w:szCs w:val="32"/>
        </w:rPr>
        <w:t>第</w:t>
      </w:r>
      <w:r>
        <w:rPr>
          <w:rFonts w:eastAsia="仿宋_GB2312"/>
          <w:sz w:val="32"/>
          <w:szCs w:val="32"/>
        </w:rPr>
        <w:t>2-61</w:t>
      </w:r>
      <w:r>
        <w:rPr>
          <w:rFonts w:eastAsia="仿宋_GB2312"/>
          <w:sz w:val="32"/>
          <w:szCs w:val="32"/>
        </w:rPr>
        <w:t>部分：脉搏血氧设备的基本安全和基本性能</w:t>
      </w:r>
      <w:proofErr w:type="gramStart"/>
      <w:r>
        <w:rPr>
          <w:rFonts w:eastAsia="仿宋_GB2312"/>
          <w:sz w:val="32"/>
          <w:szCs w:val="32"/>
        </w:rPr>
        <w:t>专用要求</w:t>
      </w:r>
      <w:proofErr w:type="gramEnd"/>
      <w:r>
        <w:rPr>
          <w:rFonts w:eastAsia="仿宋_GB2312"/>
          <w:sz w:val="32"/>
          <w:szCs w:val="32"/>
        </w:rPr>
        <w:t>[S].</w:t>
      </w:r>
    </w:p>
    <w:p w:rsidR="00AD7C24" w:rsidRDefault="00B44348">
      <w:pPr>
        <w:spacing w:line="520" w:lineRule="exact"/>
        <w:ind w:firstLineChars="200" w:firstLine="640"/>
        <w:rPr>
          <w:rFonts w:eastAsia="仿宋_GB2312"/>
          <w:sz w:val="32"/>
          <w:szCs w:val="32"/>
        </w:rPr>
      </w:pPr>
      <w:r>
        <w:rPr>
          <w:rFonts w:eastAsia="仿宋_GB2312"/>
          <w:sz w:val="32"/>
          <w:szCs w:val="32"/>
        </w:rPr>
        <w:t>[22]YY 9706.108-2021,</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1-8</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并列标准：通用要求</w:t>
      </w:r>
      <w:r>
        <w:rPr>
          <w:rFonts w:eastAsia="仿宋_GB2312"/>
          <w:sz w:val="32"/>
          <w:szCs w:val="32"/>
        </w:rPr>
        <w:t>,</w:t>
      </w:r>
      <w:r>
        <w:rPr>
          <w:rFonts w:eastAsia="仿宋_GB2312"/>
          <w:sz w:val="32"/>
          <w:szCs w:val="32"/>
        </w:rPr>
        <w:t>医用电气设备和医用电气系统中报警系统的测试和指南</w:t>
      </w:r>
      <w:r>
        <w:rPr>
          <w:rFonts w:eastAsia="仿宋_GB2312"/>
          <w:sz w:val="32"/>
          <w:szCs w:val="32"/>
        </w:rPr>
        <w:t>[S].</w:t>
      </w:r>
    </w:p>
    <w:p w:rsidR="00AD7C24" w:rsidRDefault="00B44348">
      <w:pPr>
        <w:spacing w:line="520" w:lineRule="exact"/>
        <w:ind w:firstLineChars="200" w:firstLine="640"/>
        <w:rPr>
          <w:rFonts w:eastAsia="仿宋_GB2312"/>
          <w:sz w:val="32"/>
          <w:szCs w:val="32"/>
        </w:rPr>
      </w:pPr>
      <w:r>
        <w:rPr>
          <w:rFonts w:eastAsia="仿宋_GB2312"/>
          <w:sz w:val="32"/>
          <w:szCs w:val="32"/>
        </w:rPr>
        <w:t>[23]YY 9706.111-2021,</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1-11</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w:t>
      </w:r>
      <w:r>
        <w:rPr>
          <w:rFonts w:eastAsia="仿宋_GB2312"/>
          <w:sz w:val="32"/>
          <w:szCs w:val="32"/>
        </w:rPr>
        <w:t>在家庭护理环境中使用的医用电气设备和医用电气系统的要求</w:t>
      </w:r>
      <w:r>
        <w:rPr>
          <w:rFonts w:eastAsia="仿宋_GB2312"/>
          <w:sz w:val="32"/>
          <w:szCs w:val="32"/>
        </w:rPr>
        <w:t>[S].</w:t>
      </w:r>
    </w:p>
    <w:p w:rsidR="00AD7C24" w:rsidRDefault="00B44348">
      <w:pPr>
        <w:spacing w:line="520" w:lineRule="exact"/>
        <w:ind w:firstLineChars="200" w:firstLine="640"/>
        <w:rPr>
          <w:rFonts w:eastAsia="仿宋_GB2312"/>
          <w:sz w:val="32"/>
          <w:szCs w:val="32"/>
        </w:rPr>
      </w:pPr>
      <w:r>
        <w:rPr>
          <w:rFonts w:eastAsia="仿宋_GB2312"/>
          <w:sz w:val="32"/>
          <w:szCs w:val="32"/>
        </w:rPr>
        <w:t>[24]GB/T 14710-2009,</w:t>
      </w:r>
      <w:r>
        <w:rPr>
          <w:rFonts w:eastAsia="仿宋_GB2312"/>
          <w:sz w:val="32"/>
          <w:szCs w:val="32"/>
        </w:rPr>
        <w:t>医用电器环境要求及试验方法</w:t>
      </w:r>
      <w:r>
        <w:rPr>
          <w:rFonts w:eastAsia="仿宋_GB2312"/>
          <w:sz w:val="32"/>
          <w:szCs w:val="32"/>
        </w:rPr>
        <w:t>[S].</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[25]GB/T 42062-2022,</w:t>
      </w:r>
      <w:r>
        <w:rPr>
          <w:rFonts w:eastAsia="仿宋_GB2312"/>
          <w:snapToGrid w:val="0"/>
          <w:color w:val="000000"/>
          <w:kern w:val="0"/>
          <w:sz w:val="32"/>
          <w:szCs w:val="32"/>
        </w:rPr>
        <w:t>医疗器械风险管理对医疗器械的应用</w:t>
      </w:r>
      <w:r>
        <w:rPr>
          <w:rFonts w:eastAsia="仿宋_GB2312"/>
          <w:snapToGrid w:val="0"/>
          <w:color w:val="000000"/>
          <w:kern w:val="0"/>
          <w:sz w:val="32"/>
          <w:szCs w:val="32"/>
        </w:rPr>
        <w:t>[S].</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[26]GB/T 16886.1-2022,</w:t>
      </w:r>
      <w:r>
        <w:rPr>
          <w:rFonts w:eastAsia="仿宋_GB2312"/>
          <w:snapToGrid w:val="0"/>
          <w:color w:val="000000"/>
          <w:kern w:val="0"/>
          <w:sz w:val="32"/>
          <w:szCs w:val="32"/>
        </w:rPr>
        <w:t>医疗器械生物学评价</w:t>
      </w:r>
      <w:r>
        <w:rPr>
          <w:rFonts w:eastAsia="仿宋_GB2312"/>
          <w:snapToGrid w:val="0"/>
          <w:color w:val="000000"/>
          <w:kern w:val="0"/>
          <w:sz w:val="32"/>
          <w:szCs w:val="32"/>
        </w:rPr>
        <w:t xml:space="preserve"> </w:t>
      </w:r>
      <w:r>
        <w:rPr>
          <w:rFonts w:eastAsia="仿宋_GB2312"/>
          <w:snapToGrid w:val="0"/>
          <w:color w:val="000000"/>
          <w:kern w:val="0"/>
          <w:sz w:val="32"/>
          <w:szCs w:val="32"/>
        </w:rPr>
        <w:t>第</w:t>
      </w:r>
      <w:r>
        <w:rPr>
          <w:rFonts w:eastAsia="仿宋_GB2312"/>
          <w:snapToGrid w:val="0"/>
          <w:color w:val="000000"/>
          <w:kern w:val="0"/>
          <w:sz w:val="32"/>
          <w:szCs w:val="32"/>
        </w:rPr>
        <w:t>1</w:t>
      </w:r>
      <w:r>
        <w:rPr>
          <w:rFonts w:eastAsia="仿宋_GB2312"/>
          <w:snapToGrid w:val="0"/>
          <w:color w:val="000000"/>
          <w:kern w:val="0"/>
          <w:sz w:val="32"/>
          <w:szCs w:val="32"/>
        </w:rPr>
        <w:t>部分：风险管理过程中的评价与试验</w:t>
      </w:r>
      <w:r>
        <w:rPr>
          <w:rFonts w:eastAsia="仿宋_GB2312"/>
          <w:snapToGrid w:val="0"/>
          <w:color w:val="000000"/>
          <w:kern w:val="0"/>
          <w:sz w:val="32"/>
          <w:szCs w:val="32"/>
        </w:rPr>
        <w:t>[S].</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[27]GB/T 16886.5-2017,</w:t>
      </w:r>
      <w:r>
        <w:rPr>
          <w:rFonts w:eastAsia="仿宋_GB2312"/>
          <w:snapToGrid w:val="0"/>
          <w:color w:val="000000"/>
          <w:kern w:val="0"/>
          <w:sz w:val="32"/>
          <w:szCs w:val="32"/>
        </w:rPr>
        <w:t>医疗器械生物学评价</w:t>
      </w:r>
      <w:r>
        <w:rPr>
          <w:rFonts w:eastAsia="仿宋_GB2312"/>
          <w:snapToGrid w:val="0"/>
          <w:color w:val="000000"/>
          <w:kern w:val="0"/>
          <w:sz w:val="32"/>
          <w:szCs w:val="32"/>
        </w:rPr>
        <w:t xml:space="preserve"> </w:t>
      </w:r>
      <w:r>
        <w:rPr>
          <w:rFonts w:eastAsia="仿宋_GB2312"/>
          <w:snapToGrid w:val="0"/>
          <w:color w:val="000000"/>
          <w:kern w:val="0"/>
          <w:sz w:val="32"/>
          <w:szCs w:val="32"/>
        </w:rPr>
        <w:t>第</w:t>
      </w:r>
      <w:r>
        <w:rPr>
          <w:rFonts w:eastAsia="仿宋_GB2312"/>
          <w:snapToGrid w:val="0"/>
          <w:color w:val="000000"/>
          <w:kern w:val="0"/>
          <w:sz w:val="32"/>
          <w:szCs w:val="32"/>
        </w:rPr>
        <w:t>5</w:t>
      </w:r>
      <w:r>
        <w:rPr>
          <w:rFonts w:eastAsia="仿宋_GB2312"/>
          <w:snapToGrid w:val="0"/>
          <w:color w:val="000000"/>
          <w:kern w:val="0"/>
          <w:sz w:val="32"/>
          <w:szCs w:val="32"/>
        </w:rPr>
        <w:t>部分：体外细胞毒性试验</w:t>
      </w:r>
      <w:r>
        <w:rPr>
          <w:rFonts w:eastAsia="仿宋_GB2312"/>
          <w:snapToGrid w:val="0"/>
          <w:color w:val="000000"/>
          <w:kern w:val="0"/>
          <w:sz w:val="32"/>
          <w:szCs w:val="32"/>
        </w:rPr>
        <w:t>[S].</w:t>
      </w:r>
    </w:p>
    <w:p w:rsidR="00AD7C24" w:rsidRDefault="00B44348">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[28]GB/T 16886.10-2024,</w:t>
      </w:r>
      <w:r>
        <w:rPr>
          <w:rFonts w:eastAsia="仿宋_GB2312"/>
          <w:snapToGrid w:val="0"/>
          <w:color w:val="000000"/>
          <w:kern w:val="0"/>
          <w:sz w:val="32"/>
          <w:szCs w:val="32"/>
        </w:rPr>
        <w:t>医疗器械生物学评价</w:t>
      </w:r>
      <w:r>
        <w:rPr>
          <w:rFonts w:eastAsia="仿宋_GB2312"/>
          <w:snapToGrid w:val="0"/>
          <w:color w:val="000000"/>
          <w:kern w:val="0"/>
          <w:sz w:val="32"/>
          <w:szCs w:val="32"/>
        </w:rPr>
        <w:t xml:space="preserve"> </w:t>
      </w:r>
      <w:r>
        <w:rPr>
          <w:rFonts w:eastAsia="仿宋_GB2312"/>
          <w:snapToGrid w:val="0"/>
          <w:color w:val="000000"/>
          <w:kern w:val="0"/>
          <w:sz w:val="32"/>
          <w:szCs w:val="32"/>
        </w:rPr>
        <w:t>第</w:t>
      </w:r>
      <w:r>
        <w:rPr>
          <w:rFonts w:eastAsia="仿宋_GB2312"/>
          <w:snapToGrid w:val="0"/>
          <w:color w:val="000000"/>
          <w:kern w:val="0"/>
          <w:sz w:val="32"/>
          <w:szCs w:val="32"/>
        </w:rPr>
        <w:t>10</w:t>
      </w:r>
      <w:r>
        <w:rPr>
          <w:rFonts w:eastAsia="仿宋_GB2312"/>
          <w:snapToGrid w:val="0"/>
          <w:color w:val="000000"/>
          <w:kern w:val="0"/>
          <w:sz w:val="32"/>
          <w:szCs w:val="32"/>
        </w:rPr>
        <w:t>部</w:t>
      </w:r>
      <w:r>
        <w:rPr>
          <w:rFonts w:eastAsia="仿宋_GB2312"/>
          <w:snapToGrid w:val="0"/>
          <w:color w:val="000000"/>
          <w:kern w:val="0"/>
          <w:sz w:val="32"/>
          <w:szCs w:val="32"/>
        </w:rPr>
        <w:lastRenderedPageBreak/>
        <w:t>分：皮</w:t>
      </w:r>
      <w:r>
        <w:rPr>
          <w:rFonts w:eastAsia="仿宋_GB2312"/>
          <w:snapToGrid w:val="0"/>
          <w:color w:val="000000"/>
          <w:kern w:val="0"/>
          <w:sz w:val="32"/>
          <w:szCs w:val="32"/>
        </w:rPr>
        <w:t>肤致敏试验</w:t>
      </w:r>
      <w:r>
        <w:rPr>
          <w:rFonts w:eastAsia="仿宋_GB2312"/>
          <w:snapToGrid w:val="0"/>
          <w:color w:val="000000"/>
          <w:kern w:val="0"/>
          <w:sz w:val="32"/>
          <w:szCs w:val="32"/>
        </w:rPr>
        <w:t>[S].</w:t>
      </w:r>
    </w:p>
    <w:p w:rsidR="00AD7C24" w:rsidRDefault="00B44348">
      <w:pPr>
        <w:spacing w:line="520" w:lineRule="exact"/>
        <w:ind w:firstLineChars="200" w:firstLine="640"/>
      </w:pPr>
      <w:r>
        <w:rPr>
          <w:rFonts w:eastAsia="仿宋_GB2312"/>
          <w:snapToGrid w:val="0"/>
          <w:color w:val="000000"/>
          <w:kern w:val="0"/>
          <w:sz w:val="32"/>
          <w:szCs w:val="32"/>
        </w:rPr>
        <w:t>[29]GB/T 16886.23-2023,</w:t>
      </w:r>
      <w:r>
        <w:rPr>
          <w:rFonts w:eastAsia="仿宋_GB2312"/>
          <w:snapToGrid w:val="0"/>
          <w:color w:val="000000"/>
          <w:kern w:val="0"/>
          <w:sz w:val="32"/>
          <w:szCs w:val="32"/>
        </w:rPr>
        <w:t>医疗器械生物学评价</w:t>
      </w:r>
      <w:r>
        <w:rPr>
          <w:rFonts w:eastAsia="仿宋_GB2312"/>
          <w:snapToGrid w:val="0"/>
          <w:color w:val="000000"/>
          <w:kern w:val="0"/>
          <w:sz w:val="32"/>
          <w:szCs w:val="32"/>
        </w:rPr>
        <w:t xml:space="preserve"> </w:t>
      </w:r>
      <w:r>
        <w:rPr>
          <w:rFonts w:eastAsia="仿宋_GB2312"/>
          <w:snapToGrid w:val="0"/>
          <w:color w:val="000000"/>
          <w:kern w:val="0"/>
          <w:sz w:val="32"/>
          <w:szCs w:val="32"/>
        </w:rPr>
        <w:t>第</w:t>
      </w:r>
      <w:r>
        <w:rPr>
          <w:rFonts w:eastAsia="仿宋_GB2312"/>
          <w:snapToGrid w:val="0"/>
          <w:color w:val="000000"/>
          <w:kern w:val="0"/>
          <w:sz w:val="32"/>
          <w:szCs w:val="32"/>
        </w:rPr>
        <w:t>23</w:t>
      </w:r>
      <w:r>
        <w:rPr>
          <w:rFonts w:eastAsia="仿宋_GB2312"/>
          <w:snapToGrid w:val="0"/>
          <w:color w:val="000000"/>
          <w:kern w:val="0"/>
          <w:sz w:val="32"/>
          <w:szCs w:val="32"/>
        </w:rPr>
        <w:t>部分：刺激试验</w:t>
      </w:r>
      <w:r>
        <w:rPr>
          <w:rFonts w:eastAsia="仿宋_GB2312"/>
          <w:snapToGrid w:val="0"/>
          <w:color w:val="000000"/>
          <w:kern w:val="0"/>
          <w:sz w:val="32"/>
          <w:szCs w:val="32"/>
        </w:rPr>
        <w:t>[S].</w:t>
      </w:r>
    </w:p>
    <w:p w:rsidR="003073E2" w:rsidRDefault="00B44348" w:rsidP="003073E2">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[30]WS/T367-2012,</w:t>
      </w:r>
      <w:r>
        <w:rPr>
          <w:rFonts w:eastAsia="仿宋_GB2312"/>
          <w:snapToGrid w:val="0"/>
          <w:color w:val="000000"/>
          <w:kern w:val="0"/>
          <w:sz w:val="32"/>
          <w:szCs w:val="32"/>
        </w:rPr>
        <w:t>医疗机构消毒技术规范</w:t>
      </w:r>
      <w:r>
        <w:rPr>
          <w:rFonts w:eastAsia="仿宋_GB2312"/>
          <w:snapToGrid w:val="0"/>
          <w:color w:val="000000"/>
          <w:kern w:val="0"/>
          <w:sz w:val="32"/>
          <w:szCs w:val="32"/>
        </w:rPr>
        <w:t>[S].</w:t>
      </w:r>
      <w:r w:rsidR="003073E2">
        <w:rPr>
          <w:rFonts w:eastAsia="仿宋_GB2312"/>
          <w:snapToGrid w:val="0"/>
          <w:color w:val="000000"/>
          <w:kern w:val="0"/>
          <w:sz w:val="32"/>
          <w:szCs w:val="32"/>
        </w:rPr>
        <w:br w:type="page"/>
      </w:r>
    </w:p>
    <w:p w:rsidR="00AD7C24" w:rsidRDefault="00B44348" w:rsidP="003073E2">
      <w:pPr>
        <w:spacing w:line="520" w:lineRule="exact"/>
        <w:rPr>
          <w:rFonts w:eastAsia="黑体"/>
          <w:snapToGrid w:val="0"/>
          <w:kern w:val="0"/>
          <w:sz w:val="32"/>
          <w:szCs w:val="32"/>
        </w:rPr>
      </w:pPr>
      <w:r>
        <w:rPr>
          <w:rFonts w:eastAsia="黑体"/>
          <w:snapToGrid w:val="0"/>
          <w:kern w:val="0"/>
          <w:sz w:val="32"/>
          <w:szCs w:val="32"/>
        </w:rPr>
        <w:lastRenderedPageBreak/>
        <w:t>附件</w:t>
      </w:r>
    </w:p>
    <w:p w:rsidR="00AD7C24" w:rsidRDefault="00AD7C24">
      <w:pPr>
        <w:pStyle w:val="a0"/>
        <w:spacing w:line="520" w:lineRule="exact"/>
        <w:rPr>
          <w:rFonts w:ascii="Times New Roman" w:hAnsi="Times New Roman" w:cs="Times New Roman"/>
        </w:rPr>
      </w:pPr>
    </w:p>
    <w:p w:rsidR="00AD7C24" w:rsidRDefault="00B44348">
      <w:pPr>
        <w:spacing w:line="520" w:lineRule="exact"/>
        <w:jc w:val="center"/>
        <w:rPr>
          <w:rFonts w:eastAsia="方正小标宋简体"/>
          <w:bCs/>
          <w:snapToGrid w:val="0"/>
          <w:sz w:val="44"/>
          <w:szCs w:val="44"/>
          <w:lang w:val="zh-CN"/>
        </w:rPr>
      </w:pPr>
      <w:r>
        <w:rPr>
          <w:rFonts w:eastAsia="方正小标宋简体"/>
          <w:bCs/>
          <w:snapToGrid w:val="0"/>
          <w:sz w:val="44"/>
          <w:szCs w:val="44"/>
          <w:lang w:val="zh-CN"/>
        </w:rPr>
        <w:t>产品风险点举例</w:t>
      </w:r>
    </w:p>
    <w:p w:rsidR="00AD7C24" w:rsidRDefault="00AD7C24">
      <w:pPr>
        <w:pStyle w:val="a0"/>
        <w:spacing w:line="520" w:lineRule="exact"/>
        <w:rPr>
          <w:rFonts w:ascii="Times New Roman" w:hAnsi="Times New Roman" w:cs="Times New Roman"/>
          <w:lang w:val="zh-CN"/>
        </w:rPr>
      </w:pPr>
    </w:p>
    <w:p w:rsidR="00AD7C24" w:rsidRPr="003073E2" w:rsidRDefault="00B44348" w:rsidP="003073E2">
      <w:pPr>
        <w:spacing w:line="520" w:lineRule="exact"/>
        <w:ind w:firstLineChars="200" w:firstLine="640"/>
        <w:rPr>
          <w:rFonts w:eastAsia="仿宋_GB2312" w:hint="eastAsia"/>
          <w:sz w:val="32"/>
          <w:szCs w:val="32"/>
        </w:rPr>
      </w:pPr>
      <w:r>
        <w:rPr>
          <w:rFonts w:eastAsia="仿宋_GB2312"/>
          <w:sz w:val="32"/>
          <w:szCs w:val="32"/>
        </w:rPr>
        <w:t>下表所列为常见危险、可预见事件序列、危险情况、可能发生的伤害示例，需关注：</w:t>
      </w:r>
      <w:bookmarkStart w:id="7" w:name="_GoBack"/>
      <w:bookmarkEnd w:id="7"/>
    </w:p>
    <w:p w:rsidR="00AD7C24" w:rsidRDefault="00B44348">
      <w:pPr>
        <w:overflowPunct w:val="0"/>
        <w:adjustRightInd w:val="0"/>
        <w:snapToGrid w:val="0"/>
        <w:spacing w:line="520" w:lineRule="exact"/>
        <w:jc w:val="center"/>
        <w:rPr>
          <w:rFonts w:eastAsia="黑体"/>
          <w:kern w:val="0"/>
          <w:sz w:val="28"/>
          <w:szCs w:val="28"/>
        </w:rPr>
      </w:pPr>
      <w:r>
        <w:rPr>
          <w:rFonts w:eastAsia="黑体"/>
          <w:kern w:val="0"/>
          <w:sz w:val="28"/>
          <w:szCs w:val="28"/>
        </w:rPr>
        <w:t>表</w:t>
      </w:r>
      <w:r>
        <w:rPr>
          <w:rFonts w:eastAsia="黑体"/>
          <w:kern w:val="0"/>
          <w:sz w:val="28"/>
          <w:szCs w:val="28"/>
        </w:rPr>
        <w:t xml:space="preserve"> </w:t>
      </w:r>
      <w:r>
        <w:rPr>
          <w:rFonts w:eastAsia="黑体"/>
          <w:kern w:val="0"/>
          <w:sz w:val="28"/>
          <w:szCs w:val="28"/>
        </w:rPr>
        <w:t>危险、可预见事件序列、危险情况、可能的伤害示例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195"/>
        <w:gridCol w:w="2802"/>
        <w:gridCol w:w="1704"/>
        <w:gridCol w:w="1825"/>
      </w:tblGrid>
      <w:tr w:rsidR="00AD7C24">
        <w:trPr>
          <w:trHeight w:val="637"/>
          <w:tblHeader/>
          <w:jc w:val="center"/>
        </w:trPr>
        <w:tc>
          <w:tcPr>
            <w:tcW w:w="302" w:type="pct"/>
            <w:vAlign w:val="center"/>
          </w:tcPr>
          <w:p w:rsidR="00AD7C24" w:rsidRDefault="00B44348" w:rsidP="003073E2">
            <w:pPr>
              <w:overflowPunct w:val="0"/>
              <w:autoSpaceDE w:val="0"/>
              <w:autoSpaceDN w:val="0"/>
              <w:adjustRightInd w:val="0"/>
              <w:snapToGrid w:val="0"/>
              <w:spacing w:line="400" w:lineRule="exact"/>
              <w:jc w:val="center"/>
              <w:rPr>
                <w:rFonts w:eastAsia="黑体"/>
                <w:sz w:val="28"/>
                <w:szCs w:val="28"/>
              </w:rPr>
            </w:pPr>
            <w:r>
              <w:rPr>
                <w:rFonts w:eastAsia="黑体"/>
                <w:sz w:val="28"/>
                <w:szCs w:val="28"/>
              </w:rPr>
              <w:t>危险分类</w:t>
            </w:r>
          </w:p>
        </w:tc>
        <w:tc>
          <w:tcPr>
            <w:tcW w:w="761" w:type="pct"/>
            <w:vAlign w:val="center"/>
          </w:tcPr>
          <w:p w:rsidR="00AD7C24" w:rsidRDefault="00B44348" w:rsidP="003073E2">
            <w:pPr>
              <w:overflowPunct w:val="0"/>
              <w:autoSpaceDE w:val="0"/>
              <w:autoSpaceDN w:val="0"/>
              <w:adjustRightInd w:val="0"/>
              <w:snapToGrid w:val="0"/>
              <w:spacing w:line="400" w:lineRule="exact"/>
              <w:jc w:val="center"/>
              <w:rPr>
                <w:rFonts w:eastAsia="黑体"/>
                <w:sz w:val="28"/>
                <w:szCs w:val="28"/>
              </w:rPr>
            </w:pPr>
            <w:r>
              <w:rPr>
                <w:rFonts w:eastAsia="黑体"/>
                <w:sz w:val="28"/>
                <w:szCs w:val="28"/>
              </w:rPr>
              <w:t>危险</w:t>
            </w:r>
          </w:p>
        </w:tc>
        <w:tc>
          <w:tcPr>
            <w:tcW w:w="1728" w:type="pct"/>
            <w:vAlign w:val="center"/>
          </w:tcPr>
          <w:p w:rsidR="00AD7C24" w:rsidRDefault="00B44348" w:rsidP="003073E2">
            <w:pPr>
              <w:overflowPunct w:val="0"/>
              <w:autoSpaceDE w:val="0"/>
              <w:autoSpaceDN w:val="0"/>
              <w:adjustRightInd w:val="0"/>
              <w:snapToGrid w:val="0"/>
              <w:spacing w:line="400" w:lineRule="exact"/>
              <w:jc w:val="center"/>
              <w:rPr>
                <w:rFonts w:eastAsia="黑体"/>
                <w:sz w:val="28"/>
                <w:szCs w:val="28"/>
              </w:rPr>
            </w:pPr>
            <w:r>
              <w:rPr>
                <w:rFonts w:eastAsia="黑体"/>
                <w:sz w:val="28"/>
                <w:szCs w:val="28"/>
              </w:rPr>
              <w:t>可预见的事件序列</w:t>
            </w:r>
          </w:p>
        </w:tc>
        <w:tc>
          <w:tcPr>
            <w:tcW w:w="1067" w:type="pct"/>
            <w:vAlign w:val="center"/>
          </w:tcPr>
          <w:p w:rsidR="00AD7C24" w:rsidRDefault="00B44348" w:rsidP="003073E2">
            <w:pPr>
              <w:overflowPunct w:val="0"/>
              <w:autoSpaceDE w:val="0"/>
              <w:autoSpaceDN w:val="0"/>
              <w:adjustRightInd w:val="0"/>
              <w:snapToGrid w:val="0"/>
              <w:spacing w:line="400" w:lineRule="exact"/>
              <w:jc w:val="center"/>
              <w:rPr>
                <w:rFonts w:eastAsia="黑体"/>
                <w:sz w:val="28"/>
                <w:szCs w:val="28"/>
              </w:rPr>
            </w:pPr>
            <w:r>
              <w:rPr>
                <w:rFonts w:eastAsia="黑体"/>
                <w:sz w:val="28"/>
                <w:szCs w:val="28"/>
              </w:rPr>
              <w:t>危险情况</w:t>
            </w:r>
          </w:p>
        </w:tc>
        <w:tc>
          <w:tcPr>
            <w:tcW w:w="1140" w:type="pct"/>
            <w:vAlign w:val="center"/>
          </w:tcPr>
          <w:p w:rsidR="00AD7C24" w:rsidRDefault="00B44348" w:rsidP="003073E2">
            <w:pPr>
              <w:overflowPunct w:val="0"/>
              <w:autoSpaceDE w:val="0"/>
              <w:autoSpaceDN w:val="0"/>
              <w:adjustRightInd w:val="0"/>
              <w:snapToGrid w:val="0"/>
              <w:spacing w:line="400" w:lineRule="exact"/>
              <w:jc w:val="center"/>
              <w:rPr>
                <w:rFonts w:eastAsia="黑体"/>
                <w:sz w:val="28"/>
                <w:szCs w:val="28"/>
              </w:rPr>
            </w:pPr>
            <w:r>
              <w:rPr>
                <w:rFonts w:eastAsia="黑体"/>
                <w:sz w:val="28"/>
                <w:szCs w:val="28"/>
              </w:rPr>
              <w:t>伤害</w:t>
            </w:r>
          </w:p>
        </w:tc>
      </w:tr>
      <w:tr w:rsidR="00AD7C24">
        <w:trPr>
          <w:trHeight w:val="1134"/>
          <w:jc w:val="center"/>
        </w:trPr>
        <w:tc>
          <w:tcPr>
            <w:tcW w:w="302" w:type="pct"/>
            <w:vMerge w:val="restar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能量危险</w:t>
            </w:r>
          </w:p>
        </w:tc>
        <w:tc>
          <w:tcPr>
            <w:tcW w:w="761" w:type="pct"/>
            <w:vMerge w:val="restar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电磁能</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可触及金属、外壳等与带电部分隔离</w:t>
            </w:r>
            <w:r>
              <w:rPr>
                <w:rFonts w:eastAsia="仿宋_GB2312"/>
                <w:sz w:val="28"/>
                <w:szCs w:val="28"/>
              </w:rPr>
              <w:t>/</w:t>
            </w:r>
            <w:r>
              <w:rPr>
                <w:rFonts w:eastAsia="仿宋_GB2312"/>
                <w:sz w:val="28"/>
                <w:szCs w:val="28"/>
              </w:rPr>
              <w:t>保护不够，电介质强度不够，</w:t>
            </w:r>
            <w:r>
              <w:rPr>
                <w:rFonts w:eastAsia="仿宋_GB2312"/>
                <w:sz w:val="28"/>
                <w:szCs w:val="28"/>
              </w:rPr>
              <w:t xml:space="preserve"> </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产生漏电流，使用者接触带电设备</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对使用者造成电击危害</w:t>
            </w:r>
          </w:p>
        </w:tc>
      </w:tr>
      <w:tr w:rsidR="00AD7C24">
        <w:trPr>
          <w:trHeight w:val="1134"/>
          <w:jc w:val="center"/>
        </w:trPr>
        <w:tc>
          <w:tcPr>
            <w:tcW w:w="302" w:type="pct"/>
            <w:vMerge/>
            <w:vAlign w:val="center"/>
          </w:tcPr>
          <w:p w:rsidR="00AD7C24" w:rsidRDefault="00AD7C24" w:rsidP="003073E2">
            <w:pPr>
              <w:overflowPunct w:val="0"/>
              <w:adjustRightInd w:val="0"/>
              <w:snapToGrid w:val="0"/>
              <w:spacing w:line="400" w:lineRule="exact"/>
              <w:rPr>
                <w:rFonts w:eastAsia="仿宋_GB2312"/>
                <w:sz w:val="28"/>
                <w:szCs w:val="28"/>
              </w:rPr>
            </w:pPr>
          </w:p>
        </w:tc>
        <w:tc>
          <w:tcPr>
            <w:tcW w:w="761"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产品外壳绝缘</w:t>
            </w:r>
            <w:r>
              <w:rPr>
                <w:rFonts w:eastAsia="仿宋_GB2312"/>
                <w:sz w:val="28"/>
                <w:szCs w:val="28"/>
              </w:rPr>
              <w:t>/</w:t>
            </w:r>
            <w:r>
              <w:rPr>
                <w:rFonts w:eastAsia="仿宋_GB2312"/>
                <w:sz w:val="28"/>
                <w:szCs w:val="28"/>
              </w:rPr>
              <w:t>隔离不够</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过量漏电流，使用者接触带电设备</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对使用者造成电击危害</w:t>
            </w:r>
          </w:p>
        </w:tc>
      </w:tr>
      <w:tr w:rsidR="00AD7C24">
        <w:trPr>
          <w:trHeight w:val="1134"/>
          <w:jc w:val="center"/>
        </w:trPr>
        <w:tc>
          <w:tcPr>
            <w:tcW w:w="302" w:type="pct"/>
            <w:vMerge/>
            <w:vAlign w:val="center"/>
          </w:tcPr>
          <w:p w:rsidR="00AD7C24" w:rsidRDefault="00AD7C24" w:rsidP="003073E2">
            <w:pPr>
              <w:overflowPunct w:val="0"/>
              <w:adjustRightInd w:val="0"/>
              <w:snapToGrid w:val="0"/>
              <w:spacing w:line="400" w:lineRule="exact"/>
              <w:rPr>
                <w:rFonts w:eastAsia="仿宋_GB2312"/>
                <w:sz w:val="28"/>
                <w:szCs w:val="28"/>
              </w:rPr>
            </w:pPr>
          </w:p>
        </w:tc>
        <w:tc>
          <w:tcPr>
            <w:tcW w:w="761"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抗电磁干扰能力差、特定环境下工作不正常，或干扰其他设备正常工作</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设备工作异常</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微软雅黑"/>
                <w:sz w:val="28"/>
                <w:szCs w:val="28"/>
              </w:rPr>
            </w:pPr>
            <w:r>
              <w:rPr>
                <w:rFonts w:eastAsia="仿宋_GB2312"/>
                <w:sz w:val="28"/>
                <w:szCs w:val="28"/>
              </w:rPr>
              <w:t>短</w:t>
            </w:r>
            <w:r>
              <w:rPr>
                <w:rFonts w:eastAsia="仿宋"/>
                <w:sz w:val="28"/>
                <w:szCs w:val="28"/>
              </w:rPr>
              <w:t>暂的</w:t>
            </w:r>
            <w:r>
              <w:rPr>
                <w:rFonts w:eastAsia="仿宋_GB2312"/>
                <w:sz w:val="28"/>
                <w:szCs w:val="28"/>
              </w:rPr>
              <w:t>延误</w:t>
            </w:r>
            <w:r>
              <w:rPr>
                <w:rFonts w:eastAsia="仿宋"/>
                <w:sz w:val="28"/>
                <w:szCs w:val="28"/>
              </w:rPr>
              <w:t>治疗</w:t>
            </w:r>
          </w:p>
        </w:tc>
      </w:tr>
      <w:tr w:rsidR="00AD7C24">
        <w:trPr>
          <w:trHeight w:val="90"/>
          <w:jc w:val="center"/>
        </w:trPr>
        <w:tc>
          <w:tcPr>
            <w:tcW w:w="302" w:type="pct"/>
            <w:vMerge/>
            <w:vAlign w:val="center"/>
          </w:tcPr>
          <w:p w:rsidR="00AD7C24" w:rsidRDefault="00AD7C24" w:rsidP="003073E2">
            <w:pPr>
              <w:overflowPunct w:val="0"/>
              <w:adjustRightInd w:val="0"/>
              <w:snapToGrid w:val="0"/>
              <w:spacing w:line="400" w:lineRule="exact"/>
              <w:rPr>
                <w:rFonts w:eastAsia="仿宋_GB2312"/>
                <w:sz w:val="28"/>
                <w:szCs w:val="28"/>
              </w:rPr>
            </w:pP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热能</w:t>
            </w:r>
          </w:p>
        </w:tc>
        <w:tc>
          <w:tcPr>
            <w:tcW w:w="1728" w:type="pct"/>
            <w:vAlign w:val="center"/>
          </w:tcPr>
          <w:p w:rsidR="00AD7C24" w:rsidRDefault="00B44348" w:rsidP="003073E2">
            <w:pPr>
              <w:overflowPunct w:val="0"/>
              <w:adjustRightInd w:val="0"/>
              <w:snapToGrid w:val="0"/>
              <w:spacing w:line="400" w:lineRule="exact"/>
              <w:rPr>
                <w:rFonts w:eastAsia="仿宋_GB2312"/>
                <w:kern w:val="0"/>
                <w:sz w:val="28"/>
                <w:szCs w:val="28"/>
              </w:rPr>
            </w:pPr>
            <w:r>
              <w:rPr>
                <w:rFonts w:eastAsia="仿宋_GB2312"/>
                <w:kern w:val="0"/>
                <w:sz w:val="28"/>
                <w:szCs w:val="28"/>
              </w:rPr>
              <w:t>可触及的外壳温度过高</w:t>
            </w:r>
          </w:p>
        </w:tc>
        <w:tc>
          <w:tcPr>
            <w:tcW w:w="1067" w:type="pct"/>
            <w:vAlign w:val="center"/>
          </w:tcPr>
          <w:p w:rsidR="00AD7C24" w:rsidRDefault="00B44348" w:rsidP="003073E2">
            <w:pPr>
              <w:overflowPunct w:val="0"/>
              <w:adjustRightInd w:val="0"/>
              <w:snapToGrid w:val="0"/>
              <w:spacing w:line="400" w:lineRule="exact"/>
              <w:rPr>
                <w:rFonts w:eastAsia="仿宋_GB2312"/>
                <w:kern w:val="0"/>
                <w:sz w:val="28"/>
                <w:szCs w:val="28"/>
              </w:rPr>
            </w:pPr>
            <w:r>
              <w:rPr>
                <w:rFonts w:eastAsia="仿宋_GB2312"/>
                <w:kern w:val="0"/>
                <w:sz w:val="28"/>
                <w:szCs w:val="28"/>
              </w:rPr>
              <w:t>接触温度过高的外壳</w:t>
            </w:r>
          </w:p>
        </w:tc>
        <w:tc>
          <w:tcPr>
            <w:tcW w:w="1140" w:type="pct"/>
            <w:vAlign w:val="center"/>
          </w:tcPr>
          <w:p w:rsidR="00AD7C24" w:rsidRDefault="00B44348" w:rsidP="003073E2">
            <w:pPr>
              <w:overflowPunct w:val="0"/>
              <w:adjustRightInd w:val="0"/>
              <w:snapToGrid w:val="0"/>
              <w:spacing w:line="400" w:lineRule="exact"/>
              <w:rPr>
                <w:rFonts w:eastAsia="仿宋_GB2312"/>
                <w:kern w:val="0"/>
                <w:sz w:val="28"/>
                <w:szCs w:val="28"/>
              </w:rPr>
            </w:pPr>
            <w:r>
              <w:rPr>
                <w:rFonts w:eastAsia="仿宋_GB2312"/>
                <w:kern w:val="0"/>
                <w:sz w:val="28"/>
                <w:szCs w:val="28"/>
              </w:rPr>
              <w:t>可能引起使用者或患者烫伤</w:t>
            </w:r>
          </w:p>
        </w:tc>
      </w:tr>
      <w:tr w:rsidR="00AD7C24">
        <w:trPr>
          <w:trHeight w:val="90"/>
          <w:jc w:val="center"/>
        </w:trPr>
        <w:tc>
          <w:tcPr>
            <w:tcW w:w="302" w:type="pct"/>
            <w:vMerge/>
            <w:vAlign w:val="center"/>
          </w:tcPr>
          <w:p w:rsidR="00AD7C24" w:rsidRDefault="00AD7C24" w:rsidP="003073E2">
            <w:pPr>
              <w:overflowPunct w:val="0"/>
              <w:adjustRightInd w:val="0"/>
              <w:snapToGrid w:val="0"/>
              <w:spacing w:line="400" w:lineRule="exact"/>
              <w:rPr>
                <w:rFonts w:eastAsia="仿宋_GB2312"/>
                <w:sz w:val="28"/>
                <w:szCs w:val="28"/>
              </w:rPr>
            </w:pPr>
          </w:p>
        </w:tc>
        <w:tc>
          <w:tcPr>
            <w:tcW w:w="761" w:type="pct"/>
            <w:vMerge w:val="restar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机械能</w:t>
            </w:r>
          </w:p>
        </w:tc>
        <w:tc>
          <w:tcPr>
            <w:tcW w:w="1728" w:type="pct"/>
            <w:vAlign w:val="center"/>
          </w:tcPr>
          <w:p w:rsidR="00AD7C24" w:rsidRDefault="00B44348" w:rsidP="003073E2">
            <w:pPr>
              <w:spacing w:line="400" w:lineRule="exact"/>
            </w:pPr>
            <w:r>
              <w:rPr>
                <w:rFonts w:eastAsia="仿宋_GB2312"/>
                <w:sz w:val="28"/>
                <w:szCs w:val="28"/>
              </w:rPr>
              <w:t>产品面、角、边粗糙</w:t>
            </w:r>
          </w:p>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使用者不小心接触到粗糙表面</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可能会划伤使用者或患者</w:t>
            </w:r>
          </w:p>
        </w:tc>
      </w:tr>
      <w:tr w:rsidR="00AD7C24">
        <w:trPr>
          <w:trHeight w:val="90"/>
          <w:jc w:val="center"/>
        </w:trPr>
        <w:tc>
          <w:tcPr>
            <w:tcW w:w="302" w:type="pct"/>
            <w:vMerge/>
            <w:vAlign w:val="center"/>
          </w:tcPr>
          <w:p w:rsidR="00AD7C24" w:rsidRDefault="00AD7C24" w:rsidP="003073E2">
            <w:pPr>
              <w:overflowPunct w:val="0"/>
              <w:adjustRightInd w:val="0"/>
              <w:snapToGrid w:val="0"/>
              <w:spacing w:line="400" w:lineRule="exact"/>
              <w:rPr>
                <w:rFonts w:eastAsia="仿宋_GB2312"/>
                <w:sz w:val="28"/>
                <w:szCs w:val="28"/>
              </w:rPr>
            </w:pPr>
          </w:p>
        </w:tc>
        <w:tc>
          <w:tcPr>
            <w:tcW w:w="761"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kern w:val="0"/>
                <w:sz w:val="28"/>
                <w:szCs w:val="28"/>
              </w:rPr>
              <w:t>坠落导致机械部件松动导致、元器件损坏</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设备工作异常</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短</w:t>
            </w:r>
            <w:r>
              <w:rPr>
                <w:rFonts w:eastAsia="仿宋"/>
                <w:sz w:val="28"/>
                <w:szCs w:val="28"/>
              </w:rPr>
              <w:t>暂的</w:t>
            </w:r>
            <w:r>
              <w:rPr>
                <w:rFonts w:eastAsia="仿宋_GB2312"/>
                <w:sz w:val="28"/>
                <w:szCs w:val="28"/>
              </w:rPr>
              <w:t>延误</w:t>
            </w:r>
            <w:r>
              <w:rPr>
                <w:rFonts w:eastAsia="仿宋"/>
                <w:sz w:val="28"/>
                <w:szCs w:val="28"/>
              </w:rPr>
              <w:t>治疗</w:t>
            </w:r>
          </w:p>
        </w:tc>
      </w:tr>
      <w:tr w:rsidR="00AD7C24">
        <w:trPr>
          <w:trHeight w:val="90"/>
          <w:jc w:val="center"/>
        </w:trPr>
        <w:tc>
          <w:tcPr>
            <w:tcW w:w="302" w:type="pct"/>
            <w:vMerge/>
            <w:vAlign w:val="center"/>
          </w:tcPr>
          <w:p w:rsidR="00AD7C24" w:rsidRDefault="00AD7C24" w:rsidP="003073E2">
            <w:pPr>
              <w:overflowPunct w:val="0"/>
              <w:adjustRightInd w:val="0"/>
              <w:snapToGrid w:val="0"/>
              <w:spacing w:line="400" w:lineRule="exact"/>
              <w:rPr>
                <w:rFonts w:eastAsia="仿宋_GB2312"/>
                <w:sz w:val="28"/>
                <w:szCs w:val="28"/>
              </w:rPr>
            </w:pP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
                <w:sz w:val="28"/>
                <w:szCs w:val="28"/>
              </w:rPr>
            </w:pPr>
            <w:r>
              <w:rPr>
                <w:rFonts w:eastAsia="仿宋"/>
                <w:sz w:val="28"/>
                <w:szCs w:val="28"/>
              </w:rPr>
              <w:t>势能（弯折）</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kern w:val="0"/>
                <w:sz w:val="28"/>
                <w:szCs w:val="28"/>
              </w:rPr>
            </w:pPr>
            <w:r>
              <w:rPr>
                <w:rFonts w:eastAsia="仿宋_GB2312"/>
                <w:sz w:val="28"/>
                <w:szCs w:val="28"/>
              </w:rPr>
              <w:t>使用过程中的弯折导致线缆开路</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kern w:val="0"/>
                <w:sz w:val="28"/>
                <w:szCs w:val="28"/>
              </w:rPr>
              <w:t>血氧不出值</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短</w:t>
            </w:r>
            <w:r>
              <w:rPr>
                <w:rFonts w:eastAsia="仿宋"/>
                <w:sz w:val="28"/>
                <w:szCs w:val="28"/>
              </w:rPr>
              <w:t>暂的</w:t>
            </w:r>
            <w:r>
              <w:rPr>
                <w:rFonts w:eastAsia="仿宋_GB2312"/>
                <w:sz w:val="28"/>
                <w:szCs w:val="28"/>
              </w:rPr>
              <w:t>延误</w:t>
            </w:r>
            <w:r>
              <w:rPr>
                <w:rFonts w:eastAsia="仿宋"/>
                <w:sz w:val="28"/>
                <w:szCs w:val="28"/>
              </w:rPr>
              <w:t>治疗</w:t>
            </w:r>
          </w:p>
        </w:tc>
      </w:tr>
      <w:tr w:rsidR="00AD7C24">
        <w:trPr>
          <w:trHeight w:val="637"/>
          <w:jc w:val="center"/>
        </w:trPr>
        <w:tc>
          <w:tcPr>
            <w:tcW w:w="302" w:type="pct"/>
            <w:vMerge w:val="restar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lastRenderedPageBreak/>
              <w:t>生物和化学危险</w:t>
            </w:r>
          </w:p>
        </w:tc>
        <w:tc>
          <w:tcPr>
            <w:tcW w:w="761" w:type="pct"/>
            <w:vAlign w:val="center"/>
          </w:tcPr>
          <w:p w:rsidR="00AD7C24" w:rsidRDefault="00AD7C24" w:rsidP="003073E2">
            <w:pPr>
              <w:spacing w:line="400" w:lineRule="exact"/>
            </w:pPr>
          </w:p>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化学因子</w:t>
            </w:r>
          </w:p>
        </w:tc>
        <w:tc>
          <w:tcPr>
            <w:tcW w:w="1728" w:type="pct"/>
            <w:vAlign w:val="center"/>
          </w:tcPr>
          <w:p w:rsidR="00AD7C24" w:rsidRDefault="00B44348" w:rsidP="003073E2">
            <w:pPr>
              <w:spacing w:line="400" w:lineRule="exact"/>
            </w:pPr>
            <w:r>
              <w:rPr>
                <w:rFonts w:eastAsia="仿宋_GB2312"/>
                <w:sz w:val="28"/>
                <w:szCs w:val="28"/>
              </w:rPr>
              <w:t>产品清洁或消毒不完全，有残留物</w:t>
            </w:r>
          </w:p>
          <w:p w:rsidR="00AD7C24" w:rsidRDefault="00AD7C24" w:rsidP="003073E2">
            <w:pPr>
              <w:spacing w:line="400" w:lineRule="exact"/>
            </w:pPr>
          </w:p>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患者接触清洁或消毒不完全的产品表面</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皮肤过敏，细菌感染</w:t>
            </w:r>
          </w:p>
        </w:tc>
      </w:tr>
      <w:tr w:rsidR="00AD7C24">
        <w:trPr>
          <w:trHeight w:val="637"/>
          <w:jc w:val="center"/>
        </w:trPr>
        <w:tc>
          <w:tcPr>
            <w:tcW w:w="302"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化学因子</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kern w:val="0"/>
                <w:sz w:val="28"/>
                <w:szCs w:val="28"/>
              </w:rPr>
              <w:t>长时间不使用的电池未经取出</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kern w:val="0"/>
                <w:sz w:val="28"/>
                <w:szCs w:val="28"/>
              </w:rPr>
              <w:t>电池漏液，设备损坏，工作异常</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
                <w:sz w:val="28"/>
                <w:szCs w:val="28"/>
              </w:rPr>
            </w:pPr>
            <w:r>
              <w:rPr>
                <w:rFonts w:eastAsia="仿宋"/>
                <w:sz w:val="28"/>
                <w:szCs w:val="28"/>
              </w:rPr>
              <w:t>环境污染</w:t>
            </w:r>
          </w:p>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
                <w:sz w:val="28"/>
                <w:szCs w:val="28"/>
              </w:rPr>
              <w:t>短暂的延误治疗</w:t>
            </w:r>
          </w:p>
        </w:tc>
      </w:tr>
      <w:tr w:rsidR="00AD7C24">
        <w:trPr>
          <w:trHeight w:val="637"/>
          <w:jc w:val="center"/>
        </w:trPr>
        <w:tc>
          <w:tcPr>
            <w:tcW w:w="302"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化学因子</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kern w:val="0"/>
                <w:sz w:val="28"/>
                <w:szCs w:val="28"/>
              </w:rPr>
            </w:pPr>
            <w:r>
              <w:rPr>
                <w:rFonts w:eastAsia="仿宋_GB2312"/>
                <w:sz w:val="28"/>
                <w:szCs w:val="28"/>
              </w:rPr>
              <w:t>清洗消毒不当导致外皮老化、破损、光电器件失效</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kern w:val="0"/>
                <w:sz w:val="28"/>
                <w:szCs w:val="28"/>
              </w:rPr>
            </w:pPr>
            <w:r>
              <w:rPr>
                <w:rFonts w:eastAsia="仿宋_GB2312"/>
                <w:kern w:val="0"/>
                <w:sz w:val="28"/>
                <w:szCs w:val="28"/>
              </w:rPr>
              <w:t>血氧不出值</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
                <w:sz w:val="28"/>
                <w:szCs w:val="28"/>
              </w:rPr>
            </w:pPr>
            <w:r>
              <w:rPr>
                <w:rFonts w:eastAsia="仿宋"/>
                <w:sz w:val="28"/>
                <w:szCs w:val="28"/>
              </w:rPr>
              <w:t>短暂的延误治疗</w:t>
            </w:r>
          </w:p>
        </w:tc>
      </w:tr>
      <w:tr w:rsidR="00AD7C24">
        <w:trPr>
          <w:trHeight w:val="1134"/>
          <w:jc w:val="center"/>
        </w:trPr>
        <w:tc>
          <w:tcPr>
            <w:tcW w:w="302" w:type="pct"/>
            <w:vMerge/>
            <w:vAlign w:val="center"/>
          </w:tcPr>
          <w:p w:rsidR="00AD7C24" w:rsidRDefault="00AD7C24" w:rsidP="003073E2">
            <w:pPr>
              <w:overflowPunct w:val="0"/>
              <w:adjustRightInd w:val="0"/>
              <w:snapToGrid w:val="0"/>
              <w:spacing w:line="400" w:lineRule="exact"/>
              <w:rPr>
                <w:rFonts w:eastAsia="仿宋_GB2312"/>
                <w:kern w:val="0"/>
                <w:sz w:val="28"/>
                <w:szCs w:val="28"/>
              </w:rPr>
            </w:pPr>
          </w:p>
        </w:tc>
        <w:tc>
          <w:tcPr>
            <w:tcW w:w="761" w:type="pct"/>
            <w:vAlign w:val="center"/>
          </w:tcPr>
          <w:p w:rsidR="00AD7C24" w:rsidRDefault="00AD7C24" w:rsidP="003073E2">
            <w:pPr>
              <w:spacing w:line="400" w:lineRule="exact"/>
            </w:pPr>
          </w:p>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生物因子</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kern w:val="0"/>
                <w:sz w:val="28"/>
                <w:szCs w:val="28"/>
              </w:rPr>
              <w:t>与人体接触的材料不符合生物相容性要求</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kern w:val="0"/>
                <w:sz w:val="28"/>
                <w:szCs w:val="28"/>
              </w:rPr>
              <w:t>附件材料存在细胞组织毒性</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皮肤过敏、细菌感染</w:t>
            </w:r>
          </w:p>
          <w:p w:rsidR="00AD7C24" w:rsidRDefault="00AD7C24" w:rsidP="003073E2">
            <w:pPr>
              <w:overflowPunct w:val="0"/>
              <w:autoSpaceDE w:val="0"/>
              <w:autoSpaceDN w:val="0"/>
              <w:adjustRightInd w:val="0"/>
              <w:snapToGrid w:val="0"/>
              <w:spacing w:line="400" w:lineRule="exact"/>
              <w:rPr>
                <w:rFonts w:eastAsia="仿宋_GB2312"/>
                <w:sz w:val="28"/>
                <w:szCs w:val="28"/>
              </w:rPr>
            </w:pPr>
          </w:p>
        </w:tc>
      </w:tr>
      <w:tr w:rsidR="00AD7C24">
        <w:trPr>
          <w:trHeight w:val="1134"/>
          <w:jc w:val="center"/>
        </w:trPr>
        <w:tc>
          <w:tcPr>
            <w:tcW w:w="302" w:type="pct"/>
            <w:vMerge w:val="restart"/>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性能有关的危险</w:t>
            </w: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功能性（维护）</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日常使用、维护未按规定进行</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设备工作异常</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
                <w:sz w:val="28"/>
                <w:szCs w:val="28"/>
              </w:rPr>
            </w:pPr>
            <w:r>
              <w:rPr>
                <w:rFonts w:eastAsia="仿宋"/>
                <w:sz w:val="28"/>
                <w:szCs w:val="28"/>
              </w:rPr>
              <w:t>短暂的延误治疗</w:t>
            </w:r>
          </w:p>
        </w:tc>
      </w:tr>
      <w:tr w:rsidR="00AD7C24">
        <w:trPr>
          <w:trHeight w:val="637"/>
          <w:jc w:val="center"/>
        </w:trPr>
        <w:tc>
          <w:tcPr>
            <w:tcW w:w="302"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761" w:type="pct"/>
            <w:vAlign w:val="center"/>
          </w:tcPr>
          <w:p w:rsidR="00AD7C24" w:rsidRDefault="00B44348" w:rsidP="003073E2">
            <w:pPr>
              <w:spacing w:line="400" w:lineRule="exact"/>
            </w:pPr>
            <w:r>
              <w:rPr>
                <w:rFonts w:eastAsia="仿宋_GB2312"/>
                <w:sz w:val="28"/>
                <w:szCs w:val="28"/>
              </w:rPr>
              <w:t>功能性</w:t>
            </w:r>
          </w:p>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（测量）</w:t>
            </w:r>
          </w:p>
        </w:tc>
        <w:tc>
          <w:tcPr>
            <w:tcW w:w="1728" w:type="pct"/>
            <w:vAlign w:val="center"/>
          </w:tcPr>
          <w:p w:rsidR="00AD7C24" w:rsidRDefault="00B44348" w:rsidP="003073E2">
            <w:pPr>
              <w:spacing w:line="400" w:lineRule="exact"/>
            </w:pPr>
            <w:r>
              <w:rPr>
                <w:rFonts w:eastAsia="仿宋_GB2312"/>
                <w:sz w:val="28"/>
                <w:szCs w:val="28"/>
              </w:rPr>
              <w:t>贮存、运输不当导致的包装完好性破坏（包装破损）</w:t>
            </w:r>
          </w:p>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一次性附件测量异常，</w:t>
            </w:r>
            <w:r>
              <w:rPr>
                <w:rFonts w:eastAsia="仿宋"/>
                <w:color w:val="000000"/>
                <w:sz w:val="28"/>
                <w:szCs w:val="28"/>
              </w:rPr>
              <w:t>向临床医生报告的信息不正确，导致误诊和</w:t>
            </w:r>
            <w:r>
              <w:rPr>
                <w:rFonts w:eastAsia="仿宋"/>
                <w:color w:val="000000"/>
                <w:sz w:val="28"/>
                <w:szCs w:val="28"/>
              </w:rPr>
              <w:t>/</w:t>
            </w:r>
            <w:r>
              <w:rPr>
                <w:rFonts w:eastAsia="仿宋"/>
                <w:color w:val="000000"/>
                <w:sz w:val="28"/>
                <w:szCs w:val="28"/>
              </w:rPr>
              <w:t>或缺乏适当的治疗</w:t>
            </w:r>
          </w:p>
        </w:tc>
        <w:tc>
          <w:tcPr>
            <w:tcW w:w="1140" w:type="pct"/>
            <w:vAlign w:val="center"/>
          </w:tcPr>
          <w:p w:rsidR="00AD7C24" w:rsidRDefault="00B44348" w:rsidP="003073E2">
            <w:pPr>
              <w:spacing w:line="400" w:lineRule="exact"/>
              <w:rPr>
                <w:rFonts w:eastAsia="仿宋"/>
                <w:color w:val="000000"/>
                <w:sz w:val="28"/>
                <w:szCs w:val="28"/>
              </w:rPr>
            </w:pPr>
            <w:r>
              <w:rPr>
                <w:rFonts w:eastAsia="仿宋"/>
                <w:color w:val="000000"/>
                <w:sz w:val="28"/>
                <w:szCs w:val="28"/>
              </w:rPr>
              <w:t>病情恶化</w:t>
            </w:r>
          </w:p>
          <w:p w:rsidR="00AD7C24" w:rsidRDefault="00B44348" w:rsidP="003073E2">
            <w:pPr>
              <w:spacing w:line="400" w:lineRule="exact"/>
              <w:rPr>
                <w:color w:val="000000"/>
                <w:sz w:val="28"/>
                <w:szCs w:val="28"/>
              </w:rPr>
            </w:pPr>
            <w:r>
              <w:rPr>
                <w:rFonts w:eastAsia="仿宋"/>
                <w:color w:val="000000"/>
                <w:sz w:val="28"/>
                <w:szCs w:val="28"/>
              </w:rPr>
              <w:t>严重损伤</w:t>
            </w:r>
          </w:p>
        </w:tc>
      </w:tr>
      <w:tr w:rsidR="00AD7C24">
        <w:trPr>
          <w:trHeight w:val="637"/>
          <w:jc w:val="center"/>
        </w:trPr>
        <w:tc>
          <w:tcPr>
            <w:tcW w:w="302"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功能性（测量）</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贮存期限超过产品规格宣称的有效期</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设备工作异常</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
                <w:sz w:val="28"/>
                <w:szCs w:val="28"/>
              </w:rPr>
              <w:t>短暂的延误治疗</w:t>
            </w:r>
          </w:p>
        </w:tc>
      </w:tr>
      <w:tr w:rsidR="00AD7C24">
        <w:trPr>
          <w:trHeight w:val="637"/>
          <w:jc w:val="center"/>
        </w:trPr>
        <w:tc>
          <w:tcPr>
            <w:tcW w:w="302"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功能性（测量）</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使用环境应力严酷（超规格使用）导致光电器件寿命缩短</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kern w:val="0"/>
                <w:sz w:val="28"/>
                <w:szCs w:val="28"/>
              </w:rPr>
              <w:t>血氧不出值</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
                <w:sz w:val="28"/>
                <w:szCs w:val="28"/>
              </w:rPr>
              <w:t>短暂的延误治疗</w:t>
            </w:r>
          </w:p>
        </w:tc>
      </w:tr>
      <w:tr w:rsidR="00AD7C24">
        <w:trPr>
          <w:trHeight w:val="637"/>
          <w:jc w:val="center"/>
        </w:trPr>
        <w:tc>
          <w:tcPr>
            <w:tcW w:w="302" w:type="pct"/>
            <w:vMerge w:val="restar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家庭使用</w:t>
            </w:r>
            <w:r>
              <w:rPr>
                <w:rFonts w:eastAsia="仿宋_GB2312"/>
                <w:sz w:val="28"/>
                <w:szCs w:val="28"/>
              </w:rPr>
              <w:lastRenderedPageBreak/>
              <w:t>有关的风险（如适用）</w:t>
            </w: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lastRenderedPageBreak/>
              <w:t>可用性</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未考虑到家庭非专业用户的认知能力，在</w:t>
            </w:r>
            <w:r>
              <w:rPr>
                <w:rFonts w:eastAsia="仿宋_GB2312"/>
                <w:sz w:val="28"/>
                <w:szCs w:val="28"/>
              </w:rPr>
              <w:lastRenderedPageBreak/>
              <w:t>用户使用过程中因为误操作而产生错误结果或对结果的错误认知导致的风险。</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kern w:val="0"/>
                <w:sz w:val="28"/>
                <w:szCs w:val="28"/>
              </w:rPr>
            </w:pPr>
            <w:r>
              <w:rPr>
                <w:rFonts w:eastAsia="仿宋_GB2312"/>
                <w:kern w:val="0"/>
                <w:sz w:val="28"/>
                <w:szCs w:val="28"/>
              </w:rPr>
              <w:lastRenderedPageBreak/>
              <w:t>如用户未能正确调节</w:t>
            </w:r>
            <w:r>
              <w:rPr>
                <w:rFonts w:eastAsia="仿宋_GB2312"/>
                <w:kern w:val="0"/>
                <w:sz w:val="28"/>
                <w:szCs w:val="28"/>
              </w:rPr>
              <w:t>/</w:t>
            </w:r>
            <w:r>
              <w:rPr>
                <w:rFonts w:eastAsia="仿宋_GB2312"/>
                <w:kern w:val="0"/>
                <w:sz w:val="28"/>
                <w:szCs w:val="28"/>
              </w:rPr>
              <w:t>校</w:t>
            </w:r>
            <w:r>
              <w:rPr>
                <w:rFonts w:eastAsia="仿宋_GB2312"/>
                <w:kern w:val="0"/>
                <w:sz w:val="28"/>
                <w:szCs w:val="28"/>
              </w:rPr>
              <w:lastRenderedPageBreak/>
              <w:t>准设备，测量设备和结果解读等</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
                <w:sz w:val="28"/>
                <w:szCs w:val="28"/>
              </w:rPr>
            </w:pPr>
            <w:r>
              <w:rPr>
                <w:rFonts w:eastAsia="仿宋"/>
                <w:sz w:val="28"/>
                <w:szCs w:val="28"/>
              </w:rPr>
              <w:lastRenderedPageBreak/>
              <w:t>短暂的延误治疗</w:t>
            </w:r>
          </w:p>
        </w:tc>
      </w:tr>
      <w:tr w:rsidR="00AD7C24">
        <w:trPr>
          <w:trHeight w:val="637"/>
          <w:jc w:val="center"/>
        </w:trPr>
        <w:tc>
          <w:tcPr>
            <w:tcW w:w="302" w:type="pct"/>
            <w:vMerge/>
            <w:vAlign w:val="center"/>
          </w:tcPr>
          <w:p w:rsidR="00AD7C24" w:rsidRDefault="00AD7C24" w:rsidP="003073E2">
            <w:pPr>
              <w:overflowPunct w:val="0"/>
              <w:autoSpaceDE w:val="0"/>
              <w:autoSpaceDN w:val="0"/>
              <w:adjustRightInd w:val="0"/>
              <w:snapToGrid w:val="0"/>
              <w:spacing w:line="400" w:lineRule="exact"/>
              <w:rPr>
                <w:rFonts w:eastAsia="仿宋_GB2312"/>
                <w:sz w:val="28"/>
                <w:szCs w:val="28"/>
              </w:rPr>
            </w:pPr>
          </w:p>
        </w:tc>
        <w:tc>
          <w:tcPr>
            <w:tcW w:w="761"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使用稳定性</w:t>
            </w:r>
          </w:p>
        </w:tc>
        <w:tc>
          <w:tcPr>
            <w:tcW w:w="1728" w:type="pct"/>
            <w:vAlign w:val="center"/>
          </w:tcPr>
          <w:p w:rsidR="00AD7C24" w:rsidRDefault="00B44348" w:rsidP="003073E2">
            <w:pPr>
              <w:overflowPunct w:val="0"/>
              <w:autoSpaceDE w:val="0"/>
              <w:autoSpaceDN w:val="0"/>
              <w:adjustRightInd w:val="0"/>
              <w:snapToGrid w:val="0"/>
              <w:spacing w:line="400" w:lineRule="exact"/>
              <w:rPr>
                <w:rFonts w:eastAsia="仿宋_GB2312"/>
                <w:sz w:val="28"/>
                <w:szCs w:val="28"/>
              </w:rPr>
            </w:pPr>
            <w:r>
              <w:rPr>
                <w:rFonts w:eastAsia="仿宋_GB2312"/>
                <w:sz w:val="28"/>
                <w:szCs w:val="28"/>
              </w:rPr>
              <w:t>未考虑家庭环境或各种干扰因素对测量的影响</w:t>
            </w:r>
          </w:p>
        </w:tc>
        <w:tc>
          <w:tcPr>
            <w:tcW w:w="1067" w:type="pct"/>
            <w:vAlign w:val="center"/>
          </w:tcPr>
          <w:p w:rsidR="00AD7C24" w:rsidRDefault="00B44348" w:rsidP="003073E2">
            <w:pPr>
              <w:overflowPunct w:val="0"/>
              <w:autoSpaceDE w:val="0"/>
              <w:autoSpaceDN w:val="0"/>
              <w:adjustRightInd w:val="0"/>
              <w:snapToGrid w:val="0"/>
              <w:spacing w:line="400" w:lineRule="exact"/>
              <w:rPr>
                <w:rFonts w:eastAsia="仿宋_GB2312"/>
                <w:kern w:val="0"/>
                <w:sz w:val="28"/>
                <w:szCs w:val="28"/>
              </w:rPr>
            </w:pPr>
            <w:r>
              <w:rPr>
                <w:rFonts w:eastAsia="仿宋_GB2312"/>
                <w:kern w:val="0"/>
                <w:sz w:val="28"/>
                <w:szCs w:val="28"/>
              </w:rPr>
              <w:t>系统性能不稳定及检测结果不准确</w:t>
            </w:r>
          </w:p>
        </w:tc>
        <w:tc>
          <w:tcPr>
            <w:tcW w:w="1140" w:type="pct"/>
            <w:vAlign w:val="center"/>
          </w:tcPr>
          <w:p w:rsidR="00AD7C24" w:rsidRDefault="00B44348" w:rsidP="003073E2">
            <w:pPr>
              <w:overflowPunct w:val="0"/>
              <w:autoSpaceDE w:val="0"/>
              <w:autoSpaceDN w:val="0"/>
              <w:adjustRightInd w:val="0"/>
              <w:snapToGrid w:val="0"/>
              <w:spacing w:line="400" w:lineRule="exact"/>
              <w:rPr>
                <w:rFonts w:eastAsia="仿宋"/>
                <w:sz w:val="28"/>
                <w:szCs w:val="28"/>
              </w:rPr>
            </w:pPr>
            <w:r>
              <w:rPr>
                <w:rFonts w:eastAsia="仿宋"/>
                <w:sz w:val="28"/>
                <w:szCs w:val="28"/>
              </w:rPr>
              <w:t>延误治疗</w:t>
            </w:r>
          </w:p>
        </w:tc>
      </w:tr>
    </w:tbl>
    <w:p w:rsidR="00AD7C24" w:rsidRDefault="00AD7C24">
      <w:pPr>
        <w:pStyle w:val="a0"/>
        <w:rPr>
          <w:rFonts w:ascii="Times New Roman" w:hAnsi="Times New Roman" w:cs="Times New Roman"/>
        </w:rPr>
      </w:pPr>
    </w:p>
    <w:sectPr w:rsidR="00AD7C24" w:rsidSect="003073E2">
      <w:footerReference w:type="even" r:id="rId15"/>
      <w:footerReference w:type="default" r:id="rId16"/>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348" w:rsidRDefault="00B44348">
      <w:r>
        <w:separator/>
      </w:r>
    </w:p>
  </w:endnote>
  <w:endnote w:type="continuationSeparator" w:id="0">
    <w:p w:rsidR="00B44348" w:rsidRDefault="00B4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embedRegular r:id="rId1" w:subsetted="1" w:fontKey="{AE402725-AE15-41F2-A427-70C7EA506115}"/>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方正小标宋_GBK">
    <w:altName w:val="Microsoft YaHei UI"/>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86CB345C-0C82-4FC9-A434-6DC2321AA878}"/>
  </w:font>
  <w:font w:name="方正小标宋简体">
    <w:panose1 w:val="03000509000000000000"/>
    <w:charset w:val="86"/>
    <w:family w:val="script"/>
    <w:pitch w:val="fixed"/>
    <w:sig w:usb0="00000001" w:usb1="080E0000" w:usb2="00000010" w:usb3="00000000" w:csb0="00040000" w:csb1="00000000"/>
    <w:embedRegular r:id="rId3" w:subsetted="1" w:fontKey="{06CAFC2F-E5D3-497C-8F82-796646CFA9CA}"/>
  </w:font>
  <w:font w:name="楷体_GB2312">
    <w:panose1 w:val="02010609030101010101"/>
    <w:charset w:val="86"/>
    <w:family w:val="modern"/>
    <w:pitch w:val="fixed"/>
    <w:sig w:usb0="00000001" w:usb1="080E0000" w:usb2="00000010" w:usb3="00000000" w:csb0="00040000" w:csb1="00000000"/>
    <w:embedRegular r:id="rId4" w:subsetted="1" w:fontKey="{FF83AA4E-5D07-4EE9-9E95-9E6ABA0B3D49}"/>
  </w:font>
  <w:font w:name="仿宋_GB2312">
    <w:panose1 w:val="02010609030101010101"/>
    <w:charset w:val="86"/>
    <w:family w:val="modern"/>
    <w:pitch w:val="fixed"/>
    <w:sig w:usb0="00000001" w:usb1="080E0000" w:usb2="00000010" w:usb3="00000000" w:csb0="00040000" w:csb1="00000000"/>
    <w:embedRegular r:id="rId5" w:subsetted="1" w:fontKey="{25E3ADA8-E2B9-45AA-AE9B-1A46DC74E9DD}"/>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embedRegular r:id="rId6" w:subsetted="1" w:fontKey="{C4127656-1F84-4F8D-B2C5-87F024CFD66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C24" w:rsidRPr="003073E2" w:rsidRDefault="003073E2" w:rsidP="003073E2">
    <w:pPr>
      <w:pStyle w:val="a9"/>
      <w:ind w:leftChars="100" w:left="210"/>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Pr>
        <w:noProof/>
        <w:sz w:val="28"/>
        <w:szCs w:val="28"/>
      </w:rPr>
      <w:t>26</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C24" w:rsidRDefault="003073E2" w:rsidP="003073E2">
    <w:pPr>
      <w:pStyle w:val="a9"/>
      <w:wordWrap w:val="0"/>
      <w:ind w:rightChars="100" w:right="210"/>
      <w:jc w:val="right"/>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Pr="003073E2">
      <w:rPr>
        <w:noProof/>
        <w:sz w:val="28"/>
        <w:szCs w:val="28"/>
        <w:lang w:val="zh-CN"/>
      </w:rPr>
      <w:t>25</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348" w:rsidRDefault="00B44348">
      <w:r>
        <w:separator/>
      </w:r>
    </w:p>
  </w:footnote>
  <w:footnote w:type="continuationSeparator" w:id="0">
    <w:p w:rsidR="00B44348" w:rsidRDefault="00B443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CDBAB2"/>
    <w:multiLevelType w:val="singleLevel"/>
    <w:tmpl w:val="8CCDBAB2"/>
    <w:lvl w:ilvl="0">
      <w:start w:val="3"/>
      <w:numFmt w:val="chineseCounting"/>
      <w:suff w:val="nothing"/>
      <w:lvlText w:val="%1、"/>
      <w:lvlJc w:val="left"/>
      <w:rPr>
        <w:rFonts w:hint="eastAsia"/>
      </w:rPr>
    </w:lvl>
  </w:abstractNum>
  <w:abstractNum w:abstractNumId="1" w15:restartNumberingAfterBreak="0">
    <w:nsid w:val="CADE26B9"/>
    <w:multiLevelType w:val="singleLevel"/>
    <w:tmpl w:val="CADE26B9"/>
    <w:lvl w:ilvl="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C6FEB"/>
    <w:rsid w:val="00002038"/>
    <w:rsid w:val="0013547C"/>
    <w:rsid w:val="00154F36"/>
    <w:rsid w:val="00165837"/>
    <w:rsid w:val="001C048E"/>
    <w:rsid w:val="001D7D62"/>
    <w:rsid w:val="00213CF6"/>
    <w:rsid w:val="00260F2E"/>
    <w:rsid w:val="0026216E"/>
    <w:rsid w:val="003073E2"/>
    <w:rsid w:val="00342F31"/>
    <w:rsid w:val="00367060"/>
    <w:rsid w:val="00425A1B"/>
    <w:rsid w:val="00482BDC"/>
    <w:rsid w:val="00496E71"/>
    <w:rsid w:val="004B0D73"/>
    <w:rsid w:val="00527E00"/>
    <w:rsid w:val="00544EEB"/>
    <w:rsid w:val="005F1971"/>
    <w:rsid w:val="00610597"/>
    <w:rsid w:val="0066348F"/>
    <w:rsid w:val="006A1A3E"/>
    <w:rsid w:val="006B06D6"/>
    <w:rsid w:val="006E776C"/>
    <w:rsid w:val="0072245B"/>
    <w:rsid w:val="00772F27"/>
    <w:rsid w:val="007735CA"/>
    <w:rsid w:val="007A6F0F"/>
    <w:rsid w:val="008102F1"/>
    <w:rsid w:val="008A5648"/>
    <w:rsid w:val="009043BA"/>
    <w:rsid w:val="00944515"/>
    <w:rsid w:val="009572BD"/>
    <w:rsid w:val="00997D30"/>
    <w:rsid w:val="009C3288"/>
    <w:rsid w:val="00A856AF"/>
    <w:rsid w:val="00AB6EA3"/>
    <w:rsid w:val="00AD7AE7"/>
    <w:rsid w:val="00AD7C24"/>
    <w:rsid w:val="00B44348"/>
    <w:rsid w:val="00C046D7"/>
    <w:rsid w:val="00C43DB8"/>
    <w:rsid w:val="00CB5A10"/>
    <w:rsid w:val="00D332C6"/>
    <w:rsid w:val="00D743B5"/>
    <w:rsid w:val="00E41FE6"/>
    <w:rsid w:val="00E507A4"/>
    <w:rsid w:val="00E75F24"/>
    <w:rsid w:val="00E86C27"/>
    <w:rsid w:val="00EA1136"/>
    <w:rsid w:val="00EA76D1"/>
    <w:rsid w:val="00EC2E3D"/>
    <w:rsid w:val="00EE0C47"/>
    <w:rsid w:val="00F52A8D"/>
    <w:rsid w:val="00F54B8C"/>
    <w:rsid w:val="00F71B44"/>
    <w:rsid w:val="00FC5153"/>
    <w:rsid w:val="0112363F"/>
    <w:rsid w:val="01255120"/>
    <w:rsid w:val="012D2227"/>
    <w:rsid w:val="01317F69"/>
    <w:rsid w:val="017D2067"/>
    <w:rsid w:val="01B82438"/>
    <w:rsid w:val="01E74ACC"/>
    <w:rsid w:val="01F34A63"/>
    <w:rsid w:val="020D29CF"/>
    <w:rsid w:val="020E6AAB"/>
    <w:rsid w:val="02111B48"/>
    <w:rsid w:val="021B4775"/>
    <w:rsid w:val="02203B3A"/>
    <w:rsid w:val="022655F4"/>
    <w:rsid w:val="0227311A"/>
    <w:rsid w:val="024B6E08"/>
    <w:rsid w:val="02555ED9"/>
    <w:rsid w:val="02571C51"/>
    <w:rsid w:val="02663C42"/>
    <w:rsid w:val="026747BD"/>
    <w:rsid w:val="026B1259"/>
    <w:rsid w:val="026E0D49"/>
    <w:rsid w:val="0288005D"/>
    <w:rsid w:val="02A01AC6"/>
    <w:rsid w:val="02CB619B"/>
    <w:rsid w:val="02FF5E45"/>
    <w:rsid w:val="03015719"/>
    <w:rsid w:val="03192A63"/>
    <w:rsid w:val="0332621A"/>
    <w:rsid w:val="03367AB9"/>
    <w:rsid w:val="03373831"/>
    <w:rsid w:val="034A3564"/>
    <w:rsid w:val="034D4E02"/>
    <w:rsid w:val="0364199E"/>
    <w:rsid w:val="0397607D"/>
    <w:rsid w:val="039B3DC0"/>
    <w:rsid w:val="03B1713F"/>
    <w:rsid w:val="03B629A7"/>
    <w:rsid w:val="03BB1D6C"/>
    <w:rsid w:val="03BD3D36"/>
    <w:rsid w:val="03D270B5"/>
    <w:rsid w:val="03D33559"/>
    <w:rsid w:val="03FB485E"/>
    <w:rsid w:val="041B0A5C"/>
    <w:rsid w:val="041F679F"/>
    <w:rsid w:val="04267B2D"/>
    <w:rsid w:val="04347FE0"/>
    <w:rsid w:val="044E58A5"/>
    <w:rsid w:val="04536448"/>
    <w:rsid w:val="047F723D"/>
    <w:rsid w:val="049A7BD3"/>
    <w:rsid w:val="04C42EA2"/>
    <w:rsid w:val="04CE5ACF"/>
    <w:rsid w:val="04DE21B6"/>
    <w:rsid w:val="04E62E18"/>
    <w:rsid w:val="050F7BAB"/>
    <w:rsid w:val="05212F61"/>
    <w:rsid w:val="055A3CAF"/>
    <w:rsid w:val="05793C8D"/>
    <w:rsid w:val="057C552B"/>
    <w:rsid w:val="05AD1275"/>
    <w:rsid w:val="05BD626F"/>
    <w:rsid w:val="05D84E57"/>
    <w:rsid w:val="05DF092A"/>
    <w:rsid w:val="05F17DCE"/>
    <w:rsid w:val="05F81055"/>
    <w:rsid w:val="05FD2B10"/>
    <w:rsid w:val="05FD48BE"/>
    <w:rsid w:val="061335F1"/>
    <w:rsid w:val="062A31D9"/>
    <w:rsid w:val="06540256"/>
    <w:rsid w:val="06585F98"/>
    <w:rsid w:val="0696086E"/>
    <w:rsid w:val="06C947A0"/>
    <w:rsid w:val="06E33B5C"/>
    <w:rsid w:val="070659F4"/>
    <w:rsid w:val="07126147"/>
    <w:rsid w:val="073700BD"/>
    <w:rsid w:val="075524D7"/>
    <w:rsid w:val="07697D31"/>
    <w:rsid w:val="076F17EB"/>
    <w:rsid w:val="0777244E"/>
    <w:rsid w:val="07792541"/>
    <w:rsid w:val="07966D78"/>
    <w:rsid w:val="07990616"/>
    <w:rsid w:val="07B471FE"/>
    <w:rsid w:val="07D505B1"/>
    <w:rsid w:val="08387E2F"/>
    <w:rsid w:val="0884014E"/>
    <w:rsid w:val="08986B20"/>
    <w:rsid w:val="089E49B5"/>
    <w:rsid w:val="08AA4743"/>
    <w:rsid w:val="08B60D54"/>
    <w:rsid w:val="08BA0844"/>
    <w:rsid w:val="08E91129"/>
    <w:rsid w:val="08F33D56"/>
    <w:rsid w:val="09093579"/>
    <w:rsid w:val="09336848"/>
    <w:rsid w:val="09394241"/>
    <w:rsid w:val="095E1B17"/>
    <w:rsid w:val="0963712E"/>
    <w:rsid w:val="099E1F14"/>
    <w:rsid w:val="09B41737"/>
    <w:rsid w:val="09BF5CE5"/>
    <w:rsid w:val="09F2225F"/>
    <w:rsid w:val="09F9539C"/>
    <w:rsid w:val="0A2763AD"/>
    <w:rsid w:val="0A36039E"/>
    <w:rsid w:val="0A7E6C48"/>
    <w:rsid w:val="0A8235E3"/>
    <w:rsid w:val="0A984BB5"/>
    <w:rsid w:val="0AA3355A"/>
    <w:rsid w:val="0AC27E84"/>
    <w:rsid w:val="0ACD04CD"/>
    <w:rsid w:val="0ACD1DB3"/>
    <w:rsid w:val="0AD35BED"/>
    <w:rsid w:val="0AE95411"/>
    <w:rsid w:val="0AFF2E86"/>
    <w:rsid w:val="0B114967"/>
    <w:rsid w:val="0B444D3D"/>
    <w:rsid w:val="0B6D4294"/>
    <w:rsid w:val="0B7F5D75"/>
    <w:rsid w:val="0B8213C1"/>
    <w:rsid w:val="0B896BF3"/>
    <w:rsid w:val="0BA47589"/>
    <w:rsid w:val="0BB023D2"/>
    <w:rsid w:val="0BBE064B"/>
    <w:rsid w:val="0BD04822"/>
    <w:rsid w:val="0BD47E6F"/>
    <w:rsid w:val="0BE43E2A"/>
    <w:rsid w:val="0BEF2EFA"/>
    <w:rsid w:val="0BF873AE"/>
    <w:rsid w:val="0C000C64"/>
    <w:rsid w:val="0C1E1424"/>
    <w:rsid w:val="0C2D57D1"/>
    <w:rsid w:val="0C4C3EA9"/>
    <w:rsid w:val="0C580AA0"/>
    <w:rsid w:val="0C6C62F9"/>
    <w:rsid w:val="0C831895"/>
    <w:rsid w:val="0C8F023A"/>
    <w:rsid w:val="0D350DE1"/>
    <w:rsid w:val="0D3A2391"/>
    <w:rsid w:val="0D7F205C"/>
    <w:rsid w:val="0D894C89"/>
    <w:rsid w:val="0DC161D1"/>
    <w:rsid w:val="0DCA2B2C"/>
    <w:rsid w:val="0DCE6B40"/>
    <w:rsid w:val="0DE6032D"/>
    <w:rsid w:val="0DE95727"/>
    <w:rsid w:val="0E056A05"/>
    <w:rsid w:val="0E3F0B0B"/>
    <w:rsid w:val="0E625C06"/>
    <w:rsid w:val="0E7D2A40"/>
    <w:rsid w:val="0EAE0E4B"/>
    <w:rsid w:val="0EE4486D"/>
    <w:rsid w:val="0EEC1973"/>
    <w:rsid w:val="0F000F7B"/>
    <w:rsid w:val="0F242EBB"/>
    <w:rsid w:val="0F3155D8"/>
    <w:rsid w:val="0F44466F"/>
    <w:rsid w:val="0F52108C"/>
    <w:rsid w:val="0F587009"/>
    <w:rsid w:val="0F5D63CD"/>
    <w:rsid w:val="0FC05753"/>
    <w:rsid w:val="0FC63F72"/>
    <w:rsid w:val="0FD03043"/>
    <w:rsid w:val="0FFF7484"/>
    <w:rsid w:val="10106A15"/>
    <w:rsid w:val="1030763E"/>
    <w:rsid w:val="104E5D16"/>
    <w:rsid w:val="104F21BA"/>
    <w:rsid w:val="109C2F25"/>
    <w:rsid w:val="10A65097"/>
    <w:rsid w:val="10EE19D3"/>
    <w:rsid w:val="11052878"/>
    <w:rsid w:val="1125116C"/>
    <w:rsid w:val="11360C84"/>
    <w:rsid w:val="113A4C18"/>
    <w:rsid w:val="114A0BD3"/>
    <w:rsid w:val="11904838"/>
    <w:rsid w:val="11934328"/>
    <w:rsid w:val="11E46932"/>
    <w:rsid w:val="11E76422"/>
    <w:rsid w:val="11EB7CC0"/>
    <w:rsid w:val="120174E4"/>
    <w:rsid w:val="12665599"/>
    <w:rsid w:val="12865C3B"/>
    <w:rsid w:val="12971BF6"/>
    <w:rsid w:val="12A6008B"/>
    <w:rsid w:val="12C56763"/>
    <w:rsid w:val="12D22C2E"/>
    <w:rsid w:val="12E017EF"/>
    <w:rsid w:val="131B4F68"/>
    <w:rsid w:val="131D034D"/>
    <w:rsid w:val="132536A6"/>
    <w:rsid w:val="134E50AC"/>
    <w:rsid w:val="137837D5"/>
    <w:rsid w:val="13904FC3"/>
    <w:rsid w:val="139D4FEA"/>
    <w:rsid w:val="13C51E0C"/>
    <w:rsid w:val="14186D67"/>
    <w:rsid w:val="141F40C1"/>
    <w:rsid w:val="143771ED"/>
    <w:rsid w:val="1442323B"/>
    <w:rsid w:val="144C07BE"/>
    <w:rsid w:val="145C4EA5"/>
    <w:rsid w:val="146F2E2A"/>
    <w:rsid w:val="14CD7B51"/>
    <w:rsid w:val="14DE3B0C"/>
    <w:rsid w:val="14F670A8"/>
    <w:rsid w:val="150D43F1"/>
    <w:rsid w:val="150F0169"/>
    <w:rsid w:val="154A73F4"/>
    <w:rsid w:val="154D47EE"/>
    <w:rsid w:val="15853F88"/>
    <w:rsid w:val="158A5A42"/>
    <w:rsid w:val="159468C1"/>
    <w:rsid w:val="15AC7766"/>
    <w:rsid w:val="15B12FCF"/>
    <w:rsid w:val="15BB5BFB"/>
    <w:rsid w:val="15FF1F8C"/>
    <w:rsid w:val="16314110"/>
    <w:rsid w:val="16334288"/>
    <w:rsid w:val="163D0D06"/>
    <w:rsid w:val="164E4CC1"/>
    <w:rsid w:val="16556471"/>
    <w:rsid w:val="165878EE"/>
    <w:rsid w:val="165B2F3A"/>
    <w:rsid w:val="165D4F05"/>
    <w:rsid w:val="16A3500D"/>
    <w:rsid w:val="16DB6AC8"/>
    <w:rsid w:val="16DC407B"/>
    <w:rsid w:val="16E71DC5"/>
    <w:rsid w:val="16F75359"/>
    <w:rsid w:val="16F83FBE"/>
    <w:rsid w:val="17215F32"/>
    <w:rsid w:val="1740285C"/>
    <w:rsid w:val="174F484D"/>
    <w:rsid w:val="175C51BC"/>
    <w:rsid w:val="17602EFE"/>
    <w:rsid w:val="177B3894"/>
    <w:rsid w:val="17CC40F0"/>
    <w:rsid w:val="180354E0"/>
    <w:rsid w:val="18041ADC"/>
    <w:rsid w:val="186E33F9"/>
    <w:rsid w:val="18756535"/>
    <w:rsid w:val="18784278"/>
    <w:rsid w:val="188449CB"/>
    <w:rsid w:val="18B828C6"/>
    <w:rsid w:val="18BA03EC"/>
    <w:rsid w:val="192F4936"/>
    <w:rsid w:val="19516FA3"/>
    <w:rsid w:val="19573E40"/>
    <w:rsid w:val="19575C3B"/>
    <w:rsid w:val="19622F5E"/>
    <w:rsid w:val="197C1B46"/>
    <w:rsid w:val="198D3D53"/>
    <w:rsid w:val="19A277FE"/>
    <w:rsid w:val="19D13C3F"/>
    <w:rsid w:val="19DE010A"/>
    <w:rsid w:val="1A0C111B"/>
    <w:rsid w:val="1A132F57"/>
    <w:rsid w:val="1A404921"/>
    <w:rsid w:val="1A6B4094"/>
    <w:rsid w:val="1A7171D0"/>
    <w:rsid w:val="1A8C400A"/>
    <w:rsid w:val="1AA2738A"/>
    <w:rsid w:val="1AAE21D3"/>
    <w:rsid w:val="1AB62E35"/>
    <w:rsid w:val="1AE6196C"/>
    <w:rsid w:val="1AF776D6"/>
    <w:rsid w:val="1B0167A6"/>
    <w:rsid w:val="1B043BA1"/>
    <w:rsid w:val="1B0E67CD"/>
    <w:rsid w:val="1B2A7AAB"/>
    <w:rsid w:val="1B2B3823"/>
    <w:rsid w:val="1B3C77DE"/>
    <w:rsid w:val="1B3E125F"/>
    <w:rsid w:val="1B46240B"/>
    <w:rsid w:val="1B463275"/>
    <w:rsid w:val="1B5763C6"/>
    <w:rsid w:val="1B6F3710"/>
    <w:rsid w:val="1B723200"/>
    <w:rsid w:val="1B75684C"/>
    <w:rsid w:val="1B762CE2"/>
    <w:rsid w:val="1B79458F"/>
    <w:rsid w:val="1BA3160C"/>
    <w:rsid w:val="1BAB1595"/>
    <w:rsid w:val="1BB71ADC"/>
    <w:rsid w:val="1BC3580A"/>
    <w:rsid w:val="1C085913"/>
    <w:rsid w:val="1C13053F"/>
    <w:rsid w:val="1C2838BF"/>
    <w:rsid w:val="1C295FB5"/>
    <w:rsid w:val="1C334DB0"/>
    <w:rsid w:val="1C56042C"/>
    <w:rsid w:val="1C5A616E"/>
    <w:rsid w:val="1C7F7983"/>
    <w:rsid w:val="1C9176B6"/>
    <w:rsid w:val="1CA13D9D"/>
    <w:rsid w:val="1CA6768D"/>
    <w:rsid w:val="1CAD0994"/>
    <w:rsid w:val="1CC655B2"/>
    <w:rsid w:val="1CE67A02"/>
    <w:rsid w:val="1CF245F9"/>
    <w:rsid w:val="1D216C8C"/>
    <w:rsid w:val="1D7768AC"/>
    <w:rsid w:val="1DCF493A"/>
    <w:rsid w:val="1DF20628"/>
    <w:rsid w:val="1E2307E2"/>
    <w:rsid w:val="1E2F45BD"/>
    <w:rsid w:val="1E3D18A3"/>
    <w:rsid w:val="1E4C1AE7"/>
    <w:rsid w:val="1E676920"/>
    <w:rsid w:val="1E6D7CAF"/>
    <w:rsid w:val="1E6E5F01"/>
    <w:rsid w:val="1E7A2AF8"/>
    <w:rsid w:val="1E82375A"/>
    <w:rsid w:val="1E9E60BA"/>
    <w:rsid w:val="1EBF050A"/>
    <w:rsid w:val="1ED3045A"/>
    <w:rsid w:val="1EEC32CA"/>
    <w:rsid w:val="1EF74148"/>
    <w:rsid w:val="1F070103"/>
    <w:rsid w:val="1F0C571A"/>
    <w:rsid w:val="1F242A63"/>
    <w:rsid w:val="1F2760B0"/>
    <w:rsid w:val="1F4B6242"/>
    <w:rsid w:val="1F731BBE"/>
    <w:rsid w:val="1F7C63FB"/>
    <w:rsid w:val="1F890B18"/>
    <w:rsid w:val="1FAA11BB"/>
    <w:rsid w:val="1FAF4A23"/>
    <w:rsid w:val="1FD2426D"/>
    <w:rsid w:val="1FF97A4C"/>
    <w:rsid w:val="1FFC12EA"/>
    <w:rsid w:val="200A1C59"/>
    <w:rsid w:val="20174376"/>
    <w:rsid w:val="202A5E57"/>
    <w:rsid w:val="202F346E"/>
    <w:rsid w:val="204F1D62"/>
    <w:rsid w:val="205A1C8E"/>
    <w:rsid w:val="205E3D53"/>
    <w:rsid w:val="206749B4"/>
    <w:rsid w:val="208F03B0"/>
    <w:rsid w:val="20A21E92"/>
    <w:rsid w:val="20D504B9"/>
    <w:rsid w:val="20FC3C98"/>
    <w:rsid w:val="21486EDD"/>
    <w:rsid w:val="21556F04"/>
    <w:rsid w:val="21920158"/>
    <w:rsid w:val="21DC5877"/>
    <w:rsid w:val="21F77FBB"/>
    <w:rsid w:val="223E208E"/>
    <w:rsid w:val="22401962"/>
    <w:rsid w:val="224F6049"/>
    <w:rsid w:val="2254540E"/>
    <w:rsid w:val="229D5007"/>
    <w:rsid w:val="22BB36DF"/>
    <w:rsid w:val="22CA1B74"/>
    <w:rsid w:val="22EA7B20"/>
    <w:rsid w:val="234E3345"/>
    <w:rsid w:val="235C0A1E"/>
    <w:rsid w:val="23AC3027"/>
    <w:rsid w:val="23BA3996"/>
    <w:rsid w:val="23CD1929"/>
    <w:rsid w:val="23E7405F"/>
    <w:rsid w:val="24042E63"/>
    <w:rsid w:val="241237D2"/>
    <w:rsid w:val="24236058"/>
    <w:rsid w:val="24610C3D"/>
    <w:rsid w:val="24612064"/>
    <w:rsid w:val="246A78CA"/>
    <w:rsid w:val="249661B1"/>
    <w:rsid w:val="24AA7567"/>
    <w:rsid w:val="24DB0068"/>
    <w:rsid w:val="24EA02AB"/>
    <w:rsid w:val="24FD3B3B"/>
    <w:rsid w:val="250A26FB"/>
    <w:rsid w:val="25184E18"/>
    <w:rsid w:val="25750729"/>
    <w:rsid w:val="25891872"/>
    <w:rsid w:val="258B55EA"/>
    <w:rsid w:val="259F4BF2"/>
    <w:rsid w:val="26306192"/>
    <w:rsid w:val="26431A21"/>
    <w:rsid w:val="26436BD4"/>
    <w:rsid w:val="266D6A9E"/>
    <w:rsid w:val="26747E2C"/>
    <w:rsid w:val="26B91CE3"/>
    <w:rsid w:val="26DC3C24"/>
    <w:rsid w:val="26E03714"/>
    <w:rsid w:val="27612030"/>
    <w:rsid w:val="2769195B"/>
    <w:rsid w:val="27734588"/>
    <w:rsid w:val="2778394C"/>
    <w:rsid w:val="27871DE1"/>
    <w:rsid w:val="278A3680"/>
    <w:rsid w:val="27982240"/>
    <w:rsid w:val="27AF30E6"/>
    <w:rsid w:val="27B961A1"/>
    <w:rsid w:val="27C1173F"/>
    <w:rsid w:val="27D36DD5"/>
    <w:rsid w:val="27D72D69"/>
    <w:rsid w:val="27DA0163"/>
    <w:rsid w:val="27E92A9C"/>
    <w:rsid w:val="27EB2370"/>
    <w:rsid w:val="27FD20A3"/>
    <w:rsid w:val="28377363"/>
    <w:rsid w:val="286363AA"/>
    <w:rsid w:val="286D438F"/>
    <w:rsid w:val="28706D19"/>
    <w:rsid w:val="2877614C"/>
    <w:rsid w:val="289A78F2"/>
    <w:rsid w:val="28C57065"/>
    <w:rsid w:val="28CA642A"/>
    <w:rsid w:val="28E03416"/>
    <w:rsid w:val="28E62B38"/>
    <w:rsid w:val="28F416F8"/>
    <w:rsid w:val="291B6C85"/>
    <w:rsid w:val="295D104C"/>
    <w:rsid w:val="29712D49"/>
    <w:rsid w:val="29864B61"/>
    <w:rsid w:val="29C235A5"/>
    <w:rsid w:val="29D308D1"/>
    <w:rsid w:val="29DB4666"/>
    <w:rsid w:val="2A0C4820"/>
    <w:rsid w:val="2A151926"/>
    <w:rsid w:val="2A34234D"/>
    <w:rsid w:val="2A3D2C2B"/>
    <w:rsid w:val="2A461AE0"/>
    <w:rsid w:val="2A5341FD"/>
    <w:rsid w:val="2A585CB7"/>
    <w:rsid w:val="2A84085A"/>
    <w:rsid w:val="2A842608"/>
    <w:rsid w:val="2AC86999"/>
    <w:rsid w:val="2AFA053F"/>
    <w:rsid w:val="2B1A4D1A"/>
    <w:rsid w:val="2B1C4F36"/>
    <w:rsid w:val="2B1E480B"/>
    <w:rsid w:val="2B373B1E"/>
    <w:rsid w:val="2B395AE8"/>
    <w:rsid w:val="2B41674B"/>
    <w:rsid w:val="2B5B780D"/>
    <w:rsid w:val="2B966A97"/>
    <w:rsid w:val="2BAE3DE1"/>
    <w:rsid w:val="2BBB64FD"/>
    <w:rsid w:val="2BBF5FEE"/>
    <w:rsid w:val="2BF65788"/>
    <w:rsid w:val="2C1A76C8"/>
    <w:rsid w:val="2C5C1A8E"/>
    <w:rsid w:val="2C5C383D"/>
    <w:rsid w:val="2C622E1D"/>
    <w:rsid w:val="2C6721E1"/>
    <w:rsid w:val="2C950AFD"/>
    <w:rsid w:val="2C98683F"/>
    <w:rsid w:val="2CDF446E"/>
    <w:rsid w:val="2CFC5020"/>
    <w:rsid w:val="2D0619FA"/>
    <w:rsid w:val="2D0F6B01"/>
    <w:rsid w:val="2D102879"/>
    <w:rsid w:val="2D1759B5"/>
    <w:rsid w:val="2D2F71A3"/>
    <w:rsid w:val="2D355E3C"/>
    <w:rsid w:val="2D406CBA"/>
    <w:rsid w:val="2D6706EB"/>
    <w:rsid w:val="2DA21723"/>
    <w:rsid w:val="2DBD030B"/>
    <w:rsid w:val="2DD0104B"/>
    <w:rsid w:val="2DD13DB6"/>
    <w:rsid w:val="2DD9710F"/>
    <w:rsid w:val="2E1819E5"/>
    <w:rsid w:val="2E1B14D5"/>
    <w:rsid w:val="2E32735A"/>
    <w:rsid w:val="2E3D144C"/>
    <w:rsid w:val="2E692241"/>
    <w:rsid w:val="2E6E3CFB"/>
    <w:rsid w:val="2E7330BF"/>
    <w:rsid w:val="2E9D013C"/>
    <w:rsid w:val="2EA8720D"/>
    <w:rsid w:val="2EAD65D1"/>
    <w:rsid w:val="2EC92CDF"/>
    <w:rsid w:val="2F0A3A24"/>
    <w:rsid w:val="2F195A15"/>
    <w:rsid w:val="2F2919D0"/>
    <w:rsid w:val="2F300FB0"/>
    <w:rsid w:val="2F302D5E"/>
    <w:rsid w:val="2F4D1B62"/>
    <w:rsid w:val="2F854E58"/>
    <w:rsid w:val="2F8D1F5F"/>
    <w:rsid w:val="2FC35981"/>
    <w:rsid w:val="2FCD67FF"/>
    <w:rsid w:val="2FDE0A0C"/>
    <w:rsid w:val="2FE04785"/>
    <w:rsid w:val="2FE15D9B"/>
    <w:rsid w:val="3005243D"/>
    <w:rsid w:val="30183F1E"/>
    <w:rsid w:val="303643A5"/>
    <w:rsid w:val="30437425"/>
    <w:rsid w:val="30466CDD"/>
    <w:rsid w:val="30544B0C"/>
    <w:rsid w:val="307A6B6F"/>
    <w:rsid w:val="308B2942"/>
    <w:rsid w:val="30EE1123"/>
    <w:rsid w:val="30F009F7"/>
    <w:rsid w:val="313A7EC4"/>
    <w:rsid w:val="316A07AA"/>
    <w:rsid w:val="31992E3D"/>
    <w:rsid w:val="31A55C86"/>
    <w:rsid w:val="321E5129"/>
    <w:rsid w:val="3227669B"/>
    <w:rsid w:val="32290665"/>
    <w:rsid w:val="322A1E1D"/>
    <w:rsid w:val="323B3EF4"/>
    <w:rsid w:val="324E1E79"/>
    <w:rsid w:val="324F79A0"/>
    <w:rsid w:val="328C0BF4"/>
    <w:rsid w:val="32943604"/>
    <w:rsid w:val="32B67A1F"/>
    <w:rsid w:val="32E12CEE"/>
    <w:rsid w:val="32E75E2A"/>
    <w:rsid w:val="32F12805"/>
    <w:rsid w:val="32FC7B27"/>
    <w:rsid w:val="3316226B"/>
    <w:rsid w:val="331A1D5C"/>
    <w:rsid w:val="331F55C4"/>
    <w:rsid w:val="33260700"/>
    <w:rsid w:val="33274478"/>
    <w:rsid w:val="33751688"/>
    <w:rsid w:val="338D4C23"/>
    <w:rsid w:val="338F160E"/>
    <w:rsid w:val="33997124"/>
    <w:rsid w:val="33A31D51"/>
    <w:rsid w:val="33DA14EB"/>
    <w:rsid w:val="33E04D53"/>
    <w:rsid w:val="34180991"/>
    <w:rsid w:val="341E587B"/>
    <w:rsid w:val="345968B4"/>
    <w:rsid w:val="345E10F8"/>
    <w:rsid w:val="345E5194"/>
    <w:rsid w:val="34684D49"/>
    <w:rsid w:val="34BB756E"/>
    <w:rsid w:val="34D20558"/>
    <w:rsid w:val="34F8431E"/>
    <w:rsid w:val="34FB5BBD"/>
    <w:rsid w:val="350C3926"/>
    <w:rsid w:val="351D1FD7"/>
    <w:rsid w:val="35213875"/>
    <w:rsid w:val="35374E47"/>
    <w:rsid w:val="353D61D5"/>
    <w:rsid w:val="357716E7"/>
    <w:rsid w:val="3591410E"/>
    <w:rsid w:val="35B84990"/>
    <w:rsid w:val="35BB5A78"/>
    <w:rsid w:val="35D22DC1"/>
    <w:rsid w:val="35E6686D"/>
    <w:rsid w:val="35F1149A"/>
    <w:rsid w:val="35F5126F"/>
    <w:rsid w:val="360F1920"/>
    <w:rsid w:val="3619279E"/>
    <w:rsid w:val="36317AE8"/>
    <w:rsid w:val="365612FD"/>
    <w:rsid w:val="366B28CE"/>
    <w:rsid w:val="36785717"/>
    <w:rsid w:val="36A858D0"/>
    <w:rsid w:val="36B67FED"/>
    <w:rsid w:val="36C97D20"/>
    <w:rsid w:val="37133692"/>
    <w:rsid w:val="374C2700"/>
    <w:rsid w:val="378105FB"/>
    <w:rsid w:val="37936580"/>
    <w:rsid w:val="37985945"/>
    <w:rsid w:val="379A790F"/>
    <w:rsid w:val="37A83DDA"/>
    <w:rsid w:val="37AC319E"/>
    <w:rsid w:val="37BA1D5F"/>
    <w:rsid w:val="37C329C2"/>
    <w:rsid w:val="37D3697D"/>
    <w:rsid w:val="37F45271"/>
    <w:rsid w:val="3814321D"/>
    <w:rsid w:val="38196A86"/>
    <w:rsid w:val="38213B8C"/>
    <w:rsid w:val="38545835"/>
    <w:rsid w:val="38563836"/>
    <w:rsid w:val="38702BA7"/>
    <w:rsid w:val="38741F0E"/>
    <w:rsid w:val="387737AC"/>
    <w:rsid w:val="3885411B"/>
    <w:rsid w:val="38AA5930"/>
    <w:rsid w:val="38CC3AF8"/>
    <w:rsid w:val="38DE55D9"/>
    <w:rsid w:val="38E01351"/>
    <w:rsid w:val="393B0C7E"/>
    <w:rsid w:val="395C1320"/>
    <w:rsid w:val="398443D3"/>
    <w:rsid w:val="39930ABA"/>
    <w:rsid w:val="39A71E6F"/>
    <w:rsid w:val="39BC3B6C"/>
    <w:rsid w:val="39C649EB"/>
    <w:rsid w:val="3A192D6D"/>
    <w:rsid w:val="3A413212"/>
    <w:rsid w:val="3A5C70FE"/>
    <w:rsid w:val="3A667F7C"/>
    <w:rsid w:val="3AB26D1E"/>
    <w:rsid w:val="3AB331C1"/>
    <w:rsid w:val="3AD4138A"/>
    <w:rsid w:val="3AF630AE"/>
    <w:rsid w:val="3AFB2473"/>
    <w:rsid w:val="3AFF6407"/>
    <w:rsid w:val="3B1B2B15"/>
    <w:rsid w:val="3B1F2605"/>
    <w:rsid w:val="3B53405D"/>
    <w:rsid w:val="3B585B17"/>
    <w:rsid w:val="3B7A60DF"/>
    <w:rsid w:val="3B844B5E"/>
    <w:rsid w:val="3B9F54F4"/>
    <w:rsid w:val="3BBA0580"/>
    <w:rsid w:val="3BF16453"/>
    <w:rsid w:val="3BF84C04"/>
    <w:rsid w:val="3C3E127F"/>
    <w:rsid w:val="3C99397C"/>
    <w:rsid w:val="3C99459C"/>
    <w:rsid w:val="3CDC4526"/>
    <w:rsid w:val="3D115F7D"/>
    <w:rsid w:val="3D406863"/>
    <w:rsid w:val="3D4C16AB"/>
    <w:rsid w:val="3D65451B"/>
    <w:rsid w:val="3D78424E"/>
    <w:rsid w:val="3D8C7CFA"/>
    <w:rsid w:val="3DAF5796"/>
    <w:rsid w:val="3DCE3E6E"/>
    <w:rsid w:val="3DDA0A65"/>
    <w:rsid w:val="3DE23DBE"/>
    <w:rsid w:val="3DE9514C"/>
    <w:rsid w:val="3DF338D5"/>
    <w:rsid w:val="3E2C636E"/>
    <w:rsid w:val="3E3208A1"/>
    <w:rsid w:val="3E353EED"/>
    <w:rsid w:val="3E5720B6"/>
    <w:rsid w:val="3E611186"/>
    <w:rsid w:val="3E740EBA"/>
    <w:rsid w:val="3E860BED"/>
    <w:rsid w:val="3EB72B54"/>
    <w:rsid w:val="3EC11C25"/>
    <w:rsid w:val="3ECF7E9E"/>
    <w:rsid w:val="3EE14075"/>
    <w:rsid w:val="3F073ADC"/>
    <w:rsid w:val="3F0F0BE2"/>
    <w:rsid w:val="3F204B9E"/>
    <w:rsid w:val="3F422D66"/>
    <w:rsid w:val="3F4A5777"/>
    <w:rsid w:val="3F4C14EF"/>
    <w:rsid w:val="3F5B7984"/>
    <w:rsid w:val="3F6A5E19"/>
    <w:rsid w:val="3F7171A7"/>
    <w:rsid w:val="3F890995"/>
    <w:rsid w:val="3F8F762D"/>
    <w:rsid w:val="3FB35A12"/>
    <w:rsid w:val="3FB672B0"/>
    <w:rsid w:val="3FDA4D4C"/>
    <w:rsid w:val="40073668"/>
    <w:rsid w:val="401D2E8B"/>
    <w:rsid w:val="40464190"/>
    <w:rsid w:val="408F1FDB"/>
    <w:rsid w:val="4093314D"/>
    <w:rsid w:val="41160006"/>
    <w:rsid w:val="41314E40"/>
    <w:rsid w:val="41322966"/>
    <w:rsid w:val="4153163B"/>
    <w:rsid w:val="415C79E3"/>
    <w:rsid w:val="4172564D"/>
    <w:rsid w:val="41A75102"/>
    <w:rsid w:val="41D13F2D"/>
    <w:rsid w:val="424741EF"/>
    <w:rsid w:val="4255690C"/>
    <w:rsid w:val="425A2175"/>
    <w:rsid w:val="42F20C15"/>
    <w:rsid w:val="42F907D1"/>
    <w:rsid w:val="430D71E7"/>
    <w:rsid w:val="432A3CA1"/>
    <w:rsid w:val="434D7F2B"/>
    <w:rsid w:val="43607C5E"/>
    <w:rsid w:val="436854A3"/>
    <w:rsid w:val="437B7663"/>
    <w:rsid w:val="43853221"/>
    <w:rsid w:val="438C2802"/>
    <w:rsid w:val="438D657A"/>
    <w:rsid w:val="43F14D5A"/>
    <w:rsid w:val="44114AB5"/>
    <w:rsid w:val="442567B2"/>
    <w:rsid w:val="44915BF6"/>
    <w:rsid w:val="44A818BD"/>
    <w:rsid w:val="44C766E4"/>
    <w:rsid w:val="44DA759D"/>
    <w:rsid w:val="45124F88"/>
    <w:rsid w:val="4516778B"/>
    <w:rsid w:val="45435142"/>
    <w:rsid w:val="4565330A"/>
    <w:rsid w:val="45815C6A"/>
    <w:rsid w:val="45A1630C"/>
    <w:rsid w:val="45A51959"/>
    <w:rsid w:val="45B002FD"/>
    <w:rsid w:val="45C02C36"/>
    <w:rsid w:val="45F66658"/>
    <w:rsid w:val="46162856"/>
    <w:rsid w:val="467A1037"/>
    <w:rsid w:val="46971BE9"/>
    <w:rsid w:val="46A936CA"/>
    <w:rsid w:val="46A95479"/>
    <w:rsid w:val="46B1432D"/>
    <w:rsid w:val="46DA1AD6"/>
    <w:rsid w:val="46DF7727"/>
    <w:rsid w:val="46ED7A5B"/>
    <w:rsid w:val="47507FEA"/>
    <w:rsid w:val="47615D53"/>
    <w:rsid w:val="4766336A"/>
    <w:rsid w:val="47B10686"/>
    <w:rsid w:val="47B73BC5"/>
    <w:rsid w:val="47B75973"/>
    <w:rsid w:val="47BC51CA"/>
    <w:rsid w:val="47DC187E"/>
    <w:rsid w:val="47F6293F"/>
    <w:rsid w:val="48270D4B"/>
    <w:rsid w:val="482E20D9"/>
    <w:rsid w:val="48693111"/>
    <w:rsid w:val="48733F90"/>
    <w:rsid w:val="489B7043"/>
    <w:rsid w:val="48A00AFD"/>
    <w:rsid w:val="48BD520B"/>
    <w:rsid w:val="48BF71D5"/>
    <w:rsid w:val="48C76BF4"/>
    <w:rsid w:val="48D2515B"/>
    <w:rsid w:val="48FA02BA"/>
    <w:rsid w:val="49097CAC"/>
    <w:rsid w:val="49543DC1"/>
    <w:rsid w:val="4981092F"/>
    <w:rsid w:val="499441BE"/>
    <w:rsid w:val="49997A26"/>
    <w:rsid w:val="49AD5280"/>
    <w:rsid w:val="49DB003F"/>
    <w:rsid w:val="49DC3DB7"/>
    <w:rsid w:val="4A17601F"/>
    <w:rsid w:val="4A325785"/>
    <w:rsid w:val="4A595408"/>
    <w:rsid w:val="4A7F4E6E"/>
    <w:rsid w:val="4A914BA1"/>
    <w:rsid w:val="4A9F72BE"/>
    <w:rsid w:val="4AA743C5"/>
    <w:rsid w:val="4AAA17BF"/>
    <w:rsid w:val="4AAC2112"/>
    <w:rsid w:val="4AAD305D"/>
    <w:rsid w:val="4ABA40F8"/>
    <w:rsid w:val="4AC97E97"/>
    <w:rsid w:val="4AD8632C"/>
    <w:rsid w:val="4B2B6DA4"/>
    <w:rsid w:val="4B2E0642"/>
    <w:rsid w:val="4B512996"/>
    <w:rsid w:val="4BB46D99"/>
    <w:rsid w:val="4BD05255"/>
    <w:rsid w:val="4BE17463"/>
    <w:rsid w:val="4BE331DB"/>
    <w:rsid w:val="4BF4363A"/>
    <w:rsid w:val="4C194E4E"/>
    <w:rsid w:val="4C7402D7"/>
    <w:rsid w:val="4C820C46"/>
    <w:rsid w:val="4C983FC5"/>
    <w:rsid w:val="4CAD5597"/>
    <w:rsid w:val="4CE94821"/>
    <w:rsid w:val="4D0A2ADF"/>
    <w:rsid w:val="4D151ABA"/>
    <w:rsid w:val="4D1C6FEB"/>
    <w:rsid w:val="4D330192"/>
    <w:rsid w:val="4D386DDA"/>
    <w:rsid w:val="4D423F31"/>
    <w:rsid w:val="4D5679DC"/>
    <w:rsid w:val="4D583754"/>
    <w:rsid w:val="4D662315"/>
    <w:rsid w:val="4D7A36CB"/>
    <w:rsid w:val="4D862070"/>
    <w:rsid w:val="4D8B1D7C"/>
    <w:rsid w:val="4DC4703C"/>
    <w:rsid w:val="4DDD3C5A"/>
    <w:rsid w:val="4E241889"/>
    <w:rsid w:val="4E724CEA"/>
    <w:rsid w:val="4E9751B5"/>
    <w:rsid w:val="4E9E788D"/>
    <w:rsid w:val="4EC310A1"/>
    <w:rsid w:val="4EF23FDF"/>
    <w:rsid w:val="4EFB083B"/>
    <w:rsid w:val="4F075432"/>
    <w:rsid w:val="4F1813ED"/>
    <w:rsid w:val="4F1F09CE"/>
    <w:rsid w:val="4F2935FA"/>
    <w:rsid w:val="4F2E0C11"/>
    <w:rsid w:val="4F3A5808"/>
    <w:rsid w:val="4F4A531F"/>
    <w:rsid w:val="4F7800DE"/>
    <w:rsid w:val="4F786330"/>
    <w:rsid w:val="4F7A5C04"/>
    <w:rsid w:val="4F840831"/>
    <w:rsid w:val="4F8B2863"/>
    <w:rsid w:val="4FBC5A76"/>
    <w:rsid w:val="4FC21359"/>
    <w:rsid w:val="4FCE7CFE"/>
    <w:rsid w:val="4FDC241B"/>
    <w:rsid w:val="4FEB6B02"/>
    <w:rsid w:val="4FF0236A"/>
    <w:rsid w:val="50100316"/>
    <w:rsid w:val="50265D8C"/>
    <w:rsid w:val="506B19F1"/>
    <w:rsid w:val="507B60D8"/>
    <w:rsid w:val="507C59AC"/>
    <w:rsid w:val="50DE6667"/>
    <w:rsid w:val="50E0418D"/>
    <w:rsid w:val="50E05F3B"/>
    <w:rsid w:val="50F33EC0"/>
    <w:rsid w:val="511F2F07"/>
    <w:rsid w:val="514566E6"/>
    <w:rsid w:val="514C1822"/>
    <w:rsid w:val="5153670D"/>
    <w:rsid w:val="515B1A65"/>
    <w:rsid w:val="51A27694"/>
    <w:rsid w:val="51A927D1"/>
    <w:rsid w:val="51A96C75"/>
    <w:rsid w:val="51BC69A8"/>
    <w:rsid w:val="51CE2237"/>
    <w:rsid w:val="52110BC5"/>
    <w:rsid w:val="522956BF"/>
    <w:rsid w:val="525941F7"/>
    <w:rsid w:val="526547C1"/>
    <w:rsid w:val="528648C0"/>
    <w:rsid w:val="52BE04FE"/>
    <w:rsid w:val="52ED493F"/>
    <w:rsid w:val="52F263F9"/>
    <w:rsid w:val="53081779"/>
    <w:rsid w:val="531E0F9C"/>
    <w:rsid w:val="53334A48"/>
    <w:rsid w:val="534D3630"/>
    <w:rsid w:val="537E1A3B"/>
    <w:rsid w:val="53C03E02"/>
    <w:rsid w:val="53C25DCC"/>
    <w:rsid w:val="53FA7313"/>
    <w:rsid w:val="540D5BAD"/>
    <w:rsid w:val="54617393"/>
    <w:rsid w:val="546D21DB"/>
    <w:rsid w:val="5495703C"/>
    <w:rsid w:val="54A379AB"/>
    <w:rsid w:val="54B5148C"/>
    <w:rsid w:val="54D77655"/>
    <w:rsid w:val="54EB3100"/>
    <w:rsid w:val="553E1482"/>
    <w:rsid w:val="554C3B9F"/>
    <w:rsid w:val="55562C6F"/>
    <w:rsid w:val="556C5FEF"/>
    <w:rsid w:val="556F788D"/>
    <w:rsid w:val="558127D5"/>
    <w:rsid w:val="5587107B"/>
    <w:rsid w:val="559265A5"/>
    <w:rsid w:val="55A27C63"/>
    <w:rsid w:val="561F3061"/>
    <w:rsid w:val="56460F02"/>
    <w:rsid w:val="565A22EB"/>
    <w:rsid w:val="565D1DDC"/>
    <w:rsid w:val="5664316A"/>
    <w:rsid w:val="56644F18"/>
    <w:rsid w:val="567315FF"/>
    <w:rsid w:val="567C4958"/>
    <w:rsid w:val="56813D1C"/>
    <w:rsid w:val="56AD4B11"/>
    <w:rsid w:val="56E36785"/>
    <w:rsid w:val="57101FE7"/>
    <w:rsid w:val="57276214"/>
    <w:rsid w:val="57342B3C"/>
    <w:rsid w:val="57415259"/>
    <w:rsid w:val="578A30A4"/>
    <w:rsid w:val="578A6C00"/>
    <w:rsid w:val="57B43C7D"/>
    <w:rsid w:val="57BB6BFD"/>
    <w:rsid w:val="57BC2B32"/>
    <w:rsid w:val="57BD6FD6"/>
    <w:rsid w:val="57CA16F3"/>
    <w:rsid w:val="57DA7B88"/>
    <w:rsid w:val="57DB745C"/>
    <w:rsid w:val="58150BC0"/>
    <w:rsid w:val="5818420C"/>
    <w:rsid w:val="58313520"/>
    <w:rsid w:val="583152CE"/>
    <w:rsid w:val="5878114F"/>
    <w:rsid w:val="58911983"/>
    <w:rsid w:val="58932925"/>
    <w:rsid w:val="589E6E07"/>
    <w:rsid w:val="58B303D9"/>
    <w:rsid w:val="58B54151"/>
    <w:rsid w:val="58BD134A"/>
    <w:rsid w:val="58C703D2"/>
    <w:rsid w:val="58FA1B64"/>
    <w:rsid w:val="59253085"/>
    <w:rsid w:val="59413C36"/>
    <w:rsid w:val="59527BF2"/>
    <w:rsid w:val="59570D64"/>
    <w:rsid w:val="597A4A53"/>
    <w:rsid w:val="59D567EE"/>
    <w:rsid w:val="59FD7B5D"/>
    <w:rsid w:val="5A1B7FE4"/>
    <w:rsid w:val="5A296BA4"/>
    <w:rsid w:val="5A2D0C00"/>
    <w:rsid w:val="5A386DE8"/>
    <w:rsid w:val="5A3F0ED3"/>
    <w:rsid w:val="5A44753A"/>
    <w:rsid w:val="5A767910"/>
    <w:rsid w:val="5AAB580B"/>
    <w:rsid w:val="5B01367D"/>
    <w:rsid w:val="5B0B44FC"/>
    <w:rsid w:val="5B1A569B"/>
    <w:rsid w:val="5B392E17"/>
    <w:rsid w:val="5B547C51"/>
    <w:rsid w:val="5B661732"/>
    <w:rsid w:val="5B7C2D04"/>
    <w:rsid w:val="5B8147BE"/>
    <w:rsid w:val="5B995664"/>
    <w:rsid w:val="5BB64468"/>
    <w:rsid w:val="5BBB1A7E"/>
    <w:rsid w:val="5BBB7CD0"/>
    <w:rsid w:val="5BD91F04"/>
    <w:rsid w:val="5BE45D53"/>
    <w:rsid w:val="5C1178F0"/>
    <w:rsid w:val="5C147195"/>
    <w:rsid w:val="5C3B496D"/>
    <w:rsid w:val="5C3B671B"/>
    <w:rsid w:val="5C447CC6"/>
    <w:rsid w:val="5C533A65"/>
    <w:rsid w:val="5C9C18B0"/>
    <w:rsid w:val="5CA2679A"/>
    <w:rsid w:val="5CC11316"/>
    <w:rsid w:val="5CC20BEA"/>
    <w:rsid w:val="5CD13BC1"/>
    <w:rsid w:val="5CD31049"/>
    <w:rsid w:val="5CD54DC2"/>
    <w:rsid w:val="5CD728E8"/>
    <w:rsid w:val="5D301FF8"/>
    <w:rsid w:val="5D3715D8"/>
    <w:rsid w:val="5D41498A"/>
    <w:rsid w:val="5D4B6E32"/>
    <w:rsid w:val="5D7E7207"/>
    <w:rsid w:val="5DB7425B"/>
    <w:rsid w:val="5DC3544E"/>
    <w:rsid w:val="5DD46E27"/>
    <w:rsid w:val="5DD5494D"/>
    <w:rsid w:val="5DDB01B6"/>
    <w:rsid w:val="5DED613B"/>
    <w:rsid w:val="5E0E6467"/>
    <w:rsid w:val="5E2C6C63"/>
    <w:rsid w:val="5E744166"/>
    <w:rsid w:val="5E863082"/>
    <w:rsid w:val="5E8E347A"/>
    <w:rsid w:val="5EAE7678"/>
    <w:rsid w:val="5EB629D1"/>
    <w:rsid w:val="5EE74938"/>
    <w:rsid w:val="5EE96902"/>
    <w:rsid w:val="5F17346F"/>
    <w:rsid w:val="5F1871E8"/>
    <w:rsid w:val="5F37766E"/>
    <w:rsid w:val="5F487ACD"/>
    <w:rsid w:val="5F6661A5"/>
    <w:rsid w:val="5F8D54E0"/>
    <w:rsid w:val="5F8E3006"/>
    <w:rsid w:val="5FA40A7B"/>
    <w:rsid w:val="5FAB07DA"/>
    <w:rsid w:val="5FC058B5"/>
    <w:rsid w:val="60002155"/>
    <w:rsid w:val="604152F7"/>
    <w:rsid w:val="60545FFD"/>
    <w:rsid w:val="609F44FF"/>
    <w:rsid w:val="60AF1486"/>
    <w:rsid w:val="60C72C73"/>
    <w:rsid w:val="60D31618"/>
    <w:rsid w:val="60DA29A7"/>
    <w:rsid w:val="60E530F9"/>
    <w:rsid w:val="60F03F78"/>
    <w:rsid w:val="60F8107F"/>
    <w:rsid w:val="60F872D1"/>
    <w:rsid w:val="61001CE1"/>
    <w:rsid w:val="61131A15"/>
    <w:rsid w:val="61241E74"/>
    <w:rsid w:val="61265BEC"/>
    <w:rsid w:val="613A3445"/>
    <w:rsid w:val="614056E4"/>
    <w:rsid w:val="61412A26"/>
    <w:rsid w:val="61532759"/>
    <w:rsid w:val="6162299C"/>
    <w:rsid w:val="616E30EF"/>
    <w:rsid w:val="61B2122D"/>
    <w:rsid w:val="61B3234F"/>
    <w:rsid w:val="61D2367E"/>
    <w:rsid w:val="61F061FA"/>
    <w:rsid w:val="61FE4473"/>
    <w:rsid w:val="622540F5"/>
    <w:rsid w:val="622D6B06"/>
    <w:rsid w:val="624B51DE"/>
    <w:rsid w:val="62514EEA"/>
    <w:rsid w:val="626562A0"/>
    <w:rsid w:val="627821ED"/>
    <w:rsid w:val="629D3C8C"/>
    <w:rsid w:val="62AA45FB"/>
    <w:rsid w:val="62C84A81"/>
    <w:rsid w:val="62D653F0"/>
    <w:rsid w:val="63275C4B"/>
    <w:rsid w:val="632919C3"/>
    <w:rsid w:val="63402869"/>
    <w:rsid w:val="63510BA9"/>
    <w:rsid w:val="6356208C"/>
    <w:rsid w:val="63666773"/>
    <w:rsid w:val="63870498"/>
    <w:rsid w:val="639704E6"/>
    <w:rsid w:val="63B03E93"/>
    <w:rsid w:val="63BF7C32"/>
    <w:rsid w:val="63CB4828"/>
    <w:rsid w:val="63ED479F"/>
    <w:rsid w:val="63FC32FD"/>
    <w:rsid w:val="64085A7D"/>
    <w:rsid w:val="641B57B0"/>
    <w:rsid w:val="64287ECD"/>
    <w:rsid w:val="642B176B"/>
    <w:rsid w:val="64416899"/>
    <w:rsid w:val="644C3BBB"/>
    <w:rsid w:val="647153D0"/>
    <w:rsid w:val="64CA0F84"/>
    <w:rsid w:val="64CD637E"/>
    <w:rsid w:val="64DD0CB7"/>
    <w:rsid w:val="64F25DE5"/>
    <w:rsid w:val="65075D34"/>
    <w:rsid w:val="65200BA4"/>
    <w:rsid w:val="653B59DE"/>
    <w:rsid w:val="653E2DF3"/>
    <w:rsid w:val="654523B9"/>
    <w:rsid w:val="65474D35"/>
    <w:rsid w:val="654A5C21"/>
    <w:rsid w:val="65A41C8F"/>
    <w:rsid w:val="65D04378"/>
    <w:rsid w:val="65D11E9E"/>
    <w:rsid w:val="65E9368C"/>
    <w:rsid w:val="66344907"/>
    <w:rsid w:val="6635242D"/>
    <w:rsid w:val="66377F53"/>
    <w:rsid w:val="664408C2"/>
    <w:rsid w:val="665545C2"/>
    <w:rsid w:val="6655487D"/>
    <w:rsid w:val="668F7D8F"/>
    <w:rsid w:val="66A70B25"/>
    <w:rsid w:val="66AD6467"/>
    <w:rsid w:val="66B07D06"/>
    <w:rsid w:val="66BC48FC"/>
    <w:rsid w:val="66F978FF"/>
    <w:rsid w:val="67136C12"/>
    <w:rsid w:val="67332E10"/>
    <w:rsid w:val="67360E03"/>
    <w:rsid w:val="676C00D0"/>
    <w:rsid w:val="67714745"/>
    <w:rsid w:val="67D30150"/>
    <w:rsid w:val="67DC5256"/>
    <w:rsid w:val="67EE4F89"/>
    <w:rsid w:val="67F875D5"/>
    <w:rsid w:val="68040309"/>
    <w:rsid w:val="68060525"/>
    <w:rsid w:val="689C49E5"/>
    <w:rsid w:val="68E5013A"/>
    <w:rsid w:val="69166546"/>
    <w:rsid w:val="693B5FAC"/>
    <w:rsid w:val="694679F3"/>
    <w:rsid w:val="69690D6B"/>
    <w:rsid w:val="69855479"/>
    <w:rsid w:val="69992CD3"/>
    <w:rsid w:val="699B2EEF"/>
    <w:rsid w:val="69BB70ED"/>
    <w:rsid w:val="69D16911"/>
    <w:rsid w:val="69D87C9F"/>
    <w:rsid w:val="69DB153D"/>
    <w:rsid w:val="69E20B1E"/>
    <w:rsid w:val="69FD14B4"/>
    <w:rsid w:val="6A010FA4"/>
    <w:rsid w:val="6A3F387A"/>
    <w:rsid w:val="6A611A43"/>
    <w:rsid w:val="6A707ED8"/>
    <w:rsid w:val="6A975464"/>
    <w:rsid w:val="6AC36259"/>
    <w:rsid w:val="6AC56475"/>
    <w:rsid w:val="6AD55F8D"/>
    <w:rsid w:val="6AF02DC7"/>
    <w:rsid w:val="6B0845B4"/>
    <w:rsid w:val="6B272C8C"/>
    <w:rsid w:val="6B3929BF"/>
    <w:rsid w:val="6B46084A"/>
    <w:rsid w:val="6B5275DD"/>
    <w:rsid w:val="6B5C417A"/>
    <w:rsid w:val="6B657311"/>
    <w:rsid w:val="6BBA3B00"/>
    <w:rsid w:val="6BC73F99"/>
    <w:rsid w:val="6BCE176C"/>
    <w:rsid w:val="6BF568E6"/>
    <w:rsid w:val="6C007039"/>
    <w:rsid w:val="6C4258A4"/>
    <w:rsid w:val="6C496C32"/>
    <w:rsid w:val="6C691082"/>
    <w:rsid w:val="6C9D6941"/>
    <w:rsid w:val="6CA9147F"/>
    <w:rsid w:val="6CCD33BF"/>
    <w:rsid w:val="6D0B213A"/>
    <w:rsid w:val="6D170ADE"/>
    <w:rsid w:val="6D2154B9"/>
    <w:rsid w:val="6D7D4DE5"/>
    <w:rsid w:val="6D877A12"/>
    <w:rsid w:val="6DA87988"/>
    <w:rsid w:val="6DA93E2C"/>
    <w:rsid w:val="6DAB1B9F"/>
    <w:rsid w:val="6DD15131"/>
    <w:rsid w:val="6DF66946"/>
    <w:rsid w:val="6DFB3F5C"/>
    <w:rsid w:val="6E032E11"/>
    <w:rsid w:val="6E3F02ED"/>
    <w:rsid w:val="6E510020"/>
    <w:rsid w:val="6E7837FF"/>
    <w:rsid w:val="6EA77C40"/>
    <w:rsid w:val="6EAE350B"/>
    <w:rsid w:val="6EC10D02"/>
    <w:rsid w:val="6EDA6267"/>
    <w:rsid w:val="6F1A48B6"/>
    <w:rsid w:val="6F541B76"/>
    <w:rsid w:val="6F63625D"/>
    <w:rsid w:val="6F85473E"/>
    <w:rsid w:val="6FA81EC2"/>
    <w:rsid w:val="6FAC19B2"/>
    <w:rsid w:val="6FB46AB9"/>
    <w:rsid w:val="6FDD7DBD"/>
    <w:rsid w:val="70162731"/>
    <w:rsid w:val="701E2E5D"/>
    <w:rsid w:val="704C1AB0"/>
    <w:rsid w:val="706F478E"/>
    <w:rsid w:val="708E730A"/>
    <w:rsid w:val="709B5583"/>
    <w:rsid w:val="70A73F27"/>
    <w:rsid w:val="70AB7EBB"/>
    <w:rsid w:val="70BA6F74"/>
    <w:rsid w:val="71033854"/>
    <w:rsid w:val="714479C8"/>
    <w:rsid w:val="7148570A"/>
    <w:rsid w:val="71490CB4"/>
    <w:rsid w:val="71950224"/>
    <w:rsid w:val="71A87F57"/>
    <w:rsid w:val="71AD1A11"/>
    <w:rsid w:val="71C11019"/>
    <w:rsid w:val="71C70D25"/>
    <w:rsid w:val="71C81817"/>
    <w:rsid w:val="71EC078C"/>
    <w:rsid w:val="72655E48"/>
    <w:rsid w:val="726C5429"/>
    <w:rsid w:val="72822E9E"/>
    <w:rsid w:val="72C15774"/>
    <w:rsid w:val="72DB610A"/>
    <w:rsid w:val="730C2768"/>
    <w:rsid w:val="733E71A0"/>
    <w:rsid w:val="73463ECB"/>
    <w:rsid w:val="735760D9"/>
    <w:rsid w:val="73697BBA"/>
    <w:rsid w:val="73734595"/>
    <w:rsid w:val="73740A39"/>
    <w:rsid w:val="737E5413"/>
    <w:rsid w:val="73836ECE"/>
    <w:rsid w:val="73B01345"/>
    <w:rsid w:val="73D2750D"/>
    <w:rsid w:val="74031DBD"/>
    <w:rsid w:val="742B394E"/>
    <w:rsid w:val="744F6DB0"/>
    <w:rsid w:val="745D14CD"/>
    <w:rsid w:val="746F2FAE"/>
    <w:rsid w:val="74810365"/>
    <w:rsid w:val="749B3DA3"/>
    <w:rsid w:val="74C01A5C"/>
    <w:rsid w:val="74FC6F38"/>
    <w:rsid w:val="75371D1E"/>
    <w:rsid w:val="754D7793"/>
    <w:rsid w:val="75662603"/>
    <w:rsid w:val="756E770A"/>
    <w:rsid w:val="75970A0E"/>
    <w:rsid w:val="75B4336E"/>
    <w:rsid w:val="75D02172"/>
    <w:rsid w:val="75EB48B6"/>
    <w:rsid w:val="75ED4AD2"/>
    <w:rsid w:val="76085468"/>
    <w:rsid w:val="76120095"/>
    <w:rsid w:val="761E6A3A"/>
    <w:rsid w:val="7621477C"/>
    <w:rsid w:val="764D5571"/>
    <w:rsid w:val="76742AFE"/>
    <w:rsid w:val="769431A0"/>
    <w:rsid w:val="76C515AB"/>
    <w:rsid w:val="76EB6381"/>
    <w:rsid w:val="76F36118"/>
    <w:rsid w:val="772269FE"/>
    <w:rsid w:val="77274014"/>
    <w:rsid w:val="7750356B"/>
    <w:rsid w:val="775407D3"/>
    <w:rsid w:val="77550B81"/>
    <w:rsid w:val="77811976"/>
    <w:rsid w:val="779265FC"/>
    <w:rsid w:val="77BC29AE"/>
    <w:rsid w:val="77CE623E"/>
    <w:rsid w:val="7840538D"/>
    <w:rsid w:val="7840713B"/>
    <w:rsid w:val="785B3F75"/>
    <w:rsid w:val="78770683"/>
    <w:rsid w:val="78A07BDA"/>
    <w:rsid w:val="78AA6CAB"/>
    <w:rsid w:val="78D67AA0"/>
    <w:rsid w:val="78DF4BA6"/>
    <w:rsid w:val="78F61EF0"/>
    <w:rsid w:val="79144124"/>
    <w:rsid w:val="79444A09"/>
    <w:rsid w:val="796450AB"/>
    <w:rsid w:val="799534B7"/>
    <w:rsid w:val="79986B03"/>
    <w:rsid w:val="79A669E4"/>
    <w:rsid w:val="79AB4A88"/>
    <w:rsid w:val="79E47F9A"/>
    <w:rsid w:val="7A2D36EF"/>
    <w:rsid w:val="7A996FD7"/>
    <w:rsid w:val="7AAA4D40"/>
    <w:rsid w:val="7AF4245F"/>
    <w:rsid w:val="7AF97A75"/>
    <w:rsid w:val="7B4F7695"/>
    <w:rsid w:val="7B7470FC"/>
    <w:rsid w:val="7B7A0FC8"/>
    <w:rsid w:val="7B80424F"/>
    <w:rsid w:val="7B8A691F"/>
    <w:rsid w:val="7BB35E76"/>
    <w:rsid w:val="7BB37C24"/>
    <w:rsid w:val="7BBA7205"/>
    <w:rsid w:val="7BEE3352"/>
    <w:rsid w:val="7BEE48BB"/>
    <w:rsid w:val="7C237B72"/>
    <w:rsid w:val="7C43369E"/>
    <w:rsid w:val="7C541407"/>
    <w:rsid w:val="7C8F243F"/>
    <w:rsid w:val="7CD442F6"/>
    <w:rsid w:val="7D010E7D"/>
    <w:rsid w:val="7D0B0093"/>
    <w:rsid w:val="7D2F59D0"/>
    <w:rsid w:val="7D902913"/>
    <w:rsid w:val="7DB12889"/>
    <w:rsid w:val="7DBD4D8A"/>
    <w:rsid w:val="7DD86068"/>
    <w:rsid w:val="7DDF11A4"/>
    <w:rsid w:val="7DFD5ACF"/>
    <w:rsid w:val="7E01736D"/>
    <w:rsid w:val="7E0B01EB"/>
    <w:rsid w:val="7E7062A0"/>
    <w:rsid w:val="7E747B3F"/>
    <w:rsid w:val="7EBF4B32"/>
    <w:rsid w:val="7ECD724F"/>
    <w:rsid w:val="7EF02F3D"/>
    <w:rsid w:val="7F01339C"/>
    <w:rsid w:val="7F086945"/>
    <w:rsid w:val="7F2257ED"/>
    <w:rsid w:val="7F453289"/>
    <w:rsid w:val="7F4C0ABC"/>
    <w:rsid w:val="7F5259A6"/>
    <w:rsid w:val="7F873D31"/>
    <w:rsid w:val="7F985AAF"/>
    <w:rsid w:val="7FC22B2C"/>
    <w:rsid w:val="7FC543CA"/>
    <w:rsid w:val="7FCE14D1"/>
    <w:rsid w:val="7FD648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763B77A"/>
  <w15:docId w15:val="{8007E62A-5C45-448B-955A-CC3BB8FA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4">
    <w:name w:val="heading 4"/>
    <w:basedOn w:val="a"/>
    <w:next w:val="a"/>
    <w:semiHidden/>
    <w:unhideWhenUsed/>
    <w:qFormat/>
    <w:pPr>
      <w:spacing w:beforeAutospacing="1" w:afterAutospacing="1"/>
      <w:jc w:val="left"/>
      <w:outlineLvl w:val="3"/>
    </w:pPr>
    <w:rPr>
      <w:rFonts w:ascii="宋体" w:hAnsi="宋体" w:hint="eastAsia"/>
      <w:b/>
      <w:bCs/>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cstheme="minorBidi"/>
      <w:sz w:val="22"/>
      <w:szCs w:val="22"/>
    </w:rPr>
  </w:style>
  <w:style w:type="paragraph" w:styleId="a4">
    <w:name w:val="annotation text"/>
    <w:basedOn w:val="a"/>
    <w:link w:val="a5"/>
    <w:qFormat/>
    <w:pPr>
      <w:jc w:val="left"/>
    </w:pPr>
  </w:style>
  <w:style w:type="paragraph" w:styleId="a6">
    <w:name w:val="Plain Text"/>
    <w:basedOn w:val="a"/>
    <w:uiPriority w:val="99"/>
    <w:unhideWhenUsed/>
    <w:qFormat/>
    <w:rPr>
      <w:rFonts w:ascii="宋体" w:hAnsi="Courier New" w:cs="Courier New"/>
      <w:szCs w:val="21"/>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Title"/>
    <w:basedOn w:val="a"/>
    <w:next w:val="a"/>
    <w:qFormat/>
    <w:pPr>
      <w:spacing w:before="240" w:after="60"/>
      <w:jc w:val="center"/>
      <w:outlineLvl w:val="0"/>
    </w:pPr>
    <w:rPr>
      <w:rFonts w:ascii="Calibri Light" w:eastAsia="方正小标宋_GBK" w:hAnsi="Calibri Light"/>
      <w:b/>
      <w:bCs/>
      <w:sz w:val="44"/>
      <w:szCs w:val="32"/>
    </w:rPr>
  </w:style>
  <w:style w:type="paragraph" w:styleId="ad">
    <w:name w:val="annotation subject"/>
    <w:basedOn w:val="a4"/>
    <w:next w:val="a4"/>
    <w:link w:val="ae"/>
    <w:qFormat/>
    <w:rPr>
      <w:b/>
      <w:bCs/>
    </w:rPr>
  </w:style>
  <w:style w:type="character" w:styleId="af">
    <w:name w:val="Strong"/>
    <w:basedOn w:val="a1"/>
    <w:qFormat/>
    <w:rPr>
      <w:b/>
    </w:rPr>
  </w:style>
  <w:style w:type="character" w:styleId="af0">
    <w:name w:val="line number"/>
    <w:basedOn w:val="a1"/>
    <w:qFormat/>
  </w:style>
  <w:style w:type="character" w:styleId="af1">
    <w:name w:val="Hyperlink"/>
    <w:basedOn w:val="a1"/>
    <w:qFormat/>
    <w:rPr>
      <w:color w:val="0000FF"/>
      <w:u w:val="single"/>
    </w:rPr>
  </w:style>
  <w:style w:type="character" w:styleId="af2">
    <w:name w:val="annotation reference"/>
    <w:qFormat/>
    <w:rPr>
      <w:sz w:val="21"/>
      <w:szCs w:val="21"/>
    </w:rPr>
  </w:style>
  <w:style w:type="paragraph" w:customStyle="1" w:styleId="af3">
    <w:name w:val="一级标题"/>
    <w:basedOn w:val="a"/>
    <w:qFormat/>
    <w:pPr>
      <w:spacing w:line="520" w:lineRule="exact"/>
      <w:ind w:firstLineChars="200" w:firstLine="200"/>
    </w:pPr>
    <w:rPr>
      <w:rFonts w:eastAsia="黑体"/>
      <w:sz w:val="32"/>
      <w:szCs w:val="28"/>
    </w:rPr>
  </w:style>
  <w:style w:type="paragraph" w:customStyle="1" w:styleId="af4">
    <w:name w:val="王奕改内文"/>
    <w:basedOn w:val="a"/>
    <w:qFormat/>
    <w:pPr>
      <w:widowControl/>
      <w:spacing w:line="360" w:lineRule="auto"/>
      <w:ind w:firstLineChars="200" w:firstLine="200"/>
    </w:pPr>
    <w:rPr>
      <w:rFonts w:ascii="宋体" w:hAnsi="宋体"/>
      <w:color w:val="000000"/>
      <w:spacing w:val="-4"/>
      <w:sz w:val="24"/>
      <w:szCs w:val="20"/>
    </w:rPr>
  </w:style>
  <w:style w:type="character" w:customStyle="1" w:styleId="f101">
    <w:name w:val="f101"/>
    <w:qFormat/>
    <w:rPr>
      <w:sz w:val="24"/>
      <w:szCs w:val="24"/>
    </w:rPr>
  </w:style>
  <w:style w:type="character" w:customStyle="1" w:styleId="a8">
    <w:name w:val="批注框文本 字符"/>
    <w:basedOn w:val="a1"/>
    <w:link w:val="a7"/>
    <w:qFormat/>
    <w:rPr>
      <w:kern w:val="2"/>
      <w:sz w:val="18"/>
      <w:szCs w:val="18"/>
    </w:rPr>
  </w:style>
  <w:style w:type="character" w:customStyle="1" w:styleId="a5">
    <w:name w:val="批注文字 字符"/>
    <w:basedOn w:val="a1"/>
    <w:link w:val="a4"/>
    <w:qFormat/>
    <w:rPr>
      <w:kern w:val="2"/>
      <w:sz w:val="21"/>
      <w:szCs w:val="24"/>
    </w:rPr>
  </w:style>
  <w:style w:type="character" w:customStyle="1" w:styleId="ae">
    <w:name w:val="批注主题 字符"/>
    <w:basedOn w:val="a5"/>
    <w:link w:val="ad"/>
    <w:qFormat/>
    <w:rPr>
      <w:b/>
      <w:bCs/>
      <w:kern w:val="2"/>
      <w:sz w:val="21"/>
      <w:szCs w:val="24"/>
    </w:rPr>
  </w:style>
  <w:style w:type="paragraph" w:customStyle="1" w:styleId="1">
    <w:name w:val="修订1"/>
    <w:hidden/>
    <w:uiPriority w:val="99"/>
    <w:unhideWhenUsed/>
    <w:qFormat/>
    <w:rPr>
      <w:kern w:val="2"/>
      <w:sz w:val="21"/>
      <w:szCs w:val="24"/>
    </w:rPr>
  </w:style>
  <w:style w:type="character" w:customStyle="1" w:styleId="aa">
    <w:name w:val="页脚 字符"/>
    <w:basedOn w:val="a1"/>
    <w:link w:val="a9"/>
    <w:uiPriority w:val="99"/>
    <w:qFormat/>
    <w:rsid w:val="003073E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1782</Words>
  <Characters>10164</Characters>
  <Application>Microsoft Office Word</Application>
  <DocSecurity>0</DocSecurity>
  <Lines>84</Lines>
  <Paragraphs>23</Paragraphs>
  <ScaleCrop>false</ScaleCrop>
  <Company>YOU</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靖哥哥</dc:creator>
  <cp:lastModifiedBy>办公室发文</cp:lastModifiedBy>
  <cp:revision>4</cp:revision>
  <dcterms:created xsi:type="dcterms:W3CDTF">2026-05-22T08:01:00Z</dcterms:created>
  <dcterms:modified xsi:type="dcterms:W3CDTF">2026-07-20T03:11:00Z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A79636A5F2E34D5F98EAD9DE88221BA1_13</vt:lpwstr>
  </property>
  <property fmtid="{D5CDD505-2E9C-101B-9397-08002B2CF9AE}" pid="4" name="KSOTemplateDocerSaveRecord">
    <vt:lpwstr>eyJoZGlkIjoiODViY2JkMjU3NGYzZTEwMzZmMGFkZWViYmNkYWU3NDIiLCJ1c2VySWQiOiIyMTk0NDEzMjAifQ==</vt:lpwstr>
  </property>
</Properties>
</file>