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F5875" w14:textId="77777777" w:rsidR="00D862E2" w:rsidRDefault="006644C9" w:rsidP="00BB20AF">
      <w:pPr>
        <w:spacing w:beforeLines="100" w:before="435" w:line="600" w:lineRule="exact"/>
        <w:jc w:val="center"/>
        <w:rPr>
          <w:rFonts w:eastAsia="方正小标宋简体"/>
          <w:sz w:val="44"/>
          <w:szCs w:val="44"/>
        </w:rPr>
      </w:pPr>
      <w:r>
        <w:rPr>
          <w:rFonts w:eastAsia="方正小标宋简体"/>
          <w:sz w:val="44"/>
          <w:szCs w:val="44"/>
        </w:rPr>
        <w:t>临时冠</w:t>
      </w:r>
      <w:r>
        <w:rPr>
          <w:rFonts w:eastAsia="方正小标宋简体"/>
          <w:sz w:val="44"/>
          <w:szCs w:val="44"/>
        </w:rPr>
        <w:t>/</w:t>
      </w:r>
      <w:r>
        <w:rPr>
          <w:rFonts w:eastAsia="方正小标宋简体"/>
          <w:sz w:val="44"/>
          <w:szCs w:val="44"/>
        </w:rPr>
        <w:t>桥注册审查指导原则</w:t>
      </w:r>
    </w:p>
    <w:p w14:paraId="6687EDEE" w14:textId="77777777" w:rsidR="00D862E2" w:rsidRDefault="00D862E2">
      <w:pPr>
        <w:pStyle w:val="a0"/>
        <w:spacing w:line="520" w:lineRule="exact"/>
        <w:rPr>
          <w:rFonts w:ascii="Times New Roman" w:hAnsi="Times New Roman"/>
        </w:rPr>
      </w:pPr>
    </w:p>
    <w:p w14:paraId="4C646578" w14:textId="77777777" w:rsidR="00D862E2" w:rsidRDefault="006644C9">
      <w:pPr>
        <w:spacing w:line="520" w:lineRule="exact"/>
        <w:ind w:firstLineChars="200" w:firstLine="640"/>
        <w:jc w:val="left"/>
        <w:rPr>
          <w:rFonts w:eastAsia="仿宋_GB2312"/>
          <w:szCs w:val="32"/>
        </w:rPr>
      </w:pPr>
      <w:r>
        <w:rPr>
          <w:rFonts w:eastAsia="仿宋_GB2312"/>
          <w:szCs w:val="32"/>
        </w:rPr>
        <w:t>本指导原则旨在指导注册申请人对临时冠</w:t>
      </w:r>
      <w:r>
        <w:rPr>
          <w:rFonts w:eastAsia="仿宋_GB2312"/>
          <w:szCs w:val="32"/>
        </w:rPr>
        <w:t>/</w:t>
      </w:r>
      <w:r>
        <w:rPr>
          <w:rFonts w:eastAsia="仿宋_GB2312"/>
          <w:szCs w:val="32"/>
        </w:rPr>
        <w:t>桥产品注册申报资料的准备及撰写，同时也为技术审评部门对注册申报资料的审评提供技术参考。</w:t>
      </w:r>
    </w:p>
    <w:p w14:paraId="70935BAE" w14:textId="77777777" w:rsidR="00D862E2" w:rsidRDefault="006644C9">
      <w:pPr>
        <w:spacing w:line="520" w:lineRule="exact"/>
        <w:ind w:firstLineChars="200" w:firstLine="640"/>
        <w:jc w:val="left"/>
        <w:rPr>
          <w:rFonts w:eastAsia="仿宋_GB2312"/>
          <w:szCs w:val="32"/>
        </w:rPr>
      </w:pPr>
      <w:r>
        <w:rPr>
          <w:rFonts w:eastAsia="仿宋_GB2312"/>
          <w:szCs w:val="32"/>
        </w:rPr>
        <w:t>本指导原则是对临时冠</w:t>
      </w:r>
      <w:r>
        <w:rPr>
          <w:rFonts w:eastAsia="仿宋_GB2312"/>
          <w:szCs w:val="32"/>
        </w:rPr>
        <w:t>/</w:t>
      </w:r>
      <w:r>
        <w:rPr>
          <w:rFonts w:eastAsia="仿宋_GB2312"/>
          <w:szCs w:val="32"/>
        </w:rPr>
        <w:t>桥注册申报资料的一般要求，注册申请人需依据产品的具体特性确定其中内容是否适用。若不适用，需具体阐述理由及相应的科学依据，并依据产品的具体特性对注册申报资料的内容进行充实和细化。</w:t>
      </w:r>
    </w:p>
    <w:p w14:paraId="034C56B6" w14:textId="77777777" w:rsidR="00D862E2" w:rsidRDefault="006644C9">
      <w:pPr>
        <w:spacing w:line="520" w:lineRule="exact"/>
        <w:ind w:firstLineChars="200" w:firstLine="640"/>
        <w:jc w:val="left"/>
        <w:rPr>
          <w:rFonts w:eastAsia="仿宋_GB2312"/>
          <w:szCs w:val="32"/>
        </w:rPr>
      </w:pPr>
      <w:r>
        <w:rPr>
          <w:rFonts w:eastAsia="仿宋_GB2312"/>
          <w:szCs w:val="32"/>
        </w:rPr>
        <w:t>本指导原则是供注册申请人和技术审评人员使用的指导性文件，但不包括审评审批所涉及的行政事项，亦不作为法规强制执行，需在遵循相关法规和强制性标准的前提下使用本指导原则。如果有能够满足相关法规要求的其他方法，也可以采用，但是需要提供详细的研究资料和验证资料。</w:t>
      </w:r>
    </w:p>
    <w:p w14:paraId="45A17954" w14:textId="77777777" w:rsidR="00D862E2" w:rsidRDefault="006644C9">
      <w:pPr>
        <w:spacing w:line="520" w:lineRule="exact"/>
        <w:ind w:firstLineChars="200" w:firstLine="640"/>
        <w:jc w:val="left"/>
        <w:rPr>
          <w:rFonts w:eastAsia="仿宋_GB2312"/>
          <w:szCs w:val="32"/>
        </w:rPr>
      </w:pPr>
      <w:r>
        <w:rPr>
          <w:rFonts w:eastAsia="仿宋_GB2312"/>
          <w:szCs w:val="32"/>
        </w:rPr>
        <w:t>本指导原则是在现行法规和标准体系以及当前认知水平下制定，随着法规和标准的不断完善，以及科学技术的不断发展，本指导原则相关内容也将适时进行调整。</w:t>
      </w:r>
    </w:p>
    <w:p w14:paraId="16020444" w14:textId="77777777" w:rsidR="00D862E2" w:rsidRDefault="006644C9">
      <w:pPr>
        <w:spacing w:line="520" w:lineRule="exact"/>
        <w:ind w:rightChars="-32" w:right="-102" w:firstLineChars="200" w:firstLine="640"/>
        <w:rPr>
          <w:rFonts w:eastAsia="黑体"/>
          <w:szCs w:val="32"/>
        </w:rPr>
      </w:pPr>
      <w:r>
        <w:rPr>
          <w:rFonts w:eastAsia="黑体"/>
          <w:szCs w:val="32"/>
        </w:rPr>
        <w:t>一、适用范围</w:t>
      </w:r>
    </w:p>
    <w:p w14:paraId="43A12EC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桥通常是由注册申请人根据医疗机构提供的患者牙模或临床口扫数据和设计单要求，采用已获医疗器械注册证的树脂等材料，通过传统复模工艺、增材制造工艺（</w:t>
      </w:r>
      <w:r>
        <w:rPr>
          <w:rFonts w:eastAsia="仿宋_GB2312"/>
          <w:spacing w:val="-1"/>
          <w:szCs w:val="32"/>
        </w:rPr>
        <w:t>3D</w:t>
      </w:r>
      <w:r>
        <w:rPr>
          <w:rFonts w:eastAsia="仿宋_GB2312"/>
          <w:spacing w:val="-1"/>
          <w:szCs w:val="32"/>
        </w:rPr>
        <w:t>打印）或减材制造工艺（切削）制成的过渡性修复体，用于牙体预备或种植牙术后、牙齿拔除愈合期间，最终</w:t>
      </w:r>
      <w:r>
        <w:rPr>
          <w:rFonts w:eastAsia="仿宋_GB2312"/>
          <w:spacing w:val="-1"/>
          <w:szCs w:val="32"/>
        </w:rPr>
        <w:t>/</w:t>
      </w:r>
      <w:r>
        <w:rPr>
          <w:rFonts w:eastAsia="仿宋_GB2312"/>
          <w:spacing w:val="-1"/>
          <w:szCs w:val="32"/>
        </w:rPr>
        <w:t>正式修复义齿制作未完</w:t>
      </w:r>
      <w:r>
        <w:rPr>
          <w:rFonts w:eastAsia="仿宋_GB2312"/>
          <w:spacing w:val="-1"/>
          <w:szCs w:val="32"/>
        </w:rPr>
        <w:lastRenderedPageBreak/>
        <w:t>成前，佩戴本产品进行暂时性的过渡修复，为一次性使用产品。</w:t>
      </w:r>
    </w:p>
    <w:p w14:paraId="431DA19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不包含非定制式（预成式）、口内成型的临时冠</w:t>
      </w:r>
      <w:r>
        <w:rPr>
          <w:rFonts w:eastAsia="仿宋_GB2312"/>
          <w:spacing w:val="-1"/>
          <w:szCs w:val="32"/>
        </w:rPr>
        <w:t>/</w:t>
      </w:r>
      <w:r>
        <w:rPr>
          <w:rFonts w:eastAsia="仿宋_GB2312"/>
          <w:spacing w:val="-1"/>
          <w:szCs w:val="32"/>
        </w:rPr>
        <w:t>桥和采用未注册材料制成的临时冠</w:t>
      </w:r>
      <w:r>
        <w:rPr>
          <w:rFonts w:eastAsia="仿宋_GB2312"/>
          <w:spacing w:val="-1"/>
          <w:szCs w:val="32"/>
        </w:rPr>
        <w:t>/</w:t>
      </w:r>
      <w:r>
        <w:rPr>
          <w:rFonts w:eastAsia="仿宋_GB2312"/>
          <w:spacing w:val="-1"/>
          <w:szCs w:val="32"/>
        </w:rPr>
        <w:t>桥。</w:t>
      </w:r>
    </w:p>
    <w:p w14:paraId="2B04563B" w14:textId="77777777" w:rsidR="00D862E2" w:rsidRDefault="006644C9">
      <w:pPr>
        <w:spacing w:line="520" w:lineRule="exact"/>
        <w:ind w:rightChars="-32" w:right="-102" w:firstLineChars="200" w:firstLine="640"/>
        <w:jc w:val="left"/>
        <w:rPr>
          <w:rFonts w:eastAsia="黑体"/>
          <w:bCs/>
          <w:kern w:val="28"/>
          <w:szCs w:val="32"/>
        </w:rPr>
      </w:pPr>
      <w:r>
        <w:rPr>
          <w:rFonts w:eastAsia="黑体"/>
          <w:bCs/>
          <w:kern w:val="28"/>
          <w:szCs w:val="32"/>
        </w:rPr>
        <w:t>二、注册审查要点</w:t>
      </w:r>
    </w:p>
    <w:p w14:paraId="17115AC9" w14:textId="77777777" w:rsidR="00D862E2" w:rsidRDefault="006644C9">
      <w:pPr>
        <w:spacing w:line="520" w:lineRule="exact"/>
        <w:ind w:rightChars="-32" w:right="-102" w:firstLineChars="200" w:firstLine="640"/>
        <w:rPr>
          <w:rFonts w:eastAsia="楷体_GB2312"/>
          <w:szCs w:val="32"/>
        </w:rPr>
      </w:pPr>
      <w:r>
        <w:rPr>
          <w:rFonts w:eastAsia="楷体_GB2312"/>
          <w:szCs w:val="32"/>
        </w:rPr>
        <w:t>（一）监管信息</w:t>
      </w:r>
    </w:p>
    <w:p w14:paraId="19E4DCF7"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1.</w:t>
      </w:r>
      <w:r>
        <w:rPr>
          <w:rFonts w:eastAsia="仿宋_GB2312"/>
          <w:spacing w:val="-1"/>
          <w:szCs w:val="32"/>
        </w:rPr>
        <w:t>产品名称</w:t>
      </w:r>
    </w:p>
    <w:p w14:paraId="4A4ADA3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产品的命名需采用《医疗器械分类目录》或国家标准、行业标准中的通用名称，或以产品结构和预期目的为依据命名，需符合《医疗器械通用名称命名规则》《口腔科器械通用名称命名指导原则》等相关规范性文件的要求，本产品特征词可包括</w:t>
      </w:r>
      <w:r>
        <w:rPr>
          <w:rFonts w:eastAsia="仿宋_GB2312"/>
          <w:spacing w:val="-1"/>
          <w:szCs w:val="32"/>
        </w:rPr>
        <w:t>“</w:t>
      </w:r>
      <w:r>
        <w:rPr>
          <w:rFonts w:eastAsia="仿宋_GB2312"/>
          <w:spacing w:val="-1"/>
          <w:szCs w:val="32"/>
        </w:rPr>
        <w:t>临时冠</w:t>
      </w:r>
      <w:r>
        <w:rPr>
          <w:rFonts w:eastAsia="仿宋_GB2312"/>
          <w:spacing w:val="-1"/>
          <w:szCs w:val="32"/>
        </w:rPr>
        <w:t>”“</w:t>
      </w:r>
      <w:r>
        <w:rPr>
          <w:rFonts w:eastAsia="仿宋_GB2312"/>
          <w:spacing w:val="-1"/>
          <w:szCs w:val="32"/>
        </w:rPr>
        <w:t>临时冠桥</w:t>
      </w:r>
      <w:r>
        <w:rPr>
          <w:rFonts w:eastAsia="仿宋_GB2312"/>
          <w:spacing w:val="-1"/>
          <w:szCs w:val="32"/>
        </w:rPr>
        <w:t>”“</w:t>
      </w:r>
      <w:r>
        <w:rPr>
          <w:rFonts w:eastAsia="仿宋_GB2312"/>
          <w:spacing w:val="-1"/>
          <w:szCs w:val="32"/>
        </w:rPr>
        <w:t>定制式临时义齿</w:t>
      </w:r>
      <w:r>
        <w:rPr>
          <w:rFonts w:eastAsia="仿宋_GB2312"/>
          <w:spacing w:val="-1"/>
          <w:szCs w:val="32"/>
        </w:rPr>
        <w:t>”“</w:t>
      </w:r>
      <w:r>
        <w:rPr>
          <w:rFonts w:eastAsia="仿宋_GB2312"/>
          <w:spacing w:val="-1"/>
          <w:szCs w:val="32"/>
        </w:rPr>
        <w:t>定制式临时牙</w:t>
      </w:r>
      <w:r>
        <w:rPr>
          <w:rFonts w:eastAsia="仿宋_GB2312"/>
          <w:spacing w:val="-1"/>
          <w:szCs w:val="32"/>
        </w:rPr>
        <w:t>”</w:t>
      </w:r>
      <w:r>
        <w:rPr>
          <w:rFonts w:eastAsia="仿宋_GB2312"/>
          <w:spacing w:val="-1"/>
          <w:szCs w:val="32"/>
        </w:rPr>
        <w:t>及</w:t>
      </w:r>
      <w:r>
        <w:rPr>
          <w:rFonts w:eastAsia="仿宋_GB2312"/>
          <w:spacing w:val="-1"/>
          <w:szCs w:val="32"/>
        </w:rPr>
        <w:t>“</w:t>
      </w:r>
      <w:r>
        <w:rPr>
          <w:rFonts w:eastAsia="仿宋_GB2312"/>
          <w:spacing w:val="-1"/>
          <w:szCs w:val="32"/>
        </w:rPr>
        <w:t>个性化临时冠桥</w:t>
      </w:r>
      <w:r>
        <w:rPr>
          <w:rFonts w:eastAsia="仿宋_GB2312"/>
          <w:spacing w:val="-1"/>
          <w:szCs w:val="32"/>
        </w:rPr>
        <w:t>”</w:t>
      </w:r>
      <w:r>
        <w:rPr>
          <w:rFonts w:eastAsia="仿宋_GB2312"/>
          <w:spacing w:val="-1"/>
          <w:szCs w:val="32"/>
        </w:rPr>
        <w:t>等。</w:t>
      </w:r>
    </w:p>
    <w:p w14:paraId="508C7D74"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2.</w:t>
      </w:r>
      <w:r>
        <w:rPr>
          <w:rFonts w:eastAsia="仿宋_GB2312"/>
          <w:spacing w:val="-1"/>
          <w:szCs w:val="32"/>
        </w:rPr>
        <w:t>分类编码</w:t>
      </w:r>
    </w:p>
    <w:p w14:paraId="363CF004"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根据《医疗器械分类目录》，分类编码为</w:t>
      </w:r>
      <w:r>
        <w:rPr>
          <w:rFonts w:eastAsia="仿宋_GB2312"/>
          <w:spacing w:val="-1"/>
          <w:szCs w:val="32"/>
        </w:rPr>
        <w:t>17-06-03</w:t>
      </w:r>
      <w:r>
        <w:rPr>
          <w:rFonts w:eastAsia="仿宋_GB2312"/>
          <w:spacing w:val="-1"/>
          <w:szCs w:val="32"/>
        </w:rPr>
        <w:t>。用于在牙体预备或种植牙后、牙齿拔除愈合期间，最终</w:t>
      </w:r>
      <w:r>
        <w:rPr>
          <w:rFonts w:eastAsia="仿宋_GB2312"/>
          <w:spacing w:val="-1"/>
          <w:szCs w:val="32"/>
        </w:rPr>
        <w:t>/</w:t>
      </w:r>
      <w:r>
        <w:rPr>
          <w:rFonts w:eastAsia="仿宋_GB2312"/>
          <w:spacing w:val="-1"/>
          <w:szCs w:val="32"/>
        </w:rPr>
        <w:t>正式修复体制作未完成前，佩戴本产品进行暂时性的过渡修复。</w:t>
      </w:r>
    </w:p>
    <w:p w14:paraId="3E65E80E"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w:t>
      </w:r>
      <w:r>
        <w:rPr>
          <w:rFonts w:eastAsia="仿宋_GB2312"/>
          <w:spacing w:val="-1"/>
          <w:szCs w:val="32"/>
        </w:rPr>
        <w:t>注册单元划分的原则和实例</w:t>
      </w:r>
    </w:p>
    <w:p w14:paraId="7970EF38"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注册单元划分应参照《医疗器械注册单元划分指导原则》的要求，原则上以产品的技术原理、结构组成、性能指标和适用范围为划分依据。</w:t>
      </w:r>
    </w:p>
    <w:p w14:paraId="394F1045"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w:t>
      </w:r>
      <w:r>
        <w:rPr>
          <w:rFonts w:eastAsia="仿宋_GB2312"/>
          <w:spacing w:val="-1"/>
          <w:szCs w:val="32"/>
        </w:rPr>
        <w:t>型号规格</w:t>
      </w:r>
    </w:p>
    <w:p w14:paraId="2D2020BE"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桥可按照产品的材料、工艺和结构的不同分成具体的型号规格。具体型号的命名应能反应制作产品的主要材料、工艺和结构并适当考虑临床的习惯称谓。一般采用</w:t>
      </w:r>
      <w:r>
        <w:rPr>
          <w:rFonts w:eastAsia="仿宋_GB2312"/>
          <w:spacing w:val="-1"/>
          <w:szCs w:val="32"/>
        </w:rPr>
        <w:t>“</w:t>
      </w:r>
      <w:r>
        <w:rPr>
          <w:rFonts w:eastAsia="仿宋_GB2312"/>
          <w:spacing w:val="-1"/>
          <w:szCs w:val="32"/>
        </w:rPr>
        <w:t>主要材料</w:t>
      </w:r>
      <w:r>
        <w:rPr>
          <w:rFonts w:eastAsia="仿宋_GB2312"/>
          <w:spacing w:val="-1"/>
          <w:szCs w:val="32"/>
        </w:rPr>
        <w:t>+</w:t>
      </w:r>
      <w:r>
        <w:rPr>
          <w:rFonts w:eastAsia="仿宋_GB2312"/>
          <w:spacing w:val="-1"/>
          <w:szCs w:val="32"/>
        </w:rPr>
        <w:lastRenderedPageBreak/>
        <w:t>工艺</w:t>
      </w:r>
      <w:r>
        <w:rPr>
          <w:rFonts w:eastAsia="仿宋_GB2312"/>
          <w:spacing w:val="-1"/>
          <w:szCs w:val="32"/>
        </w:rPr>
        <w:t>+</w:t>
      </w:r>
      <w:r>
        <w:rPr>
          <w:rFonts w:eastAsia="仿宋_GB2312"/>
          <w:spacing w:val="-1"/>
          <w:szCs w:val="32"/>
        </w:rPr>
        <w:t>结构功能</w:t>
      </w:r>
      <w:r>
        <w:rPr>
          <w:rFonts w:eastAsia="仿宋_GB2312"/>
          <w:spacing w:val="-1"/>
          <w:szCs w:val="32"/>
        </w:rPr>
        <w:t>”</w:t>
      </w:r>
      <w:r>
        <w:rPr>
          <w:rFonts w:eastAsia="仿宋_GB2312"/>
          <w:spacing w:val="-1"/>
          <w:szCs w:val="32"/>
        </w:rPr>
        <w:t>的命名方法。</w:t>
      </w:r>
    </w:p>
    <w:p w14:paraId="1FF2BED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如：树脂切削临时冠</w:t>
      </w:r>
      <w:r>
        <w:rPr>
          <w:rFonts w:eastAsia="仿宋_GB2312"/>
          <w:spacing w:val="-1"/>
          <w:szCs w:val="32"/>
        </w:rPr>
        <w:t>/</w:t>
      </w:r>
      <w:r>
        <w:rPr>
          <w:rFonts w:eastAsia="仿宋_GB2312"/>
          <w:spacing w:val="-1"/>
          <w:szCs w:val="32"/>
        </w:rPr>
        <w:t>桥、树脂增材制造光固化种植体上部临时冠</w:t>
      </w:r>
      <w:r>
        <w:rPr>
          <w:rFonts w:eastAsia="仿宋_GB2312"/>
          <w:spacing w:val="-1"/>
          <w:szCs w:val="32"/>
        </w:rPr>
        <w:t>/</w:t>
      </w:r>
      <w:r>
        <w:rPr>
          <w:rFonts w:eastAsia="仿宋_GB2312"/>
          <w:spacing w:val="-1"/>
          <w:szCs w:val="32"/>
        </w:rPr>
        <w:t>桥。</w:t>
      </w:r>
    </w:p>
    <w:p w14:paraId="14085C2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对于申报产品存在多种型号规格的情况，以结构示意图或带有说明性文字的图片、图表的形式描述不同型号规格的结构组成、功能、产品特征及使用方法等内容。</w:t>
      </w:r>
    </w:p>
    <w:p w14:paraId="265AD107"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5.</w:t>
      </w:r>
      <w:r>
        <w:rPr>
          <w:rFonts w:eastAsia="仿宋_GB2312"/>
          <w:spacing w:val="-1"/>
          <w:szCs w:val="32"/>
        </w:rPr>
        <w:t>结构组成</w:t>
      </w:r>
    </w:p>
    <w:p w14:paraId="5420978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产品按结构功能可分为冠、桥、嵌体等结构。其中冠是覆盖部分或全部临床牙冠</w:t>
      </w:r>
      <w:r>
        <w:rPr>
          <w:rFonts w:eastAsia="仿宋_GB2312"/>
          <w:spacing w:val="-1"/>
          <w:szCs w:val="32"/>
        </w:rPr>
        <w:t>/</w:t>
      </w:r>
      <w:r>
        <w:rPr>
          <w:rFonts w:eastAsia="仿宋_GB2312"/>
          <w:spacing w:val="-1"/>
          <w:szCs w:val="32"/>
        </w:rPr>
        <w:t>基台的冠修复体，桥由固位体、连接体和桥体组成。原材料应当取得医疗器械注册证。</w:t>
      </w:r>
    </w:p>
    <w:p w14:paraId="611637D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根据其制作工艺和材料的不同，通常包括以下几种情形：</w:t>
      </w:r>
    </w:p>
    <w:p w14:paraId="06CE0C6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1</w:t>
      </w:r>
      <w:r>
        <w:rPr>
          <w:rFonts w:eastAsia="仿宋_GB2312"/>
          <w:spacing w:val="-1"/>
          <w:szCs w:val="32"/>
        </w:rPr>
        <w:t>）自凝临时冠</w:t>
      </w:r>
      <w:r>
        <w:rPr>
          <w:rFonts w:eastAsia="仿宋_GB2312"/>
          <w:spacing w:val="-1"/>
          <w:szCs w:val="32"/>
        </w:rPr>
        <w:t>/</w:t>
      </w:r>
      <w:r>
        <w:rPr>
          <w:rFonts w:eastAsia="仿宋_GB2312"/>
          <w:spacing w:val="-1"/>
          <w:szCs w:val="32"/>
        </w:rPr>
        <w:t>桥：采用自凝树脂，通过蜡型、复模、灌注等工序制成。</w:t>
      </w:r>
    </w:p>
    <w:p w14:paraId="53463BE2"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2</w:t>
      </w:r>
      <w:r>
        <w:rPr>
          <w:rFonts w:eastAsia="仿宋_GB2312"/>
          <w:spacing w:val="-1"/>
          <w:szCs w:val="32"/>
        </w:rPr>
        <w:t>）增材制造打印临时冠</w:t>
      </w:r>
      <w:r>
        <w:rPr>
          <w:rFonts w:eastAsia="仿宋_GB2312"/>
          <w:spacing w:val="-1"/>
          <w:szCs w:val="32"/>
        </w:rPr>
        <w:t>/</w:t>
      </w:r>
      <w:r>
        <w:rPr>
          <w:rFonts w:eastAsia="仿宋_GB2312"/>
          <w:spacing w:val="-1"/>
          <w:szCs w:val="32"/>
        </w:rPr>
        <w:t>桥：采用增材制造用光固化临时冠桥树脂等材料，通过数字化计算机辅助设计（</w:t>
      </w:r>
      <w:r>
        <w:rPr>
          <w:rFonts w:eastAsia="仿宋_GB2312"/>
          <w:spacing w:val="-1"/>
          <w:szCs w:val="32"/>
        </w:rPr>
        <w:t>Computer-Aided Design</w:t>
      </w:r>
      <w:r>
        <w:rPr>
          <w:rFonts w:eastAsia="仿宋_GB2312"/>
          <w:spacing w:val="-1"/>
          <w:szCs w:val="32"/>
        </w:rPr>
        <w:t>，</w:t>
      </w:r>
      <w:r>
        <w:rPr>
          <w:rFonts w:eastAsia="仿宋_GB2312"/>
          <w:spacing w:val="-1"/>
          <w:szCs w:val="32"/>
        </w:rPr>
        <w:t>CAD</w:t>
      </w:r>
      <w:r>
        <w:rPr>
          <w:rFonts w:eastAsia="仿宋_GB2312"/>
          <w:spacing w:val="-1"/>
          <w:szCs w:val="32"/>
        </w:rPr>
        <w:t>）、立体光固化成形等技术制成。</w:t>
      </w:r>
    </w:p>
    <w:p w14:paraId="5FEDF332" w14:textId="77777777" w:rsidR="00D862E2" w:rsidRDefault="006644C9">
      <w:pPr>
        <w:spacing w:line="520" w:lineRule="exact"/>
      </w:pPr>
      <w:r>
        <w:rPr>
          <w:rFonts w:eastAsia="仿宋_GB2312"/>
          <w:spacing w:val="-1"/>
          <w:szCs w:val="32"/>
        </w:rPr>
        <w:t xml:space="preserve">    </w:t>
      </w:r>
      <w:r>
        <w:rPr>
          <w:rFonts w:eastAsia="仿宋_GB2312"/>
          <w:spacing w:val="-1"/>
          <w:szCs w:val="32"/>
        </w:rPr>
        <w:t>（</w:t>
      </w:r>
      <w:r>
        <w:rPr>
          <w:rFonts w:eastAsia="仿宋_GB2312"/>
          <w:spacing w:val="-1"/>
          <w:szCs w:val="32"/>
        </w:rPr>
        <w:t>3</w:t>
      </w:r>
      <w:r>
        <w:rPr>
          <w:rFonts w:eastAsia="仿宋_GB2312"/>
          <w:spacing w:val="-1"/>
          <w:szCs w:val="32"/>
        </w:rPr>
        <w:t>）切削临时冠</w:t>
      </w:r>
      <w:r>
        <w:rPr>
          <w:rFonts w:eastAsia="仿宋_GB2312"/>
          <w:spacing w:val="-1"/>
          <w:szCs w:val="32"/>
        </w:rPr>
        <w:t>/</w:t>
      </w:r>
      <w:r>
        <w:rPr>
          <w:rFonts w:eastAsia="仿宋_GB2312"/>
          <w:spacing w:val="-1"/>
          <w:szCs w:val="32"/>
        </w:rPr>
        <w:t>桥：采用临时冠桥树脂块，通过数字化</w:t>
      </w:r>
      <w:r>
        <w:rPr>
          <w:rFonts w:eastAsia="仿宋_GB2312"/>
          <w:spacing w:val="-1"/>
          <w:szCs w:val="32"/>
        </w:rPr>
        <w:t>CAD</w:t>
      </w:r>
      <w:r>
        <w:rPr>
          <w:rFonts w:eastAsia="仿宋_GB2312"/>
          <w:spacing w:val="-1"/>
          <w:szCs w:val="32"/>
        </w:rPr>
        <w:t>设计和计算机数字控制（</w:t>
      </w:r>
      <w:r>
        <w:rPr>
          <w:rFonts w:eastAsia="仿宋_GB2312"/>
          <w:spacing w:val="-1"/>
          <w:szCs w:val="32"/>
        </w:rPr>
        <w:t>Computer Numerical Control</w:t>
      </w:r>
      <w:r>
        <w:rPr>
          <w:rFonts w:eastAsia="仿宋_GB2312"/>
          <w:spacing w:val="-1"/>
          <w:szCs w:val="32"/>
        </w:rPr>
        <w:t>，</w:t>
      </w:r>
      <w:r>
        <w:rPr>
          <w:rFonts w:eastAsia="仿宋_GB2312"/>
          <w:spacing w:val="-1"/>
          <w:szCs w:val="32"/>
        </w:rPr>
        <w:t>CNC</w:t>
      </w:r>
      <w:r>
        <w:rPr>
          <w:rFonts w:eastAsia="仿宋_GB2312"/>
          <w:spacing w:val="-1"/>
          <w:szCs w:val="32"/>
        </w:rPr>
        <w:t>）切削工艺制成。</w:t>
      </w:r>
    </w:p>
    <w:p w14:paraId="35BA3C56" w14:textId="77777777" w:rsidR="00D862E2" w:rsidRDefault="006644C9">
      <w:pPr>
        <w:spacing w:line="520" w:lineRule="exact"/>
        <w:ind w:rightChars="-32" w:right="-102" w:firstLineChars="200" w:firstLine="640"/>
        <w:rPr>
          <w:rFonts w:eastAsia="楷体_GB2312"/>
          <w:szCs w:val="32"/>
        </w:rPr>
      </w:pPr>
      <w:r>
        <w:rPr>
          <w:rFonts w:eastAsia="楷体_GB2312"/>
          <w:szCs w:val="32"/>
        </w:rPr>
        <w:t>（二）综述资料</w:t>
      </w:r>
    </w:p>
    <w:p w14:paraId="19989237"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1.</w:t>
      </w:r>
      <w:r>
        <w:rPr>
          <w:rFonts w:eastAsia="仿宋_GB2312"/>
          <w:spacing w:val="-1"/>
          <w:szCs w:val="32"/>
        </w:rPr>
        <w:t>器械及操作原理描述</w:t>
      </w:r>
    </w:p>
    <w:p w14:paraId="27EBA80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在最终</w:t>
      </w:r>
      <w:r>
        <w:rPr>
          <w:rFonts w:eastAsia="仿宋_GB2312"/>
          <w:spacing w:val="-1"/>
          <w:szCs w:val="32"/>
        </w:rPr>
        <w:t>/</w:t>
      </w:r>
      <w:r>
        <w:rPr>
          <w:rFonts w:eastAsia="仿宋_GB2312"/>
          <w:spacing w:val="-1"/>
          <w:szCs w:val="32"/>
        </w:rPr>
        <w:t>正式修复义齿（如冠、桥）制作期间（通常需数天至数周），预备后的牙体组织或种植体基台暴露于口腔环境中，需采用临时冠</w:t>
      </w:r>
      <w:r>
        <w:rPr>
          <w:rFonts w:eastAsia="仿宋_GB2312"/>
          <w:spacing w:val="-1"/>
          <w:szCs w:val="32"/>
        </w:rPr>
        <w:t>/</w:t>
      </w:r>
      <w:r>
        <w:rPr>
          <w:rFonts w:eastAsia="仿宋_GB2312"/>
          <w:spacing w:val="-1"/>
          <w:szCs w:val="32"/>
        </w:rPr>
        <w:t>桥进行保护，通过机械固位、粘附作用、弱化学</w:t>
      </w:r>
      <w:r>
        <w:rPr>
          <w:rFonts w:eastAsia="仿宋_GB2312"/>
          <w:spacing w:val="-1"/>
          <w:szCs w:val="32"/>
        </w:rPr>
        <w:lastRenderedPageBreak/>
        <w:t>结合等方式实现固位。</w:t>
      </w:r>
    </w:p>
    <w:p w14:paraId="1D050007"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通过以上原理可实现：</w:t>
      </w:r>
    </w:p>
    <w:p w14:paraId="43F57000"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1</w:t>
      </w:r>
      <w:r>
        <w:rPr>
          <w:rFonts w:eastAsia="仿宋_GB2312"/>
          <w:spacing w:val="-1"/>
          <w:szCs w:val="32"/>
        </w:rPr>
        <w:t>）暂时恢复美观、发音及咀嚼功能，不妨碍患者的社交和工作。</w:t>
      </w:r>
    </w:p>
    <w:p w14:paraId="127EC060"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2</w:t>
      </w:r>
      <w:r>
        <w:rPr>
          <w:rFonts w:eastAsia="仿宋_GB2312"/>
          <w:spacing w:val="-1"/>
          <w:szCs w:val="32"/>
        </w:rPr>
        <w:t>）患者舒适度、美观、功能评估，为最终</w:t>
      </w:r>
      <w:r>
        <w:rPr>
          <w:rFonts w:eastAsia="仿宋_GB2312"/>
          <w:spacing w:val="-1"/>
          <w:szCs w:val="32"/>
        </w:rPr>
        <w:t>/</w:t>
      </w:r>
      <w:r>
        <w:rPr>
          <w:rFonts w:eastAsia="仿宋_GB2312"/>
          <w:spacing w:val="-1"/>
          <w:szCs w:val="32"/>
        </w:rPr>
        <w:t>正式修复义齿提供设计参考。</w:t>
      </w:r>
    </w:p>
    <w:p w14:paraId="580054B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3</w:t>
      </w:r>
      <w:r>
        <w:rPr>
          <w:rFonts w:eastAsia="仿宋_GB2312"/>
          <w:spacing w:val="-1"/>
          <w:szCs w:val="32"/>
        </w:rPr>
        <w:t>）在最终</w:t>
      </w:r>
      <w:r>
        <w:rPr>
          <w:rFonts w:eastAsia="仿宋_GB2312"/>
          <w:spacing w:val="-1"/>
          <w:szCs w:val="32"/>
        </w:rPr>
        <w:t>/</w:t>
      </w:r>
      <w:r>
        <w:rPr>
          <w:rFonts w:eastAsia="仿宋_GB2312"/>
          <w:spacing w:val="-1"/>
          <w:szCs w:val="32"/>
        </w:rPr>
        <w:t>正式修复义齿制作未完成前避免缺失牙患处产生物理（摩擦）、化学（刺激物）、温度等刺激；保护牙龈、基牙或种植基台。</w:t>
      </w:r>
    </w:p>
    <w:p w14:paraId="6C9ED5F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4</w:t>
      </w:r>
      <w:r>
        <w:rPr>
          <w:rFonts w:eastAsia="仿宋_GB2312"/>
          <w:spacing w:val="-1"/>
          <w:szCs w:val="32"/>
        </w:rPr>
        <w:t>）维持空间与位置，防止邻牙倾斜及移位、对颌牙伸长，确保最终</w:t>
      </w:r>
      <w:r>
        <w:rPr>
          <w:rFonts w:eastAsia="仿宋_GB2312"/>
          <w:spacing w:val="-1"/>
          <w:szCs w:val="32"/>
        </w:rPr>
        <w:t>/</w:t>
      </w:r>
      <w:r>
        <w:rPr>
          <w:rFonts w:eastAsia="仿宋_GB2312"/>
          <w:spacing w:val="-1"/>
          <w:szCs w:val="32"/>
        </w:rPr>
        <w:t>正式修复冠</w:t>
      </w:r>
      <w:r>
        <w:rPr>
          <w:rFonts w:eastAsia="仿宋_GB2312"/>
          <w:spacing w:val="-1"/>
          <w:szCs w:val="32"/>
        </w:rPr>
        <w:t>/</w:t>
      </w:r>
      <w:r>
        <w:rPr>
          <w:rFonts w:eastAsia="仿宋_GB2312"/>
          <w:spacing w:val="-1"/>
          <w:szCs w:val="32"/>
        </w:rPr>
        <w:t>桥顺利就位。</w:t>
      </w:r>
    </w:p>
    <w:p w14:paraId="465657C2"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5</w:t>
      </w:r>
      <w:r>
        <w:rPr>
          <w:rFonts w:eastAsia="仿宋_GB2312"/>
          <w:spacing w:val="-1"/>
          <w:szCs w:val="32"/>
        </w:rPr>
        <w:t>）引导基牙、桥体、种植体周围牙龈组织愈合塑形。</w:t>
      </w:r>
    </w:p>
    <w:p w14:paraId="009EEFF7"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2.</w:t>
      </w:r>
      <w:r>
        <w:rPr>
          <w:rFonts w:eastAsia="仿宋_GB2312"/>
          <w:spacing w:val="-1"/>
          <w:szCs w:val="32"/>
        </w:rPr>
        <w:t>概述</w:t>
      </w:r>
    </w:p>
    <w:p w14:paraId="54F60874"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2.1</w:t>
      </w:r>
      <w:r>
        <w:rPr>
          <w:rFonts w:eastAsia="仿宋_GB2312"/>
          <w:spacing w:val="-1"/>
          <w:szCs w:val="32"/>
        </w:rPr>
        <w:t>产品的管理类别</w:t>
      </w:r>
    </w:p>
    <w:p w14:paraId="1CD0554A"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采用已注册树脂材料制成的临时冠产品按照</w:t>
      </w:r>
      <w:r>
        <w:rPr>
          <w:rFonts w:eastAsia="仿宋_GB2312"/>
          <w:spacing w:val="-1"/>
          <w:szCs w:val="32"/>
        </w:rPr>
        <w:t>Ⅱ</w:t>
      </w:r>
      <w:r>
        <w:rPr>
          <w:rFonts w:eastAsia="仿宋_GB2312"/>
          <w:spacing w:val="-1"/>
          <w:szCs w:val="32"/>
        </w:rPr>
        <w:t>类医疗器械管理。原材料注册证载明的原材料名称和预期用途应与原材料实际应用情况一致。</w:t>
      </w:r>
    </w:p>
    <w:p w14:paraId="0E59EE7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2.2</w:t>
      </w:r>
      <w:r>
        <w:rPr>
          <w:rFonts w:eastAsia="仿宋_GB2312"/>
          <w:spacing w:val="-1"/>
          <w:szCs w:val="32"/>
        </w:rPr>
        <w:t>包装说明</w:t>
      </w:r>
    </w:p>
    <w:p w14:paraId="24CFEBE0"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以图片和文字相结合的方式明示申报产品的包装信息，包括包装形式、包装材料及包装工艺。以列表形式说明所有包装内容物。提供包装材料的性质，评价包装材料对产品储存过程的影响。标明最小销售单元的包装数量。</w:t>
      </w:r>
    </w:p>
    <w:p w14:paraId="02F4BF08"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2.3</w:t>
      </w:r>
      <w:r>
        <w:rPr>
          <w:rFonts w:eastAsia="仿宋_GB2312"/>
          <w:spacing w:val="-1"/>
          <w:szCs w:val="32"/>
        </w:rPr>
        <w:t>研发历程</w:t>
      </w:r>
    </w:p>
    <w:p w14:paraId="67273BF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阐述申请注册产品的研发背景和目的，如有参考的同类产</w:t>
      </w:r>
      <w:r>
        <w:rPr>
          <w:rFonts w:eastAsia="仿宋_GB2312"/>
          <w:spacing w:val="-1"/>
          <w:szCs w:val="32"/>
        </w:rPr>
        <w:lastRenderedPageBreak/>
        <w:t>品或前代产品，需提供同类产品或前代产品的信息，并说明选择其作为研发参考的原因。综述同类产品国内外研究及临床使用现状及发展趋势。</w:t>
      </w:r>
    </w:p>
    <w:p w14:paraId="3DE8D82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2.4</w:t>
      </w:r>
      <w:r>
        <w:rPr>
          <w:rFonts w:eastAsia="仿宋_GB2312"/>
          <w:spacing w:val="-1"/>
          <w:szCs w:val="32"/>
        </w:rPr>
        <w:t>与同类和</w:t>
      </w:r>
      <w:r>
        <w:rPr>
          <w:rFonts w:eastAsia="仿宋_GB2312"/>
          <w:spacing w:val="-1"/>
          <w:szCs w:val="32"/>
        </w:rPr>
        <w:t>/</w:t>
      </w:r>
      <w:r>
        <w:rPr>
          <w:rFonts w:eastAsia="仿宋_GB2312"/>
          <w:spacing w:val="-1"/>
          <w:szCs w:val="32"/>
        </w:rPr>
        <w:t>或前代产品的参考和比较</w:t>
      </w:r>
    </w:p>
    <w:p w14:paraId="382AED40"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列表比较说明申报产品与同类产品或前代产品在工作原理、结构组成、制造材料、性能指标、作用方式以及适用范围等方面的异同。明确申报产品是否采用了新材料、新技术、新设计，以及是否具有新作用机理或新功能。</w:t>
      </w:r>
    </w:p>
    <w:p w14:paraId="020179DF"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w:t>
      </w:r>
      <w:r>
        <w:rPr>
          <w:rFonts w:eastAsia="仿宋_GB2312"/>
          <w:spacing w:val="-1"/>
          <w:szCs w:val="32"/>
        </w:rPr>
        <w:t>适用范围和禁忌证</w:t>
      </w:r>
    </w:p>
    <w:p w14:paraId="4BD1919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3.1</w:t>
      </w:r>
      <w:r>
        <w:rPr>
          <w:rFonts w:eastAsia="仿宋_GB2312"/>
          <w:spacing w:val="-1"/>
          <w:szCs w:val="32"/>
        </w:rPr>
        <w:t>适用范围：用于牙体预备或种植牙术后、牙齿拔除愈合期间，最终</w:t>
      </w:r>
      <w:r>
        <w:rPr>
          <w:rFonts w:eastAsia="仿宋_GB2312"/>
          <w:spacing w:val="-1"/>
          <w:szCs w:val="32"/>
        </w:rPr>
        <w:t>/</w:t>
      </w:r>
      <w:r>
        <w:rPr>
          <w:rFonts w:eastAsia="仿宋_GB2312"/>
          <w:spacing w:val="-1"/>
          <w:szCs w:val="32"/>
        </w:rPr>
        <w:t>正式修复义齿制作未完成前，佩戴本产品进行暂时性的过渡修复（通常，临时冠</w:t>
      </w:r>
      <w:r>
        <w:rPr>
          <w:rFonts w:eastAsia="仿宋_GB2312"/>
          <w:spacing w:val="-1"/>
          <w:szCs w:val="32"/>
        </w:rPr>
        <w:t>/</w:t>
      </w:r>
      <w:r>
        <w:rPr>
          <w:rFonts w:eastAsia="仿宋_GB2312"/>
          <w:spacing w:val="-1"/>
          <w:szCs w:val="32"/>
        </w:rPr>
        <w:t>桥建议使用期限为</w:t>
      </w:r>
      <w:r>
        <w:rPr>
          <w:rFonts w:eastAsia="仿宋_GB2312"/>
          <w:spacing w:val="-1"/>
          <w:szCs w:val="32"/>
        </w:rPr>
        <w:t>1-4</w:t>
      </w:r>
      <w:r>
        <w:rPr>
          <w:rFonts w:eastAsia="仿宋_GB2312"/>
          <w:spacing w:val="-1"/>
          <w:szCs w:val="32"/>
        </w:rPr>
        <w:t>周，种植体上部临时冠</w:t>
      </w:r>
      <w:r>
        <w:rPr>
          <w:rFonts w:eastAsia="仿宋_GB2312"/>
          <w:spacing w:val="-1"/>
          <w:szCs w:val="32"/>
        </w:rPr>
        <w:t>/</w:t>
      </w:r>
      <w:r>
        <w:rPr>
          <w:rFonts w:eastAsia="仿宋_GB2312"/>
          <w:spacing w:val="-1"/>
          <w:szCs w:val="32"/>
        </w:rPr>
        <w:t>桥建议使用期限是</w:t>
      </w:r>
      <w:r>
        <w:rPr>
          <w:rFonts w:eastAsia="仿宋_GB2312"/>
          <w:spacing w:val="-1"/>
          <w:szCs w:val="32"/>
        </w:rPr>
        <w:t>3</w:t>
      </w:r>
      <w:r>
        <w:rPr>
          <w:rFonts w:eastAsia="仿宋_GB2312"/>
          <w:spacing w:val="-1"/>
          <w:szCs w:val="32"/>
        </w:rPr>
        <w:t>个月至</w:t>
      </w:r>
      <w:r>
        <w:rPr>
          <w:rFonts w:eastAsia="仿宋_GB2312"/>
          <w:spacing w:val="-1"/>
          <w:szCs w:val="32"/>
        </w:rPr>
        <w:t>6</w:t>
      </w:r>
      <w:r>
        <w:rPr>
          <w:rFonts w:eastAsia="仿宋_GB2312"/>
          <w:spacing w:val="-1"/>
          <w:szCs w:val="32"/>
        </w:rPr>
        <w:t>个月），为一次性使用产品。</w:t>
      </w:r>
    </w:p>
    <w:p w14:paraId="420C031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w:t>
      </w:r>
      <w:r>
        <w:rPr>
          <w:rFonts w:eastAsia="仿宋_GB2312"/>
          <w:spacing w:val="-1"/>
          <w:szCs w:val="32"/>
        </w:rPr>
        <w:t>预期使用环境：在医疗机构中使用，涵盖口腔专科医院、综合医院的口腔科、口腔诊所等。需由口腔专业执业医师给患者设计、装戴、调试。</w:t>
      </w:r>
    </w:p>
    <w:p w14:paraId="67192517"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3.3</w:t>
      </w:r>
      <w:r>
        <w:rPr>
          <w:rFonts w:eastAsia="仿宋_GB2312"/>
          <w:spacing w:val="-1"/>
          <w:szCs w:val="32"/>
        </w:rPr>
        <w:t>适用人群：本产品适用于因牙齿缺损、缺失或治疗过程中有临时</w:t>
      </w:r>
      <w:r>
        <w:rPr>
          <w:rFonts w:eastAsia="仿宋_GB2312"/>
          <w:spacing w:val="-1"/>
          <w:szCs w:val="32"/>
        </w:rPr>
        <w:t>/</w:t>
      </w:r>
      <w:r>
        <w:rPr>
          <w:rFonts w:eastAsia="仿宋_GB2312"/>
          <w:spacing w:val="-1"/>
          <w:szCs w:val="32"/>
        </w:rPr>
        <w:t>过渡型修复需求的人群。具体包括：</w:t>
      </w:r>
    </w:p>
    <w:p w14:paraId="0B059B52"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1</w:t>
      </w:r>
      <w:r>
        <w:rPr>
          <w:rFonts w:eastAsia="仿宋_GB2312"/>
          <w:spacing w:val="-1"/>
          <w:szCs w:val="32"/>
        </w:rPr>
        <w:t>）牙体制备后需保护基牙的患者；</w:t>
      </w:r>
      <w:r>
        <w:rPr>
          <w:rFonts w:eastAsia="仿宋_GB2312"/>
          <w:spacing w:val="-1"/>
          <w:szCs w:val="32"/>
        </w:rPr>
        <w:t xml:space="preserve"> </w:t>
      </w:r>
    </w:p>
    <w:p w14:paraId="41B2491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2</w:t>
      </w:r>
      <w:r>
        <w:rPr>
          <w:rFonts w:eastAsia="仿宋_GB2312"/>
          <w:spacing w:val="-1"/>
          <w:szCs w:val="32"/>
        </w:rPr>
        <w:t>）种植牙过渡期患者；</w:t>
      </w:r>
      <w:r>
        <w:rPr>
          <w:rFonts w:eastAsia="仿宋_GB2312"/>
          <w:spacing w:val="-1"/>
          <w:szCs w:val="32"/>
        </w:rPr>
        <w:t xml:space="preserve"> </w:t>
      </w:r>
    </w:p>
    <w:p w14:paraId="32CB0E9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3</w:t>
      </w:r>
      <w:r>
        <w:rPr>
          <w:rFonts w:eastAsia="仿宋_GB2312"/>
          <w:spacing w:val="-1"/>
          <w:szCs w:val="32"/>
        </w:rPr>
        <w:t>）牙体缺失</w:t>
      </w:r>
      <w:r>
        <w:rPr>
          <w:rFonts w:eastAsia="仿宋_GB2312"/>
          <w:spacing w:val="-1"/>
          <w:szCs w:val="32"/>
        </w:rPr>
        <w:t>/</w:t>
      </w:r>
      <w:r>
        <w:rPr>
          <w:rFonts w:eastAsia="仿宋_GB2312"/>
          <w:spacing w:val="-1"/>
          <w:szCs w:val="32"/>
        </w:rPr>
        <w:t>缺损、牙列缺损需临时修复（为防止牙齿移动或对颌牙伸长）的患者；</w:t>
      </w:r>
    </w:p>
    <w:p w14:paraId="3EAD2758"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w:t>
      </w:r>
      <w:r>
        <w:rPr>
          <w:rFonts w:eastAsia="仿宋_GB2312"/>
          <w:spacing w:val="-1"/>
          <w:szCs w:val="32"/>
        </w:rPr>
        <w:t>4</w:t>
      </w:r>
      <w:r>
        <w:rPr>
          <w:rFonts w:eastAsia="仿宋_GB2312"/>
          <w:spacing w:val="-1"/>
          <w:szCs w:val="32"/>
        </w:rPr>
        <w:t>）有美学修复预览需求的患者。</w:t>
      </w:r>
      <w:r>
        <w:rPr>
          <w:rFonts w:eastAsia="仿宋_GB2312"/>
          <w:spacing w:val="-1"/>
          <w:szCs w:val="32"/>
        </w:rPr>
        <w:t xml:space="preserve"> </w:t>
      </w:r>
    </w:p>
    <w:p w14:paraId="0B385AA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lastRenderedPageBreak/>
        <w:t>3.4</w:t>
      </w:r>
      <w:r>
        <w:rPr>
          <w:rFonts w:eastAsia="仿宋_GB2312"/>
          <w:spacing w:val="-1"/>
          <w:szCs w:val="32"/>
        </w:rPr>
        <w:t>禁忌证：</w:t>
      </w:r>
    </w:p>
    <w:p w14:paraId="73FBFE6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3.4.1</w:t>
      </w:r>
      <w:r>
        <w:rPr>
          <w:rFonts w:eastAsia="仿宋_GB2312"/>
          <w:spacing w:val="-1"/>
          <w:szCs w:val="32"/>
        </w:rPr>
        <w:t>对临时冠</w:t>
      </w:r>
      <w:r>
        <w:rPr>
          <w:rFonts w:eastAsia="仿宋_GB2312"/>
          <w:spacing w:val="-1"/>
          <w:szCs w:val="32"/>
        </w:rPr>
        <w:t>/</w:t>
      </w:r>
      <w:r>
        <w:rPr>
          <w:rFonts w:eastAsia="仿宋_GB2312"/>
          <w:spacing w:val="-1"/>
          <w:szCs w:val="32"/>
        </w:rPr>
        <w:t>桥材料过敏者。</w:t>
      </w:r>
    </w:p>
    <w:p w14:paraId="36FBF1D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3.4.2</w:t>
      </w:r>
      <w:r>
        <w:rPr>
          <w:rFonts w:eastAsia="仿宋_GB2312"/>
          <w:spacing w:val="-1"/>
          <w:szCs w:val="32"/>
        </w:rPr>
        <w:t>基牙形态不适合戴用临时冠</w:t>
      </w:r>
      <w:r>
        <w:rPr>
          <w:rFonts w:eastAsia="仿宋_GB2312"/>
          <w:spacing w:val="-1"/>
          <w:szCs w:val="32"/>
        </w:rPr>
        <w:t>/</w:t>
      </w:r>
      <w:r>
        <w:rPr>
          <w:rFonts w:eastAsia="仿宋_GB2312"/>
          <w:spacing w:val="-1"/>
          <w:szCs w:val="32"/>
        </w:rPr>
        <w:t>桥者。</w:t>
      </w:r>
      <w:bookmarkStart w:id="0" w:name="OLE_LINK2"/>
    </w:p>
    <w:bookmarkEnd w:id="0"/>
    <w:p w14:paraId="5C9ABB43" w14:textId="77777777" w:rsidR="00D862E2" w:rsidRDefault="006644C9">
      <w:pPr>
        <w:spacing w:line="520" w:lineRule="exact"/>
        <w:ind w:firstLineChars="200" w:firstLine="636"/>
        <w:rPr>
          <w:rFonts w:eastAsia="方正仿宋_GBK"/>
          <w:szCs w:val="32"/>
        </w:rPr>
      </w:pPr>
      <w:r>
        <w:rPr>
          <w:rFonts w:eastAsia="仿宋_GB2312"/>
          <w:spacing w:val="-1"/>
          <w:szCs w:val="32"/>
        </w:rPr>
        <w:t>4.</w:t>
      </w:r>
      <w:r>
        <w:rPr>
          <w:rFonts w:eastAsia="仿宋_GB2312"/>
          <w:spacing w:val="-1"/>
          <w:szCs w:val="32"/>
        </w:rPr>
        <w:t>申报产品上市历史（如适用）</w:t>
      </w:r>
    </w:p>
    <w:p w14:paraId="750F6820" w14:textId="77777777" w:rsidR="00D862E2" w:rsidRDefault="006644C9">
      <w:pPr>
        <w:spacing w:line="520" w:lineRule="exact"/>
        <w:ind w:rightChars="-32" w:right="-102" w:firstLineChars="200" w:firstLine="640"/>
        <w:rPr>
          <w:rFonts w:eastAsia="楷体_GB2312"/>
          <w:szCs w:val="32"/>
        </w:rPr>
      </w:pPr>
      <w:r>
        <w:rPr>
          <w:rFonts w:eastAsia="楷体_GB2312"/>
          <w:szCs w:val="32"/>
        </w:rPr>
        <w:t>（三）非临床资料</w:t>
      </w:r>
    </w:p>
    <w:p w14:paraId="622F9815"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1.</w:t>
      </w:r>
      <w:r>
        <w:rPr>
          <w:rFonts w:eastAsia="仿宋_GB2312"/>
          <w:spacing w:val="-1"/>
          <w:szCs w:val="32"/>
        </w:rPr>
        <w:t>产品风险管理资料</w:t>
      </w:r>
    </w:p>
    <w:p w14:paraId="7A78B65F"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注册申请人需对产品全生命周期实施风险管理，参照</w:t>
      </w:r>
      <w:r>
        <w:rPr>
          <w:rFonts w:eastAsia="仿宋_GB2312"/>
          <w:spacing w:val="-1"/>
          <w:szCs w:val="32"/>
        </w:rPr>
        <w:t>GB/T 42062</w:t>
      </w:r>
      <w:r>
        <w:rPr>
          <w:rFonts w:eastAsia="仿宋_GB2312"/>
          <w:spacing w:val="-1"/>
          <w:szCs w:val="32"/>
        </w:rPr>
        <w:t>《医疗器械</w:t>
      </w:r>
      <w:r>
        <w:rPr>
          <w:rFonts w:eastAsia="仿宋_GB2312"/>
          <w:spacing w:val="-1"/>
          <w:szCs w:val="32"/>
        </w:rPr>
        <w:t xml:space="preserve"> </w:t>
      </w:r>
      <w:r>
        <w:rPr>
          <w:rFonts w:eastAsia="仿宋_GB2312"/>
          <w:spacing w:val="-1"/>
          <w:szCs w:val="32"/>
        </w:rPr>
        <w:t>风险管理对医疗器械的应用》，提交风险管理资料。产品风险管理过程包括风险分析、风险评价、风险控制、综合剩余风险的可接受性评价、以及与产品受益相比，综合评价临时冠</w:t>
      </w:r>
      <w:r>
        <w:rPr>
          <w:rFonts w:eastAsia="仿宋_GB2312"/>
          <w:spacing w:val="-1"/>
          <w:szCs w:val="32"/>
        </w:rPr>
        <w:t>/</w:t>
      </w:r>
      <w:r>
        <w:rPr>
          <w:rFonts w:eastAsia="仿宋_GB2312"/>
          <w:spacing w:val="-1"/>
          <w:szCs w:val="32"/>
        </w:rPr>
        <w:t>桥风险可接受的文件，并说明对于每项已判定危害的各个过程的可追溯性。</w:t>
      </w:r>
    </w:p>
    <w:p w14:paraId="20B332FE" w14:textId="3A5DBE68" w:rsidR="00D862E2" w:rsidRDefault="006644C9">
      <w:pPr>
        <w:spacing w:line="520" w:lineRule="exact"/>
        <w:ind w:firstLineChars="200" w:firstLine="636"/>
        <w:rPr>
          <w:rFonts w:eastAsia="仿宋_GB2312"/>
          <w:spacing w:val="-1"/>
          <w:szCs w:val="32"/>
        </w:rPr>
      </w:pPr>
      <w:r>
        <w:rPr>
          <w:rFonts w:eastAsia="仿宋_GB2312"/>
          <w:spacing w:val="-1"/>
          <w:szCs w:val="32"/>
        </w:rPr>
        <w:t>注册申请人在进行风险分析时，至少应考虑附件中的主要危害，企业还应根据自身产品特点确定其他危害。针对产品的各项风险，企业应列出采取的应对措施以及确保风险降低到可接受的程度，或经风险分析，产品的受益大于风险。</w:t>
      </w:r>
    </w:p>
    <w:p w14:paraId="313B06A1" w14:textId="77777777" w:rsidR="00D862E2" w:rsidRDefault="006644C9">
      <w:pPr>
        <w:widowControl/>
        <w:spacing w:line="520" w:lineRule="exact"/>
        <w:ind w:firstLineChars="200" w:firstLine="640"/>
      </w:pPr>
      <w:r>
        <w:rPr>
          <w:rFonts w:eastAsia="仿宋_GB2312"/>
          <w:kern w:val="0"/>
          <w:szCs w:val="32"/>
        </w:rPr>
        <w:t>产品不良事件的类型包括但不限于：松动</w:t>
      </w:r>
      <w:r>
        <w:rPr>
          <w:rFonts w:eastAsia="仿宋_GB2312"/>
          <w:kern w:val="0"/>
          <w:szCs w:val="32"/>
        </w:rPr>
        <w:t>/</w:t>
      </w:r>
      <w:r>
        <w:rPr>
          <w:rFonts w:eastAsia="仿宋_GB2312"/>
          <w:kern w:val="0"/>
          <w:szCs w:val="32"/>
        </w:rPr>
        <w:t>脱落、疼痛</w:t>
      </w:r>
      <w:r>
        <w:rPr>
          <w:rFonts w:eastAsia="仿宋_GB2312"/>
          <w:kern w:val="0"/>
          <w:szCs w:val="32"/>
        </w:rPr>
        <w:t>/</w:t>
      </w:r>
      <w:r>
        <w:rPr>
          <w:rFonts w:eastAsia="仿宋_GB2312"/>
          <w:kern w:val="0"/>
          <w:szCs w:val="32"/>
        </w:rPr>
        <w:t>敏感、折裂</w:t>
      </w:r>
      <w:r>
        <w:rPr>
          <w:rFonts w:eastAsia="仿宋_GB2312"/>
          <w:kern w:val="0"/>
          <w:szCs w:val="32"/>
        </w:rPr>
        <w:t>/</w:t>
      </w:r>
      <w:r>
        <w:rPr>
          <w:rFonts w:eastAsia="仿宋_GB2312"/>
          <w:kern w:val="0"/>
          <w:szCs w:val="32"/>
        </w:rPr>
        <w:t>破损等不良反应。</w:t>
      </w:r>
    </w:p>
    <w:p w14:paraId="76E55A24"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2.</w:t>
      </w:r>
      <w:r>
        <w:rPr>
          <w:rFonts w:eastAsia="仿宋_GB2312"/>
          <w:spacing w:val="-1"/>
          <w:szCs w:val="32"/>
        </w:rPr>
        <w:t>医疗器械安全和性能基本原则清单</w:t>
      </w:r>
    </w:p>
    <w:p w14:paraId="6E84172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说明产品符合《医疗器械安全和性能基本原则清单》各项适用要求所采用的方法，以及证明其符合性的文件。对于《医疗器械安全和性能基本原则清单》中不适用的各项要求，应当说明理由。</w:t>
      </w:r>
    </w:p>
    <w:p w14:paraId="5F126AD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对于包含在产品注册申报资料中的文件，应当说明其在申</w:t>
      </w:r>
      <w:r>
        <w:rPr>
          <w:rFonts w:eastAsia="仿宋_GB2312"/>
          <w:spacing w:val="-1"/>
          <w:szCs w:val="32"/>
        </w:rPr>
        <w:lastRenderedPageBreak/>
        <w:t>报资料中的具体位置；对于未包含在产品注册申报资料中的文件，应当注明该证据文件名称及其在质量管理体系文件中的编号备查。</w:t>
      </w:r>
    </w:p>
    <w:p w14:paraId="0DA54275"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w:t>
      </w:r>
      <w:r>
        <w:rPr>
          <w:rFonts w:eastAsia="仿宋_GB2312"/>
          <w:spacing w:val="-1"/>
          <w:szCs w:val="32"/>
        </w:rPr>
        <w:t>产品技术要求</w:t>
      </w:r>
    </w:p>
    <w:p w14:paraId="7145CA25"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产品技术要求的制定需符合《医疗器械产品技术要求编写指导原则》的要求，需符合相关国家标准、行业标准和有关法律、法规的相应要求。在此基础上，注册申请人需根据产品的特点，制定保证产品安全、有效的技术要求。产品技术要求中试验方法需依据有关国家标准、行业标准、国际标准制订，或经过验证。</w:t>
      </w:r>
    </w:p>
    <w:p w14:paraId="06F4159E"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3.1</w:t>
      </w:r>
      <w:r>
        <w:rPr>
          <w:rFonts w:eastAsia="仿宋_GB2312"/>
          <w:spacing w:val="-1"/>
          <w:szCs w:val="32"/>
        </w:rPr>
        <w:t>产品型号</w:t>
      </w:r>
      <w:r>
        <w:rPr>
          <w:rFonts w:eastAsia="仿宋_GB2312"/>
          <w:spacing w:val="-1"/>
          <w:szCs w:val="32"/>
        </w:rPr>
        <w:t>/</w:t>
      </w:r>
      <w:r>
        <w:rPr>
          <w:rFonts w:eastAsia="仿宋_GB2312"/>
          <w:spacing w:val="-1"/>
          <w:szCs w:val="32"/>
        </w:rPr>
        <w:t>规格及其划分的说明</w:t>
      </w:r>
    </w:p>
    <w:p w14:paraId="7099DB8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应列明产品的型号、规格，明确产品型号、规格的划分说明。</w:t>
      </w:r>
    </w:p>
    <w:p w14:paraId="3F1C2B1F"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w:t>
      </w:r>
      <w:r>
        <w:rPr>
          <w:rFonts w:eastAsia="仿宋_GB2312"/>
          <w:spacing w:val="-1"/>
          <w:szCs w:val="32"/>
        </w:rPr>
        <w:t>性能指标</w:t>
      </w:r>
    </w:p>
    <w:p w14:paraId="2EA62C0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产品技术要求中性能指标应包括但不限于以下内容：</w:t>
      </w:r>
    </w:p>
    <w:p w14:paraId="5FD266E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3.2.1</w:t>
      </w:r>
      <w:r>
        <w:rPr>
          <w:rFonts w:eastAsia="仿宋_GB2312"/>
          <w:spacing w:val="-1"/>
          <w:szCs w:val="32"/>
        </w:rPr>
        <w:t>设计：临时冠</w:t>
      </w:r>
      <w:r>
        <w:rPr>
          <w:rFonts w:eastAsia="仿宋_GB2312"/>
          <w:spacing w:val="-1"/>
          <w:szCs w:val="32"/>
        </w:rPr>
        <w:t>/</w:t>
      </w:r>
      <w:r>
        <w:rPr>
          <w:rFonts w:eastAsia="仿宋_GB2312"/>
          <w:spacing w:val="-1"/>
          <w:szCs w:val="32"/>
        </w:rPr>
        <w:t>桥的设计制作应根据患者模型及设计单的要求制作。</w:t>
      </w:r>
    </w:p>
    <w:p w14:paraId="305FA5B2"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3.2.2</w:t>
      </w:r>
      <w:r>
        <w:rPr>
          <w:rFonts w:eastAsia="仿宋_GB2312"/>
          <w:spacing w:val="-1"/>
          <w:szCs w:val="32"/>
        </w:rPr>
        <w:t>原材料：临时冠</w:t>
      </w:r>
      <w:r>
        <w:rPr>
          <w:rFonts w:eastAsia="仿宋_GB2312"/>
          <w:spacing w:val="-1"/>
          <w:szCs w:val="32"/>
        </w:rPr>
        <w:t>/</w:t>
      </w:r>
      <w:r>
        <w:rPr>
          <w:rFonts w:eastAsia="仿宋_GB2312"/>
          <w:spacing w:val="-1"/>
          <w:szCs w:val="32"/>
        </w:rPr>
        <w:t>桥所用原材料应具有医疗器械注册证。</w:t>
      </w:r>
    </w:p>
    <w:p w14:paraId="5D78562E"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3.2.3</w:t>
      </w:r>
      <w:r>
        <w:rPr>
          <w:rFonts w:eastAsia="仿宋_GB2312"/>
          <w:spacing w:val="-1"/>
          <w:szCs w:val="32"/>
        </w:rPr>
        <w:t>外观：临时冠</w:t>
      </w:r>
      <w:r>
        <w:rPr>
          <w:rFonts w:eastAsia="仿宋_GB2312"/>
          <w:spacing w:val="-1"/>
          <w:szCs w:val="32"/>
        </w:rPr>
        <w:t>/</w:t>
      </w:r>
      <w:r>
        <w:rPr>
          <w:rFonts w:eastAsia="仿宋_GB2312"/>
          <w:spacing w:val="-1"/>
          <w:szCs w:val="32"/>
        </w:rPr>
        <w:t>桥的外表面应光滑、有光泽。无孔隙、无裂纹、无气泡，无任何粗糙面和划痕。</w:t>
      </w:r>
    </w:p>
    <w:p w14:paraId="36AFE02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3.2.4</w:t>
      </w:r>
      <w:r>
        <w:rPr>
          <w:rFonts w:eastAsia="仿宋_GB2312"/>
          <w:spacing w:val="-1"/>
          <w:szCs w:val="32"/>
        </w:rPr>
        <w:t>颜色：临时冠</w:t>
      </w:r>
      <w:r>
        <w:rPr>
          <w:rFonts w:eastAsia="仿宋_GB2312"/>
          <w:spacing w:val="-1"/>
          <w:szCs w:val="32"/>
        </w:rPr>
        <w:t>/</w:t>
      </w:r>
      <w:r>
        <w:rPr>
          <w:rFonts w:eastAsia="仿宋_GB2312"/>
          <w:spacing w:val="-1"/>
          <w:szCs w:val="32"/>
        </w:rPr>
        <w:t>桥的颜色应符合设计单要求。</w:t>
      </w:r>
    </w:p>
    <w:p w14:paraId="77E0AE40"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3.2.5</w:t>
      </w:r>
      <w:r>
        <w:rPr>
          <w:rFonts w:eastAsia="仿宋_GB2312"/>
          <w:spacing w:val="-1"/>
          <w:szCs w:val="32"/>
        </w:rPr>
        <w:t>邻接关系：临时冠</w:t>
      </w:r>
      <w:r>
        <w:rPr>
          <w:rFonts w:eastAsia="仿宋_GB2312"/>
          <w:spacing w:val="-1"/>
          <w:szCs w:val="32"/>
        </w:rPr>
        <w:t>/</w:t>
      </w:r>
      <w:r>
        <w:rPr>
          <w:rFonts w:eastAsia="仿宋_GB2312"/>
          <w:spacing w:val="-1"/>
          <w:szCs w:val="32"/>
        </w:rPr>
        <w:t>桥邻面与相邻牙之间的接触部位、形状、范围应与同名天然牙的接触部位、形状、范围相似。（若定制方有特殊设计要求，不受上述条件限制，但仍需符合生产</w:t>
      </w:r>
      <w:r>
        <w:rPr>
          <w:rFonts w:eastAsia="仿宋_GB2312"/>
          <w:spacing w:val="-1"/>
          <w:szCs w:val="32"/>
        </w:rPr>
        <w:lastRenderedPageBreak/>
        <w:t>厂家规定的技术要求。）</w:t>
      </w:r>
    </w:p>
    <w:p w14:paraId="6191A541"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3.2.6</w:t>
      </w:r>
      <w:r>
        <w:rPr>
          <w:rFonts w:eastAsia="仿宋_GB2312"/>
          <w:spacing w:val="-1"/>
          <w:szCs w:val="32"/>
        </w:rPr>
        <w:t>边缘适合性：临时冠</w:t>
      </w:r>
      <w:r>
        <w:rPr>
          <w:rFonts w:eastAsia="仿宋_GB2312"/>
          <w:spacing w:val="-1"/>
          <w:szCs w:val="32"/>
        </w:rPr>
        <w:t>/</w:t>
      </w:r>
      <w:r>
        <w:rPr>
          <w:rFonts w:eastAsia="仿宋_GB2312"/>
          <w:spacing w:val="-1"/>
          <w:szCs w:val="32"/>
        </w:rPr>
        <w:t>桥在模型上就位后应有良好的边缘适合性，用牙科探针探查边缘时，应不能探入，且在表面划过时应无障碍感。</w:t>
      </w:r>
    </w:p>
    <w:p w14:paraId="3F552135"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3.2.7</w:t>
      </w:r>
      <w:r>
        <w:rPr>
          <w:rFonts w:eastAsia="仿宋_GB2312"/>
          <w:spacing w:val="-1"/>
          <w:szCs w:val="32"/>
        </w:rPr>
        <w:t>咬合关系：临时冠</w:t>
      </w:r>
      <w:r>
        <w:rPr>
          <w:rFonts w:eastAsia="仿宋_GB2312"/>
          <w:spacing w:val="-1"/>
          <w:szCs w:val="32"/>
        </w:rPr>
        <w:t>/</w:t>
      </w:r>
      <w:r>
        <w:rPr>
          <w:rFonts w:eastAsia="仿宋_GB2312"/>
          <w:spacing w:val="-1"/>
          <w:szCs w:val="32"/>
        </w:rPr>
        <w:t>桥的咬合面应符合设计单的咬合设计要求。</w:t>
      </w:r>
    </w:p>
    <w:p w14:paraId="09D4319A"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3.2.8</w:t>
      </w:r>
      <w:r>
        <w:rPr>
          <w:rFonts w:eastAsia="仿宋_GB2312"/>
          <w:spacing w:val="-1"/>
          <w:szCs w:val="32"/>
        </w:rPr>
        <w:t>外形轮廓：临时冠</w:t>
      </w:r>
      <w:r>
        <w:rPr>
          <w:rFonts w:eastAsia="仿宋_GB2312"/>
          <w:spacing w:val="-1"/>
          <w:szCs w:val="32"/>
        </w:rPr>
        <w:t>/</w:t>
      </w:r>
      <w:r>
        <w:rPr>
          <w:rFonts w:eastAsia="仿宋_GB2312"/>
          <w:spacing w:val="-1"/>
          <w:szCs w:val="32"/>
        </w:rPr>
        <w:t>桥的外形轮廓应在满足修复空间的要求下，符合天然牙的正常结构形态或与临近的天然牙相协调。</w:t>
      </w:r>
    </w:p>
    <w:p w14:paraId="3E015D24"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3.3</w:t>
      </w:r>
      <w:r>
        <w:rPr>
          <w:rFonts w:eastAsia="仿宋_GB2312"/>
          <w:spacing w:val="-1"/>
          <w:szCs w:val="32"/>
        </w:rPr>
        <w:t>检验方法</w:t>
      </w:r>
    </w:p>
    <w:p w14:paraId="0ED64C7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应优先考虑采用适用的已建立标准方法的检验方法，必要时，应当进行方法学验证，以确保检验方法的可重现性和可操作性。</w:t>
      </w:r>
    </w:p>
    <w:p w14:paraId="5BE6A7F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3.4</w:t>
      </w:r>
      <w:r>
        <w:rPr>
          <w:rFonts w:eastAsia="仿宋_GB2312"/>
          <w:spacing w:val="-1"/>
          <w:szCs w:val="32"/>
        </w:rPr>
        <w:t>检验报告</w:t>
      </w:r>
    </w:p>
    <w:p w14:paraId="7ED3D000"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3.4.1</w:t>
      </w:r>
      <w:r>
        <w:rPr>
          <w:rFonts w:eastAsia="仿宋_GB2312"/>
          <w:spacing w:val="-1"/>
          <w:szCs w:val="32"/>
        </w:rPr>
        <w:t>检验报告可以是注册申请人按照《医疗器械注册自检管理规定》出具的自检报告，也可以是委托有资质的医疗器械检验机构出具的检验报告。</w:t>
      </w:r>
    </w:p>
    <w:p w14:paraId="02B05F4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3.4.2</w:t>
      </w:r>
      <w:r>
        <w:rPr>
          <w:rFonts w:eastAsia="仿宋_GB2312"/>
          <w:spacing w:val="-1"/>
          <w:szCs w:val="32"/>
        </w:rPr>
        <w:t>若申报的产品包括多个型号规格，同一注册单元内所检验的产品应当能够代表本注册单元内其他产品的安全性和有效性，并提供典型性检验样品的选择说明。</w:t>
      </w:r>
    </w:p>
    <w:p w14:paraId="37649F8F"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w:t>
      </w:r>
      <w:r>
        <w:rPr>
          <w:rFonts w:eastAsia="仿宋_GB2312"/>
          <w:spacing w:val="-1"/>
          <w:szCs w:val="32"/>
        </w:rPr>
        <w:t>研究资料</w:t>
      </w:r>
    </w:p>
    <w:p w14:paraId="1E4A9A2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根据所申报的产品，提供相应的研究资料。</w:t>
      </w:r>
    </w:p>
    <w:p w14:paraId="0091F51E"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4.1</w:t>
      </w:r>
      <w:r>
        <w:rPr>
          <w:rFonts w:eastAsia="仿宋_GB2312"/>
          <w:spacing w:val="-1"/>
          <w:szCs w:val="32"/>
        </w:rPr>
        <w:t>化学和物理性能研究</w:t>
      </w:r>
    </w:p>
    <w:p w14:paraId="5D40190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桥产品的原材料应取得医疗器械注册证，申请人需提供原材料供应商信息及验收标准。</w:t>
      </w:r>
    </w:p>
    <w:p w14:paraId="4617BD0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lastRenderedPageBreak/>
        <w:t>申报资料中应包括产品性能研究资料以及产品技术要求的研究和编制说明，包括所有指标的确定依据，所采用的标准或方法、采用的原因及理论基础。</w:t>
      </w:r>
    </w:p>
    <w:p w14:paraId="31F9014F"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 xml:space="preserve">4.2 </w:t>
      </w:r>
      <w:r>
        <w:rPr>
          <w:rFonts w:eastAsia="仿宋_GB2312"/>
          <w:spacing w:val="-1"/>
          <w:szCs w:val="32"/>
        </w:rPr>
        <w:t>成型方法研究</w:t>
      </w:r>
    </w:p>
    <w:p w14:paraId="55AEE69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 xml:space="preserve">4.2.1 </w:t>
      </w:r>
      <w:r>
        <w:rPr>
          <w:rFonts w:eastAsia="仿宋_GB2312"/>
          <w:spacing w:val="-1"/>
          <w:szCs w:val="32"/>
        </w:rPr>
        <w:t>增材制造工艺</w:t>
      </w:r>
    </w:p>
    <w:p w14:paraId="677D387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产品如采用增材制造工艺，应对打印精度进行验证。阐述所使用的设备（明确如具体型号、规格和性能参数信息）及成型技术，如立体光固化成型（</w:t>
      </w:r>
      <w:r>
        <w:rPr>
          <w:rFonts w:eastAsia="仿宋_GB2312"/>
          <w:spacing w:val="-1"/>
          <w:szCs w:val="32"/>
        </w:rPr>
        <w:t>Stereolithography</w:t>
      </w:r>
      <w:r>
        <w:rPr>
          <w:rFonts w:eastAsia="仿宋_GB2312"/>
          <w:spacing w:val="-1"/>
          <w:szCs w:val="32"/>
        </w:rPr>
        <w:t>，</w:t>
      </w:r>
      <w:r>
        <w:rPr>
          <w:rFonts w:eastAsia="仿宋_GB2312"/>
          <w:spacing w:val="-1"/>
          <w:szCs w:val="32"/>
        </w:rPr>
        <w:t>SLA</w:t>
      </w:r>
      <w:r>
        <w:rPr>
          <w:rFonts w:eastAsia="仿宋_GB2312"/>
          <w:spacing w:val="-1"/>
          <w:szCs w:val="32"/>
        </w:rPr>
        <w:t>）、数字光处理（</w:t>
      </w:r>
      <w:r>
        <w:rPr>
          <w:rFonts w:eastAsia="仿宋_GB2312"/>
          <w:spacing w:val="-1"/>
          <w:szCs w:val="32"/>
        </w:rPr>
        <w:t>Digital Light Processing</w:t>
      </w:r>
      <w:r>
        <w:rPr>
          <w:rFonts w:eastAsia="仿宋_GB2312"/>
          <w:spacing w:val="-1"/>
          <w:szCs w:val="32"/>
        </w:rPr>
        <w:t>，</w:t>
      </w:r>
      <w:r>
        <w:rPr>
          <w:rFonts w:eastAsia="仿宋_GB2312"/>
          <w:spacing w:val="-1"/>
          <w:szCs w:val="32"/>
        </w:rPr>
        <w:t>DLP</w:t>
      </w:r>
      <w:r>
        <w:rPr>
          <w:rFonts w:eastAsia="仿宋_GB2312"/>
          <w:spacing w:val="-1"/>
          <w:szCs w:val="32"/>
        </w:rPr>
        <w:t>）、液晶显示（</w:t>
      </w:r>
      <w:r>
        <w:rPr>
          <w:rFonts w:eastAsia="仿宋_GB2312"/>
          <w:spacing w:val="-1"/>
          <w:szCs w:val="32"/>
        </w:rPr>
        <w:t>Liquid Crystal Display</w:t>
      </w:r>
      <w:r>
        <w:rPr>
          <w:rFonts w:eastAsia="仿宋_GB2312"/>
          <w:spacing w:val="-1"/>
          <w:szCs w:val="32"/>
        </w:rPr>
        <w:t>，</w:t>
      </w:r>
      <w:r>
        <w:rPr>
          <w:rFonts w:eastAsia="仿宋_GB2312"/>
          <w:spacing w:val="-1"/>
          <w:szCs w:val="32"/>
        </w:rPr>
        <w:t>LCD</w:t>
      </w:r>
      <w:r>
        <w:rPr>
          <w:rFonts w:eastAsia="仿宋_GB2312"/>
          <w:spacing w:val="-1"/>
          <w:szCs w:val="32"/>
        </w:rPr>
        <w:t>）等。提供关键打印参数（打印层厚等），明确可接受性准则及实际开展验证结果和结论，选取典型型号进行验证。</w:t>
      </w:r>
    </w:p>
    <w:p w14:paraId="1F95D297"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4.2.2</w:t>
      </w:r>
      <w:r>
        <w:rPr>
          <w:rFonts w:eastAsia="仿宋_GB2312"/>
          <w:spacing w:val="-1"/>
          <w:szCs w:val="32"/>
        </w:rPr>
        <w:t>清洗及固化工艺</w:t>
      </w:r>
    </w:p>
    <w:p w14:paraId="4EB2B25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应针对清洗及固化工艺参数进行验证，阐述清洗溶剂、清洗时间、最大清洗量及方式的确定依据，明确可接受性准则及实际开展验证结果和结论。</w:t>
      </w:r>
    </w:p>
    <w:p w14:paraId="2741E46A"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4.2.3</w:t>
      </w:r>
      <w:r>
        <w:rPr>
          <w:rFonts w:eastAsia="仿宋_GB2312"/>
          <w:spacing w:val="-1"/>
          <w:szCs w:val="32"/>
        </w:rPr>
        <w:t>医工交互</w:t>
      </w:r>
    </w:p>
    <w:p w14:paraId="53426CE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应提供扫描、设计、排版等软件信息，验证软件能够满足产品制作要求。提供医工交互过程控制的要求，如医工交互过程控制文件等。</w:t>
      </w:r>
    </w:p>
    <w:p w14:paraId="0B725AB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4.3</w:t>
      </w:r>
      <w:r>
        <w:rPr>
          <w:rFonts w:eastAsia="仿宋_GB2312"/>
          <w:spacing w:val="-1"/>
          <w:szCs w:val="32"/>
        </w:rPr>
        <w:t>生物学特性研究</w:t>
      </w:r>
    </w:p>
    <w:p w14:paraId="6BED152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桥预期与口腔黏膜表面和牙齿硬组织外表面接触，属于表面接触的器械，接触时间需结合产品具体的使用方法确定，需考虑累计使用时间，确定生物学评价项目，生物学评价</w:t>
      </w:r>
      <w:r>
        <w:rPr>
          <w:rFonts w:eastAsia="仿宋_GB2312"/>
          <w:spacing w:val="-1"/>
          <w:szCs w:val="32"/>
        </w:rPr>
        <w:lastRenderedPageBreak/>
        <w:t>项目建议至少考虑：细胞毒性、致敏反应、刺激或皮内反应、亚慢性毒性和遗传毒性。生物相容性评价需按照</w:t>
      </w:r>
      <w:r>
        <w:rPr>
          <w:rFonts w:eastAsia="仿宋_GB2312"/>
          <w:spacing w:val="-1"/>
          <w:szCs w:val="32"/>
        </w:rPr>
        <w:t>GB/T 16886.1</w:t>
      </w:r>
      <w:r>
        <w:rPr>
          <w:rFonts w:eastAsia="仿宋_GB2312"/>
          <w:spacing w:val="-1"/>
          <w:szCs w:val="32"/>
        </w:rPr>
        <w:t>《医疗器械生物学评价第</w:t>
      </w:r>
      <w:r>
        <w:rPr>
          <w:rFonts w:eastAsia="仿宋_GB2312"/>
          <w:spacing w:val="-1"/>
          <w:szCs w:val="32"/>
        </w:rPr>
        <w:t>1</w:t>
      </w:r>
      <w:r>
        <w:rPr>
          <w:rFonts w:eastAsia="仿宋_GB2312"/>
          <w:spacing w:val="-1"/>
          <w:szCs w:val="32"/>
        </w:rPr>
        <w:t>部分：风险管理过程中的评价与试验》、</w:t>
      </w:r>
      <w:r>
        <w:rPr>
          <w:rFonts w:eastAsia="仿宋_GB2312"/>
          <w:spacing w:val="-1"/>
          <w:szCs w:val="32"/>
        </w:rPr>
        <w:t>YY/T 0268</w:t>
      </w:r>
      <w:r>
        <w:rPr>
          <w:rFonts w:eastAsia="仿宋_GB2312"/>
          <w:spacing w:val="-1"/>
          <w:szCs w:val="32"/>
        </w:rPr>
        <w:t>《牙科学口腔医疗器械生物学评价第</w:t>
      </w:r>
      <w:r>
        <w:rPr>
          <w:rFonts w:eastAsia="仿宋_GB2312"/>
          <w:spacing w:val="-1"/>
          <w:szCs w:val="32"/>
        </w:rPr>
        <w:t>1</w:t>
      </w:r>
      <w:r>
        <w:rPr>
          <w:rFonts w:eastAsia="仿宋_GB2312"/>
          <w:spacing w:val="-1"/>
          <w:szCs w:val="32"/>
        </w:rPr>
        <w:t>单元：评价与试验》和《关于印发医疗器械生物学评价和审查指南的通知》的要求开展，生物相容性评价研究资料需包括：生物相容性评价的依据、项目和方法；产品所用材料的描述及与人体接触的性质和时间；实施或豁免生物学试验的理由和论证；对于现有数据或试验结果的评价。</w:t>
      </w:r>
    </w:p>
    <w:p w14:paraId="2E5E97A0"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对于使用已取得医疗器械注册证原材料制作的临时冠</w:t>
      </w:r>
      <w:r>
        <w:rPr>
          <w:rFonts w:eastAsia="仿宋_GB2312"/>
          <w:spacing w:val="-1"/>
          <w:szCs w:val="32"/>
        </w:rPr>
        <w:t>/</w:t>
      </w:r>
      <w:r>
        <w:rPr>
          <w:rFonts w:eastAsia="仿宋_GB2312"/>
          <w:spacing w:val="-1"/>
          <w:szCs w:val="32"/>
        </w:rPr>
        <w:t>桥，重点对生产加工过程引入的生物学风险进行评估，提交生物学评价资料。</w:t>
      </w:r>
    </w:p>
    <w:p w14:paraId="36394B0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4.4</w:t>
      </w:r>
      <w:r>
        <w:rPr>
          <w:rFonts w:eastAsia="仿宋_GB2312"/>
          <w:spacing w:val="-1"/>
          <w:szCs w:val="32"/>
        </w:rPr>
        <w:t>清洁</w:t>
      </w:r>
      <w:r>
        <w:rPr>
          <w:rFonts w:eastAsia="仿宋_GB2312"/>
          <w:spacing w:val="-1"/>
          <w:szCs w:val="32"/>
        </w:rPr>
        <w:t>/</w:t>
      </w:r>
      <w:r>
        <w:rPr>
          <w:rFonts w:eastAsia="仿宋_GB2312"/>
          <w:spacing w:val="-1"/>
          <w:szCs w:val="32"/>
        </w:rPr>
        <w:t>消毒研究</w:t>
      </w:r>
    </w:p>
    <w:p w14:paraId="2AF5C76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一般为非无菌产品，明确推荐的终端清洗和消毒工艺（方法和参数）、工艺的确定依据并提供相关研究资料。也可参照《医疗机构消毒技术规范》进行消毒。若消毒后可能产生残留物质，需考虑化学残留的影响。</w:t>
      </w:r>
    </w:p>
    <w:p w14:paraId="1A70C2A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4.5</w:t>
      </w:r>
      <w:r>
        <w:rPr>
          <w:rFonts w:eastAsia="仿宋_GB2312"/>
          <w:spacing w:val="-1"/>
          <w:szCs w:val="32"/>
        </w:rPr>
        <w:t>可用性</w:t>
      </w:r>
      <w:r>
        <w:rPr>
          <w:rFonts w:eastAsia="仿宋_GB2312"/>
          <w:spacing w:val="-1"/>
          <w:szCs w:val="32"/>
        </w:rPr>
        <w:t>/</w:t>
      </w:r>
      <w:r>
        <w:rPr>
          <w:rFonts w:eastAsia="仿宋_GB2312"/>
          <w:spacing w:val="-1"/>
          <w:szCs w:val="32"/>
        </w:rPr>
        <w:t>人为因素研究</w:t>
      </w:r>
    </w:p>
    <w:p w14:paraId="37DF0A39"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属于中、低使用风险医疗器械，注册申请人需根据《医疗器械可用性工程注册审查指导原则》提交《使用错误评估报告》。若前期已开展可用性工程工作，亦可提交《可用性工程研究报告》，用于替代《使用错误评估报告》。</w:t>
      </w:r>
    </w:p>
    <w:p w14:paraId="28DF5E4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4.6</w:t>
      </w:r>
      <w:r>
        <w:rPr>
          <w:rFonts w:eastAsia="仿宋_GB2312"/>
          <w:spacing w:val="-1"/>
          <w:szCs w:val="32"/>
        </w:rPr>
        <w:t>证明产品安全性、有效性的其他研究资料。</w:t>
      </w:r>
    </w:p>
    <w:p w14:paraId="0497B90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5.</w:t>
      </w:r>
      <w:r>
        <w:rPr>
          <w:rFonts w:eastAsia="仿宋_GB2312"/>
          <w:spacing w:val="-1"/>
          <w:szCs w:val="32"/>
        </w:rPr>
        <w:t>非临床文献（如适用）</w:t>
      </w:r>
    </w:p>
    <w:p w14:paraId="07E1E40B" w14:textId="77777777" w:rsidR="00D862E2" w:rsidRDefault="006644C9">
      <w:pPr>
        <w:spacing w:line="520" w:lineRule="exact"/>
        <w:ind w:firstLineChars="200" w:firstLine="636"/>
        <w:rPr>
          <w:rFonts w:eastAsia="仿宋_GB2312"/>
          <w:spacing w:val="-1"/>
          <w:szCs w:val="32"/>
        </w:rPr>
      </w:pPr>
      <w:r>
        <w:rPr>
          <w:rFonts w:eastAsia="仿宋_GB2312"/>
          <w:spacing w:val="-1"/>
          <w:szCs w:val="32"/>
        </w:rPr>
        <w:lastRenderedPageBreak/>
        <w:t>6.</w:t>
      </w:r>
      <w:r>
        <w:rPr>
          <w:rFonts w:eastAsia="仿宋_GB2312"/>
          <w:spacing w:val="-1"/>
          <w:szCs w:val="32"/>
        </w:rPr>
        <w:t>稳定性研究</w:t>
      </w:r>
    </w:p>
    <w:p w14:paraId="43EF3076"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6.1</w:t>
      </w:r>
      <w:r>
        <w:rPr>
          <w:rFonts w:eastAsia="仿宋_GB2312"/>
          <w:spacing w:val="-1"/>
          <w:szCs w:val="32"/>
        </w:rPr>
        <w:t>明确临时冠</w:t>
      </w:r>
      <w:r>
        <w:rPr>
          <w:rFonts w:eastAsia="仿宋_GB2312"/>
          <w:spacing w:val="-1"/>
          <w:szCs w:val="32"/>
        </w:rPr>
        <w:t>/</w:t>
      </w:r>
      <w:r>
        <w:rPr>
          <w:rFonts w:eastAsia="仿宋_GB2312"/>
          <w:spacing w:val="-1"/>
          <w:szCs w:val="32"/>
        </w:rPr>
        <w:t>桥产品的安装有效期，即在患者口腔内取模至安装的最长期限。</w:t>
      </w:r>
    </w:p>
    <w:p w14:paraId="0F4D57A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6.2</w:t>
      </w:r>
      <w:r>
        <w:rPr>
          <w:rFonts w:eastAsia="仿宋_GB2312"/>
          <w:spacing w:val="-1"/>
          <w:szCs w:val="32"/>
        </w:rPr>
        <w:t>明确产品的使用期限。充分考虑原材料的生物相容性评价中经验证的最长接触时间。通常，临时冠</w:t>
      </w:r>
      <w:r>
        <w:rPr>
          <w:rFonts w:eastAsia="仿宋_GB2312"/>
          <w:spacing w:val="-1"/>
          <w:szCs w:val="32"/>
        </w:rPr>
        <w:t>/</w:t>
      </w:r>
      <w:r>
        <w:rPr>
          <w:rFonts w:eastAsia="仿宋_GB2312"/>
          <w:spacing w:val="-1"/>
          <w:szCs w:val="32"/>
        </w:rPr>
        <w:t>桥建议使用期限为</w:t>
      </w:r>
      <w:r>
        <w:rPr>
          <w:rFonts w:eastAsia="仿宋_GB2312"/>
          <w:spacing w:val="-1"/>
          <w:szCs w:val="32"/>
        </w:rPr>
        <w:t>1-4</w:t>
      </w:r>
      <w:r>
        <w:rPr>
          <w:rFonts w:eastAsia="仿宋_GB2312"/>
          <w:spacing w:val="-1"/>
          <w:szCs w:val="32"/>
        </w:rPr>
        <w:t>周，种植体上部临时冠</w:t>
      </w:r>
      <w:r>
        <w:rPr>
          <w:rFonts w:eastAsia="仿宋_GB2312"/>
          <w:spacing w:val="-1"/>
          <w:szCs w:val="32"/>
        </w:rPr>
        <w:t>/</w:t>
      </w:r>
      <w:r>
        <w:rPr>
          <w:rFonts w:eastAsia="仿宋_GB2312"/>
          <w:spacing w:val="-1"/>
          <w:szCs w:val="32"/>
        </w:rPr>
        <w:t>桥建议使用期限是</w:t>
      </w:r>
      <w:r>
        <w:rPr>
          <w:rFonts w:eastAsia="仿宋_GB2312"/>
          <w:spacing w:val="-1"/>
          <w:szCs w:val="32"/>
        </w:rPr>
        <w:t>3</w:t>
      </w:r>
      <w:r>
        <w:rPr>
          <w:rFonts w:eastAsia="仿宋_GB2312"/>
          <w:spacing w:val="-1"/>
          <w:szCs w:val="32"/>
        </w:rPr>
        <w:t>个月至</w:t>
      </w:r>
      <w:r>
        <w:rPr>
          <w:rFonts w:eastAsia="仿宋_GB2312"/>
          <w:spacing w:val="-1"/>
          <w:szCs w:val="32"/>
        </w:rPr>
        <w:t>6</w:t>
      </w:r>
      <w:r>
        <w:rPr>
          <w:rFonts w:eastAsia="仿宋_GB2312"/>
          <w:spacing w:val="-1"/>
          <w:szCs w:val="32"/>
        </w:rPr>
        <w:t>个月。</w:t>
      </w:r>
    </w:p>
    <w:p w14:paraId="202F543A"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6.3</w:t>
      </w:r>
      <w:r>
        <w:rPr>
          <w:rFonts w:eastAsia="仿宋_GB2312"/>
          <w:spacing w:val="-1"/>
          <w:szCs w:val="32"/>
        </w:rPr>
        <w:t>运输稳定性：明确产品的内包装形式并确保包装在宣称的运输储存条件下，在产品有效期内能够对产品起到防护作用并保持产品清洁。产品的包装和运输稳定性研究可参考相关标准（如</w:t>
      </w:r>
      <w:r>
        <w:rPr>
          <w:rFonts w:eastAsia="仿宋_GB2312"/>
          <w:spacing w:val="-1"/>
          <w:szCs w:val="32"/>
        </w:rPr>
        <w:t>YY/T 0681</w:t>
      </w:r>
      <w:r>
        <w:rPr>
          <w:rFonts w:eastAsia="仿宋_GB2312"/>
          <w:spacing w:val="-1"/>
          <w:szCs w:val="32"/>
        </w:rPr>
        <w:t>系列、</w:t>
      </w:r>
      <w:r>
        <w:rPr>
          <w:rFonts w:eastAsia="仿宋_GB2312"/>
          <w:spacing w:val="-1"/>
          <w:szCs w:val="32"/>
        </w:rPr>
        <w:t>GB/T 4857</w:t>
      </w:r>
      <w:r>
        <w:rPr>
          <w:rFonts w:eastAsia="仿宋_GB2312"/>
          <w:spacing w:val="-1"/>
          <w:szCs w:val="32"/>
        </w:rPr>
        <w:t>系列等）进行，并提交产品的验证报告。包装材料的选择应考虑是否会引入重金属、微生物等外来物质，与储存运输过程的适合性等因素。</w:t>
      </w:r>
    </w:p>
    <w:p w14:paraId="57D81E2D"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7.</w:t>
      </w:r>
      <w:r>
        <w:rPr>
          <w:rFonts w:eastAsia="仿宋_GB2312"/>
          <w:spacing w:val="-1"/>
          <w:szCs w:val="32"/>
        </w:rPr>
        <w:t>其他资料</w:t>
      </w:r>
    </w:p>
    <w:p w14:paraId="62472B1E" w14:textId="77777777" w:rsidR="00D862E2" w:rsidRDefault="006644C9">
      <w:pPr>
        <w:spacing w:line="520" w:lineRule="exact"/>
        <w:ind w:rightChars="-32" w:right="-102" w:firstLineChars="200" w:firstLine="636"/>
        <w:rPr>
          <w:rFonts w:eastAsia="楷体_GB2312"/>
          <w:szCs w:val="32"/>
        </w:rPr>
      </w:pPr>
      <w:r>
        <w:rPr>
          <w:rFonts w:eastAsia="仿宋_GB2312"/>
          <w:spacing w:val="-1"/>
          <w:szCs w:val="32"/>
        </w:rPr>
        <w:t>对于列入《免于进行临床评价医疗器械目录》的该产品可免于进行临床评价。注册申请人应当按照《列入免于临床评价医疗器械目录产品对比说明技术指导原则》的要求，从基本原理、结构组成、性能、安全性、适用范围等方面，证明产品的安全有效性。</w:t>
      </w:r>
    </w:p>
    <w:p w14:paraId="4AC75140" w14:textId="77777777" w:rsidR="00D862E2" w:rsidRDefault="006644C9">
      <w:pPr>
        <w:spacing w:line="520" w:lineRule="exact"/>
        <w:ind w:rightChars="-32" w:right="-102" w:firstLineChars="200" w:firstLine="640"/>
        <w:rPr>
          <w:rFonts w:eastAsia="楷体_GB2312"/>
          <w:szCs w:val="32"/>
        </w:rPr>
      </w:pPr>
      <w:r>
        <w:rPr>
          <w:rFonts w:eastAsia="楷体_GB2312"/>
          <w:szCs w:val="32"/>
        </w:rPr>
        <w:t>（四）临床评价资料</w:t>
      </w:r>
    </w:p>
    <w:p w14:paraId="023B764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该产品已列入《免于进行临床评价医疗器械目录》，申请人无需提交临床评价资料。</w:t>
      </w:r>
    </w:p>
    <w:p w14:paraId="5F03538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若该产品不在《免于进行临床评价医疗器械目录》的产品描述范围之内，或不能证明与已获准境内注册的产品具有基本等同性，或与已上市产品相比采用新材料、新技术、新设计或</w:t>
      </w:r>
      <w:r>
        <w:rPr>
          <w:rFonts w:eastAsia="仿宋_GB2312"/>
          <w:spacing w:val="-1"/>
          <w:szCs w:val="32"/>
        </w:rPr>
        <w:lastRenderedPageBreak/>
        <w:t>具有新作用机制、新功能的，应按《医疗器械临床评价技术指导原则》等相关指导原则的要求进行临床评价。</w:t>
      </w:r>
    </w:p>
    <w:p w14:paraId="1126FA72" w14:textId="77777777" w:rsidR="00D862E2" w:rsidRDefault="006644C9">
      <w:pPr>
        <w:spacing w:line="520" w:lineRule="exact"/>
        <w:ind w:firstLineChars="200" w:firstLine="640"/>
        <w:rPr>
          <w:rFonts w:eastAsia="楷体_GB2312"/>
          <w:szCs w:val="32"/>
        </w:rPr>
      </w:pPr>
      <w:r>
        <w:rPr>
          <w:rFonts w:eastAsia="楷体_GB2312"/>
          <w:szCs w:val="32"/>
        </w:rPr>
        <w:t>（五）产品说明书和标签样稿</w:t>
      </w:r>
    </w:p>
    <w:p w14:paraId="00167F26"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产品说明书、标签和包装标识的编写要求符合《医疗器械说明书和标签管理规定》和</w:t>
      </w:r>
      <w:r>
        <w:rPr>
          <w:rFonts w:eastAsia="仿宋_GB2312"/>
          <w:spacing w:val="-1"/>
          <w:szCs w:val="32"/>
        </w:rPr>
        <w:t>YY/T 0466.1</w:t>
      </w:r>
      <w:r>
        <w:rPr>
          <w:rFonts w:eastAsia="仿宋_GB2312"/>
          <w:spacing w:val="-1"/>
          <w:szCs w:val="32"/>
        </w:rPr>
        <w:t>《医疗器械</w:t>
      </w:r>
      <w:r>
        <w:rPr>
          <w:rFonts w:eastAsia="仿宋_GB2312"/>
          <w:spacing w:val="-1"/>
          <w:szCs w:val="32"/>
        </w:rPr>
        <w:t xml:space="preserve"> </w:t>
      </w:r>
      <w:r>
        <w:rPr>
          <w:rFonts w:eastAsia="仿宋_GB2312"/>
          <w:spacing w:val="-1"/>
          <w:szCs w:val="32"/>
        </w:rPr>
        <w:t>用于制造商提供信息的符号</w:t>
      </w:r>
      <w:r>
        <w:rPr>
          <w:rFonts w:eastAsia="仿宋_GB2312"/>
          <w:spacing w:val="-1"/>
          <w:szCs w:val="32"/>
        </w:rPr>
        <w:t xml:space="preserve"> </w:t>
      </w:r>
      <w:r>
        <w:rPr>
          <w:rFonts w:eastAsia="仿宋_GB2312"/>
          <w:spacing w:val="-1"/>
          <w:szCs w:val="32"/>
        </w:rPr>
        <w:t>第</w:t>
      </w:r>
      <w:r>
        <w:rPr>
          <w:rFonts w:eastAsia="仿宋_GB2312"/>
          <w:spacing w:val="-1"/>
          <w:szCs w:val="32"/>
        </w:rPr>
        <w:t>1</w:t>
      </w:r>
      <w:r>
        <w:rPr>
          <w:rFonts w:eastAsia="仿宋_GB2312"/>
          <w:spacing w:val="-1"/>
          <w:szCs w:val="32"/>
        </w:rPr>
        <w:t>部分：通用要求》等相关标准的要求。同时根据产品适用情况可参考以下要求：</w:t>
      </w:r>
    </w:p>
    <w:p w14:paraId="4AE2D80D"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1.</w:t>
      </w:r>
      <w:r>
        <w:rPr>
          <w:rFonts w:eastAsia="仿宋_GB2312"/>
          <w:spacing w:val="-1"/>
          <w:szCs w:val="32"/>
        </w:rPr>
        <w:t>明确产品的安装有效期和使用期限。</w:t>
      </w:r>
    </w:p>
    <w:p w14:paraId="513CF65F" w14:textId="77777777" w:rsidR="00D862E2" w:rsidRDefault="006644C9">
      <w:pPr>
        <w:spacing w:line="520" w:lineRule="exact"/>
        <w:ind w:rightChars="-32" w:right="-102" w:firstLineChars="200" w:firstLine="636"/>
        <w:rPr>
          <w:rFonts w:eastAsia="仿宋_GB2312"/>
          <w:strike/>
          <w:spacing w:val="-1"/>
          <w:szCs w:val="32"/>
        </w:rPr>
      </w:pPr>
      <w:r>
        <w:rPr>
          <w:rFonts w:eastAsia="仿宋_GB2312"/>
          <w:spacing w:val="-1"/>
          <w:szCs w:val="32"/>
        </w:rPr>
        <w:t>2.</w:t>
      </w:r>
      <w:r>
        <w:rPr>
          <w:rFonts w:eastAsia="仿宋_GB2312"/>
          <w:spacing w:val="-1"/>
          <w:szCs w:val="32"/>
        </w:rPr>
        <w:t>产品使用说明、禁忌证及其他应该说明的问题等内容。</w:t>
      </w:r>
    </w:p>
    <w:p w14:paraId="29761C6A"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3.</w:t>
      </w:r>
      <w:r>
        <w:rPr>
          <w:rFonts w:eastAsia="仿宋_GB2312"/>
          <w:spacing w:val="-1"/>
          <w:szCs w:val="32"/>
        </w:rPr>
        <w:t>注意事项明确以下内容：</w:t>
      </w:r>
    </w:p>
    <w:p w14:paraId="33FDB5DA"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3.1</w:t>
      </w:r>
      <w:r>
        <w:rPr>
          <w:rFonts w:eastAsia="仿宋_GB2312"/>
          <w:spacing w:val="-1"/>
          <w:szCs w:val="32"/>
        </w:rPr>
        <w:t>需要由具有专业资质的医师进行调试、戴用。</w:t>
      </w:r>
    </w:p>
    <w:p w14:paraId="3586617F"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3.2</w:t>
      </w:r>
      <w:r>
        <w:rPr>
          <w:rFonts w:eastAsia="仿宋_GB2312"/>
          <w:spacing w:val="-1"/>
          <w:szCs w:val="32"/>
        </w:rPr>
        <w:t>临时冠</w:t>
      </w:r>
      <w:r>
        <w:rPr>
          <w:rFonts w:eastAsia="仿宋_GB2312"/>
          <w:spacing w:val="-1"/>
          <w:szCs w:val="32"/>
        </w:rPr>
        <w:t>/</w:t>
      </w:r>
      <w:r>
        <w:rPr>
          <w:rFonts w:eastAsia="仿宋_GB2312"/>
          <w:spacing w:val="-1"/>
          <w:szCs w:val="32"/>
        </w:rPr>
        <w:t>桥接触人体前应经过清洁消毒，并根据产品的清洁消毒验证结论明确推荐的清洁消毒工艺（方法和参数）。</w:t>
      </w:r>
    </w:p>
    <w:p w14:paraId="415F1CC4"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3.3</w:t>
      </w:r>
      <w:r>
        <w:rPr>
          <w:rFonts w:eastAsia="仿宋_GB2312"/>
          <w:spacing w:val="-1"/>
          <w:szCs w:val="32"/>
        </w:rPr>
        <w:t>进食、刷牙的要求。</w:t>
      </w:r>
    </w:p>
    <w:p w14:paraId="27078BE2"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3.4</w:t>
      </w:r>
      <w:r>
        <w:rPr>
          <w:rFonts w:eastAsia="仿宋_GB2312"/>
          <w:spacing w:val="-1"/>
          <w:szCs w:val="32"/>
        </w:rPr>
        <w:t>过敏反应的处理方法。</w:t>
      </w:r>
    </w:p>
    <w:p w14:paraId="1225BC5E"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3.5</w:t>
      </w:r>
      <w:r>
        <w:rPr>
          <w:rFonts w:eastAsia="仿宋_GB2312"/>
          <w:spacing w:val="-1"/>
          <w:szCs w:val="32"/>
        </w:rPr>
        <w:t>使用中出现破碎、折断、脱落、松动等情况的处理方法。</w:t>
      </w:r>
    </w:p>
    <w:p w14:paraId="42A234C5"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3.6</w:t>
      </w:r>
      <w:r>
        <w:rPr>
          <w:rFonts w:eastAsia="仿宋_GB2312"/>
          <w:spacing w:val="-1"/>
          <w:szCs w:val="32"/>
        </w:rPr>
        <w:t>临时冠</w:t>
      </w:r>
      <w:r>
        <w:rPr>
          <w:rFonts w:eastAsia="仿宋_GB2312"/>
          <w:spacing w:val="-1"/>
          <w:szCs w:val="32"/>
        </w:rPr>
        <w:t>/</w:t>
      </w:r>
      <w:r>
        <w:rPr>
          <w:rFonts w:eastAsia="仿宋_GB2312"/>
          <w:spacing w:val="-1"/>
          <w:szCs w:val="32"/>
        </w:rPr>
        <w:t>桥通常只是临时修复用，不适用于要求耐磨、美观的最终</w:t>
      </w:r>
      <w:r>
        <w:rPr>
          <w:rFonts w:eastAsia="仿宋_GB2312"/>
          <w:spacing w:val="-1"/>
          <w:szCs w:val="32"/>
        </w:rPr>
        <w:t>/</w:t>
      </w:r>
      <w:r>
        <w:rPr>
          <w:rFonts w:eastAsia="仿宋_GB2312"/>
          <w:spacing w:val="-1"/>
          <w:szCs w:val="32"/>
        </w:rPr>
        <w:t>正式修复的患者。</w:t>
      </w:r>
    </w:p>
    <w:p w14:paraId="302C4D2E"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4.</w:t>
      </w:r>
      <w:r>
        <w:rPr>
          <w:rFonts w:eastAsia="仿宋_GB2312"/>
          <w:spacing w:val="-1"/>
          <w:szCs w:val="32"/>
        </w:rPr>
        <w:t>禁忌证至少有以下内容：</w:t>
      </w:r>
    </w:p>
    <w:p w14:paraId="7C87CE3A"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4.1</w:t>
      </w:r>
      <w:r>
        <w:rPr>
          <w:rFonts w:eastAsia="仿宋_GB2312"/>
          <w:spacing w:val="-1"/>
          <w:szCs w:val="32"/>
        </w:rPr>
        <w:t>对临时冠</w:t>
      </w:r>
      <w:r>
        <w:rPr>
          <w:rFonts w:eastAsia="仿宋_GB2312"/>
          <w:spacing w:val="-1"/>
          <w:szCs w:val="32"/>
        </w:rPr>
        <w:t>/</w:t>
      </w:r>
      <w:r>
        <w:rPr>
          <w:rFonts w:eastAsia="仿宋_GB2312"/>
          <w:spacing w:val="-1"/>
          <w:szCs w:val="32"/>
        </w:rPr>
        <w:t>桥材料过敏者。</w:t>
      </w:r>
    </w:p>
    <w:p w14:paraId="5982A5D2" w14:textId="77777777" w:rsidR="00D862E2" w:rsidRDefault="006644C9">
      <w:pPr>
        <w:spacing w:line="520" w:lineRule="exact"/>
        <w:ind w:rightChars="-32" w:right="-102" w:firstLineChars="200" w:firstLine="636"/>
        <w:rPr>
          <w:rFonts w:eastAsia="仿宋_GB2312"/>
          <w:spacing w:val="-1"/>
          <w:szCs w:val="32"/>
        </w:rPr>
      </w:pPr>
      <w:r>
        <w:rPr>
          <w:rFonts w:eastAsia="仿宋_GB2312"/>
          <w:spacing w:val="-1"/>
          <w:szCs w:val="32"/>
        </w:rPr>
        <w:t>4.2</w:t>
      </w:r>
      <w:r>
        <w:rPr>
          <w:rFonts w:eastAsia="仿宋_GB2312"/>
          <w:spacing w:val="-1"/>
          <w:szCs w:val="32"/>
        </w:rPr>
        <w:t>基牙形态不适合戴用临时冠</w:t>
      </w:r>
      <w:r>
        <w:rPr>
          <w:rFonts w:eastAsia="仿宋_GB2312"/>
          <w:spacing w:val="-1"/>
          <w:szCs w:val="32"/>
        </w:rPr>
        <w:t>/</w:t>
      </w:r>
      <w:r>
        <w:rPr>
          <w:rFonts w:eastAsia="仿宋_GB2312"/>
          <w:spacing w:val="-1"/>
          <w:szCs w:val="32"/>
        </w:rPr>
        <w:t>桥者。</w:t>
      </w:r>
    </w:p>
    <w:p w14:paraId="55AD08A0" w14:textId="77777777" w:rsidR="00D862E2" w:rsidRDefault="006644C9">
      <w:pPr>
        <w:spacing w:line="520" w:lineRule="exact"/>
        <w:ind w:firstLineChars="200" w:firstLine="640"/>
        <w:rPr>
          <w:rFonts w:eastAsia="楷体_GB2312"/>
          <w:szCs w:val="32"/>
        </w:rPr>
      </w:pPr>
      <w:r>
        <w:rPr>
          <w:rFonts w:eastAsia="楷体_GB2312"/>
          <w:szCs w:val="32"/>
        </w:rPr>
        <w:t>（六）质量管理体系文件</w:t>
      </w:r>
    </w:p>
    <w:p w14:paraId="216D98E3"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临时冠</w:t>
      </w:r>
      <w:r>
        <w:rPr>
          <w:rFonts w:eastAsia="仿宋_GB2312"/>
          <w:spacing w:val="-1"/>
          <w:szCs w:val="32"/>
        </w:rPr>
        <w:t>/</w:t>
      </w:r>
      <w:r>
        <w:rPr>
          <w:rFonts w:eastAsia="仿宋_GB2312"/>
          <w:spacing w:val="-1"/>
          <w:szCs w:val="32"/>
        </w:rPr>
        <w:t>桥的质量管理体系文件应符合《医疗器械生产质量管理规范》的要求，并按照《关于公布医疗器械注册申报资料</w:t>
      </w:r>
      <w:r>
        <w:rPr>
          <w:rFonts w:eastAsia="仿宋_GB2312"/>
          <w:spacing w:val="-1"/>
          <w:szCs w:val="32"/>
        </w:rPr>
        <w:lastRenderedPageBreak/>
        <w:t>要求和批准证明文件格式的公告》中</w:t>
      </w:r>
      <w:bookmarkStart w:id="1" w:name="_GoBack"/>
      <w:r>
        <w:rPr>
          <w:rFonts w:eastAsia="仿宋_GB2312"/>
          <w:spacing w:val="-1"/>
          <w:szCs w:val="32"/>
        </w:rPr>
        <w:t>附件</w:t>
      </w:r>
      <w:bookmarkEnd w:id="1"/>
      <w:r>
        <w:rPr>
          <w:rFonts w:eastAsia="仿宋_GB2312"/>
          <w:spacing w:val="-1"/>
          <w:szCs w:val="32"/>
        </w:rPr>
        <w:t>5</w:t>
      </w:r>
      <w:r>
        <w:rPr>
          <w:rFonts w:eastAsia="仿宋_GB2312"/>
          <w:spacing w:val="-1"/>
          <w:szCs w:val="32"/>
        </w:rPr>
        <w:t>《医疗器械注册申报资料要求及说明》，提交申报产品的质量管理体系文件。</w:t>
      </w:r>
    </w:p>
    <w:p w14:paraId="565E1C7C" w14:textId="77777777" w:rsidR="00D862E2" w:rsidRDefault="006644C9">
      <w:pPr>
        <w:spacing w:line="520" w:lineRule="exact"/>
        <w:ind w:firstLineChars="200" w:firstLine="636"/>
        <w:rPr>
          <w:rFonts w:eastAsia="仿宋_GB2312"/>
          <w:spacing w:val="-1"/>
          <w:szCs w:val="32"/>
        </w:rPr>
      </w:pPr>
      <w:r>
        <w:rPr>
          <w:rFonts w:eastAsia="仿宋_GB2312"/>
          <w:spacing w:val="-1"/>
          <w:szCs w:val="32"/>
        </w:rPr>
        <w:t>应明确产品生产工艺过程，可采用流程图的形式，并说明其过程控制点，且应结合产品实际生产过程细化产品生产工艺介绍，应能体现出外协加工部分（如有）、半成品加工过程，工艺流程图中应明示关键工序、特殊过程（如有）、过程控制点、各生产检验工序对环境的要求、使用的相关设备及对设备精度的要求等相关信息。</w:t>
      </w:r>
    </w:p>
    <w:p w14:paraId="4E689BB0" w14:textId="77777777" w:rsidR="00D862E2" w:rsidRDefault="006644C9">
      <w:pPr>
        <w:numPr>
          <w:ilvl w:val="0"/>
          <w:numId w:val="1"/>
        </w:numPr>
        <w:spacing w:line="520" w:lineRule="exact"/>
        <w:ind w:rightChars="-32" w:right="-102" w:firstLineChars="200" w:firstLine="640"/>
        <w:rPr>
          <w:rFonts w:eastAsia="黑体"/>
          <w:szCs w:val="32"/>
        </w:rPr>
      </w:pPr>
      <w:r>
        <w:rPr>
          <w:rFonts w:eastAsia="黑体"/>
          <w:szCs w:val="32"/>
        </w:rPr>
        <w:t>参考文献</w:t>
      </w:r>
    </w:p>
    <w:p w14:paraId="5877387E" w14:textId="77777777" w:rsidR="00D862E2" w:rsidRDefault="006644C9">
      <w:pPr>
        <w:spacing w:line="520" w:lineRule="exact"/>
        <w:ind w:firstLineChars="200" w:firstLine="640"/>
        <w:rPr>
          <w:rFonts w:eastAsia="仿宋_GB2312"/>
          <w:szCs w:val="32"/>
        </w:rPr>
      </w:pPr>
      <w:r>
        <w:rPr>
          <w:rFonts w:eastAsia="仿宋_GB2312"/>
          <w:szCs w:val="32"/>
        </w:rPr>
        <w:t>[1]</w:t>
      </w:r>
      <w:r>
        <w:rPr>
          <w:rFonts w:eastAsia="仿宋_GB2312"/>
          <w:szCs w:val="32"/>
        </w:rPr>
        <w:t>中华人民共和国国务院</w:t>
      </w:r>
      <w:r>
        <w:rPr>
          <w:rFonts w:eastAsia="仿宋_GB2312"/>
          <w:szCs w:val="32"/>
        </w:rPr>
        <w:t>.</w:t>
      </w:r>
      <w:r>
        <w:rPr>
          <w:rFonts w:eastAsia="仿宋_GB2312"/>
          <w:szCs w:val="32"/>
        </w:rPr>
        <w:t>医疗器械监督管理条例</w:t>
      </w:r>
      <w:r>
        <w:rPr>
          <w:rFonts w:eastAsia="仿宋_GB2312"/>
          <w:szCs w:val="32"/>
        </w:rPr>
        <w:t>:</w:t>
      </w:r>
      <w:r>
        <w:rPr>
          <w:rFonts w:eastAsia="仿宋_GB2312"/>
          <w:szCs w:val="32"/>
        </w:rPr>
        <w:t>中华人民共和国国务院令第</w:t>
      </w:r>
      <w:r>
        <w:rPr>
          <w:rFonts w:eastAsia="仿宋_GB2312"/>
          <w:szCs w:val="32"/>
        </w:rPr>
        <w:t>739</w:t>
      </w:r>
      <w:r>
        <w:rPr>
          <w:rFonts w:eastAsia="仿宋_GB2312"/>
          <w:szCs w:val="32"/>
        </w:rPr>
        <w:t>号</w:t>
      </w:r>
      <w:r>
        <w:rPr>
          <w:rFonts w:eastAsia="仿宋_GB2312"/>
          <w:szCs w:val="32"/>
        </w:rPr>
        <w:t>[Z].</w:t>
      </w:r>
    </w:p>
    <w:p w14:paraId="3979C8DE" w14:textId="77777777" w:rsidR="00D862E2" w:rsidRDefault="006644C9">
      <w:pPr>
        <w:spacing w:line="520" w:lineRule="exact"/>
        <w:ind w:firstLineChars="200" w:firstLine="640"/>
        <w:rPr>
          <w:rFonts w:eastAsia="仿宋_GB2312"/>
          <w:szCs w:val="32"/>
        </w:rPr>
      </w:pPr>
      <w:r>
        <w:rPr>
          <w:rFonts w:eastAsia="仿宋_GB2312"/>
          <w:szCs w:val="32"/>
        </w:rPr>
        <w:t>[2]</w:t>
      </w:r>
      <w:r>
        <w:rPr>
          <w:rFonts w:eastAsia="仿宋_GB2312"/>
          <w:szCs w:val="32"/>
        </w:rPr>
        <w:t>国家市场监督管理总局</w:t>
      </w:r>
      <w:r>
        <w:rPr>
          <w:rFonts w:eastAsia="仿宋_GB2312"/>
          <w:szCs w:val="32"/>
        </w:rPr>
        <w:t>.</w:t>
      </w:r>
      <w:r>
        <w:rPr>
          <w:rFonts w:eastAsia="仿宋_GB2312"/>
          <w:szCs w:val="32"/>
        </w:rPr>
        <w:t>医疗器械注册与备案管理办法</w:t>
      </w:r>
      <w:r>
        <w:rPr>
          <w:rFonts w:eastAsia="仿宋_GB2312"/>
          <w:szCs w:val="32"/>
        </w:rPr>
        <w:t>:</w:t>
      </w:r>
      <w:r>
        <w:rPr>
          <w:rFonts w:eastAsia="仿宋_GB2312"/>
          <w:szCs w:val="32"/>
        </w:rPr>
        <w:t>国家市场监督管理总局令第</w:t>
      </w:r>
      <w:r>
        <w:rPr>
          <w:rFonts w:eastAsia="仿宋_GB2312"/>
          <w:szCs w:val="32"/>
        </w:rPr>
        <w:t>47</w:t>
      </w:r>
      <w:r>
        <w:rPr>
          <w:rFonts w:eastAsia="仿宋_GB2312"/>
          <w:szCs w:val="32"/>
        </w:rPr>
        <w:t>号</w:t>
      </w:r>
      <w:r>
        <w:rPr>
          <w:rFonts w:eastAsia="仿宋_GB2312"/>
          <w:szCs w:val="32"/>
        </w:rPr>
        <w:t>[Z].</w:t>
      </w:r>
    </w:p>
    <w:p w14:paraId="2A8F7ABB" w14:textId="77777777" w:rsidR="00D862E2" w:rsidRDefault="006644C9">
      <w:pPr>
        <w:spacing w:line="520" w:lineRule="exact"/>
        <w:ind w:firstLineChars="200" w:firstLine="640"/>
        <w:rPr>
          <w:rFonts w:eastAsia="仿宋_GB2312"/>
          <w:szCs w:val="32"/>
        </w:rPr>
      </w:pPr>
      <w:r>
        <w:rPr>
          <w:rFonts w:eastAsia="仿宋_GB2312"/>
          <w:szCs w:val="32"/>
        </w:rPr>
        <w:t>[3]</w:t>
      </w:r>
      <w:r>
        <w:rPr>
          <w:rFonts w:eastAsia="仿宋_GB2312"/>
          <w:szCs w:val="32"/>
        </w:rPr>
        <w:t>国家药品监督管理局</w:t>
      </w:r>
      <w:r>
        <w:rPr>
          <w:rFonts w:eastAsia="仿宋_GB2312"/>
          <w:szCs w:val="32"/>
        </w:rPr>
        <w:t>.</w:t>
      </w:r>
      <w:r>
        <w:rPr>
          <w:rFonts w:eastAsia="仿宋_GB2312"/>
          <w:szCs w:val="32"/>
        </w:rPr>
        <w:t>医疗器械注册申报资料要求和批准证明文件格式</w:t>
      </w:r>
      <w:r>
        <w:rPr>
          <w:rFonts w:eastAsia="仿宋_GB2312"/>
          <w:szCs w:val="32"/>
        </w:rPr>
        <w:t>:</w:t>
      </w:r>
      <w:r>
        <w:rPr>
          <w:rFonts w:eastAsia="仿宋_GB2312"/>
          <w:szCs w:val="32"/>
        </w:rPr>
        <w:t>关于公布医疗器械注册申报资料要求和批准证明文件格式的公告</w:t>
      </w:r>
      <w:r>
        <w:rPr>
          <w:rFonts w:eastAsia="仿宋_GB2312"/>
          <w:szCs w:val="32"/>
        </w:rPr>
        <w:t>2021</w:t>
      </w:r>
      <w:r>
        <w:rPr>
          <w:rFonts w:eastAsia="仿宋_GB2312"/>
          <w:szCs w:val="32"/>
        </w:rPr>
        <w:t>年第</w:t>
      </w:r>
      <w:r>
        <w:rPr>
          <w:rFonts w:eastAsia="仿宋_GB2312"/>
          <w:szCs w:val="32"/>
        </w:rPr>
        <w:t>121</w:t>
      </w:r>
      <w:r>
        <w:rPr>
          <w:rFonts w:eastAsia="仿宋_GB2312"/>
          <w:szCs w:val="32"/>
        </w:rPr>
        <w:t>号</w:t>
      </w:r>
      <w:r>
        <w:rPr>
          <w:rFonts w:eastAsia="仿宋_GB2312"/>
          <w:szCs w:val="32"/>
        </w:rPr>
        <w:t>[Z].</w:t>
      </w:r>
    </w:p>
    <w:p w14:paraId="57148563" w14:textId="77777777" w:rsidR="00D862E2" w:rsidRDefault="006644C9">
      <w:pPr>
        <w:spacing w:line="520" w:lineRule="exact"/>
        <w:ind w:firstLineChars="200" w:firstLine="640"/>
        <w:rPr>
          <w:rFonts w:eastAsia="仿宋_GB2312"/>
          <w:szCs w:val="32"/>
        </w:rPr>
      </w:pPr>
      <w:r>
        <w:rPr>
          <w:rFonts w:eastAsia="仿宋_GB2312"/>
          <w:szCs w:val="32"/>
        </w:rPr>
        <w:t>[4]</w:t>
      </w:r>
      <w:r>
        <w:rPr>
          <w:rFonts w:eastAsia="仿宋_GB2312"/>
          <w:szCs w:val="32"/>
        </w:rPr>
        <w:t>国家食品药品监督管理总局</w:t>
      </w:r>
      <w:r>
        <w:rPr>
          <w:rFonts w:eastAsia="仿宋_GB2312"/>
          <w:szCs w:val="32"/>
        </w:rPr>
        <w:t>.</w:t>
      </w:r>
      <w:r>
        <w:rPr>
          <w:rFonts w:eastAsia="仿宋_GB2312"/>
          <w:szCs w:val="32"/>
        </w:rPr>
        <w:t>医疗器械说明书和标签管理规定</w:t>
      </w:r>
      <w:r>
        <w:rPr>
          <w:rFonts w:eastAsia="仿宋_GB2312"/>
          <w:szCs w:val="32"/>
        </w:rPr>
        <w:t>:</w:t>
      </w:r>
      <w:r>
        <w:rPr>
          <w:rFonts w:eastAsia="仿宋_GB2312"/>
          <w:szCs w:val="32"/>
        </w:rPr>
        <w:t>国家食品药品监督管理总局令第</w:t>
      </w:r>
      <w:r>
        <w:rPr>
          <w:rFonts w:eastAsia="仿宋_GB2312"/>
          <w:szCs w:val="32"/>
        </w:rPr>
        <w:t>6</w:t>
      </w:r>
      <w:r>
        <w:rPr>
          <w:rFonts w:eastAsia="仿宋_GB2312"/>
          <w:szCs w:val="32"/>
        </w:rPr>
        <w:t>号</w:t>
      </w:r>
      <w:r>
        <w:rPr>
          <w:rFonts w:eastAsia="仿宋_GB2312"/>
          <w:szCs w:val="32"/>
        </w:rPr>
        <w:t>[Z].</w:t>
      </w:r>
    </w:p>
    <w:p w14:paraId="4FDE26DB" w14:textId="77777777" w:rsidR="00D862E2" w:rsidRDefault="006644C9">
      <w:pPr>
        <w:spacing w:line="520" w:lineRule="exact"/>
        <w:ind w:firstLineChars="200" w:firstLine="640"/>
        <w:rPr>
          <w:rFonts w:eastAsia="仿宋_GB2312"/>
          <w:szCs w:val="32"/>
        </w:rPr>
      </w:pPr>
      <w:r>
        <w:rPr>
          <w:rFonts w:eastAsia="仿宋_GB2312"/>
          <w:szCs w:val="32"/>
        </w:rPr>
        <w:t>[5]</w:t>
      </w:r>
      <w:r>
        <w:rPr>
          <w:rFonts w:eastAsia="仿宋_GB2312"/>
          <w:szCs w:val="32"/>
        </w:rPr>
        <w:t>国家食品药品监督管理总局</w:t>
      </w:r>
      <w:r>
        <w:rPr>
          <w:rFonts w:eastAsia="仿宋_GB2312"/>
          <w:szCs w:val="32"/>
        </w:rPr>
        <w:t>.</w:t>
      </w:r>
      <w:r>
        <w:rPr>
          <w:rFonts w:eastAsia="仿宋_GB2312"/>
          <w:szCs w:val="32"/>
        </w:rPr>
        <w:t>医疗器械分类规则</w:t>
      </w:r>
      <w:r>
        <w:rPr>
          <w:rFonts w:eastAsia="仿宋_GB2312"/>
          <w:szCs w:val="32"/>
        </w:rPr>
        <w:t>:</w:t>
      </w:r>
      <w:r>
        <w:rPr>
          <w:rFonts w:eastAsia="仿宋_GB2312"/>
          <w:szCs w:val="32"/>
        </w:rPr>
        <w:t>国家食品药品监督管理总局令第</w:t>
      </w:r>
      <w:r>
        <w:rPr>
          <w:rFonts w:eastAsia="仿宋_GB2312"/>
          <w:szCs w:val="32"/>
        </w:rPr>
        <w:t>15</w:t>
      </w:r>
      <w:r>
        <w:rPr>
          <w:rFonts w:eastAsia="仿宋_GB2312"/>
          <w:szCs w:val="32"/>
        </w:rPr>
        <w:t>号</w:t>
      </w:r>
      <w:r>
        <w:rPr>
          <w:rFonts w:eastAsia="仿宋_GB2312"/>
          <w:szCs w:val="32"/>
        </w:rPr>
        <w:t>[Z].</w:t>
      </w:r>
    </w:p>
    <w:p w14:paraId="38F51F07" w14:textId="77777777" w:rsidR="00D862E2" w:rsidRDefault="006644C9">
      <w:pPr>
        <w:spacing w:line="520" w:lineRule="exact"/>
        <w:ind w:firstLineChars="200" w:firstLine="640"/>
        <w:rPr>
          <w:rFonts w:eastAsia="仿宋_GB2312"/>
          <w:szCs w:val="32"/>
        </w:rPr>
      </w:pPr>
      <w:r>
        <w:rPr>
          <w:rFonts w:eastAsia="仿宋_GB2312"/>
          <w:szCs w:val="32"/>
        </w:rPr>
        <w:t>[6]</w:t>
      </w:r>
      <w:r>
        <w:rPr>
          <w:rFonts w:eastAsia="仿宋_GB2312"/>
          <w:szCs w:val="32"/>
        </w:rPr>
        <w:t>国家食品药品监督管理总局</w:t>
      </w:r>
      <w:r>
        <w:rPr>
          <w:rFonts w:eastAsia="仿宋_GB2312"/>
          <w:szCs w:val="32"/>
        </w:rPr>
        <w:t>.</w:t>
      </w:r>
      <w:r>
        <w:rPr>
          <w:rFonts w:eastAsia="仿宋_GB2312"/>
          <w:szCs w:val="32"/>
        </w:rPr>
        <w:t>医疗器械通用名称命名规则</w:t>
      </w:r>
      <w:r>
        <w:rPr>
          <w:rFonts w:eastAsia="仿宋_GB2312"/>
          <w:szCs w:val="32"/>
        </w:rPr>
        <w:t>:</w:t>
      </w:r>
      <w:r>
        <w:rPr>
          <w:rFonts w:eastAsia="仿宋_GB2312"/>
          <w:szCs w:val="32"/>
        </w:rPr>
        <w:t>国家食品药品监督管理总局令第</w:t>
      </w:r>
      <w:r>
        <w:rPr>
          <w:rFonts w:eastAsia="仿宋_GB2312"/>
          <w:szCs w:val="32"/>
        </w:rPr>
        <w:t>19</w:t>
      </w:r>
      <w:r>
        <w:rPr>
          <w:rFonts w:eastAsia="仿宋_GB2312"/>
          <w:szCs w:val="32"/>
        </w:rPr>
        <w:t>号</w:t>
      </w:r>
      <w:r>
        <w:rPr>
          <w:rFonts w:eastAsia="仿宋_GB2312"/>
          <w:szCs w:val="32"/>
        </w:rPr>
        <w:t>[Z].</w:t>
      </w:r>
    </w:p>
    <w:p w14:paraId="79F9893D" w14:textId="77777777" w:rsidR="00D862E2" w:rsidRDefault="006644C9">
      <w:pPr>
        <w:spacing w:line="520" w:lineRule="exact"/>
        <w:ind w:firstLineChars="200" w:firstLine="640"/>
        <w:rPr>
          <w:rFonts w:eastAsia="仿宋_GB2312"/>
          <w:szCs w:val="32"/>
        </w:rPr>
      </w:pPr>
      <w:r>
        <w:rPr>
          <w:rFonts w:eastAsia="仿宋_GB2312"/>
          <w:szCs w:val="32"/>
        </w:rPr>
        <w:t>[7]</w:t>
      </w:r>
      <w:r>
        <w:rPr>
          <w:rFonts w:eastAsia="仿宋_GB2312"/>
          <w:szCs w:val="32"/>
        </w:rPr>
        <w:t>国家药品监督管理局</w:t>
      </w:r>
      <w:r>
        <w:rPr>
          <w:rFonts w:eastAsia="仿宋_GB2312"/>
          <w:szCs w:val="32"/>
        </w:rPr>
        <w:t>.</w:t>
      </w:r>
      <w:r>
        <w:rPr>
          <w:rFonts w:eastAsia="仿宋_GB2312"/>
          <w:szCs w:val="32"/>
        </w:rPr>
        <w:t>口腔科器械通用名称命名指导原则</w:t>
      </w:r>
      <w:r>
        <w:rPr>
          <w:rFonts w:eastAsia="仿宋_GB2312"/>
          <w:szCs w:val="32"/>
        </w:rPr>
        <w:t>:</w:t>
      </w:r>
      <w:r>
        <w:rPr>
          <w:rFonts w:eastAsia="仿宋_GB2312"/>
          <w:szCs w:val="32"/>
        </w:rPr>
        <w:t>国家药监局关于发布医用成像器械通用名称命名指导原则等</w:t>
      </w:r>
      <w:r>
        <w:rPr>
          <w:rFonts w:eastAsia="仿宋_GB2312"/>
          <w:szCs w:val="32"/>
        </w:rPr>
        <w:lastRenderedPageBreak/>
        <w:t>3</w:t>
      </w:r>
      <w:r>
        <w:rPr>
          <w:rFonts w:eastAsia="仿宋_GB2312"/>
          <w:szCs w:val="32"/>
        </w:rPr>
        <w:t>项指导原则的通告</w:t>
      </w:r>
      <w:r>
        <w:rPr>
          <w:rFonts w:eastAsia="仿宋_GB2312"/>
          <w:szCs w:val="32"/>
        </w:rPr>
        <w:t>2020</w:t>
      </w:r>
      <w:r>
        <w:rPr>
          <w:rFonts w:eastAsia="仿宋_GB2312"/>
          <w:szCs w:val="32"/>
        </w:rPr>
        <w:t>年第</w:t>
      </w:r>
      <w:r>
        <w:rPr>
          <w:rFonts w:eastAsia="仿宋_GB2312"/>
          <w:szCs w:val="32"/>
        </w:rPr>
        <w:t>41</w:t>
      </w:r>
      <w:r>
        <w:rPr>
          <w:rFonts w:eastAsia="仿宋_GB2312"/>
          <w:szCs w:val="32"/>
        </w:rPr>
        <w:t>号</w:t>
      </w:r>
      <w:r>
        <w:rPr>
          <w:rFonts w:eastAsia="仿宋_GB2312"/>
          <w:szCs w:val="32"/>
        </w:rPr>
        <w:t>[Z].</w:t>
      </w:r>
    </w:p>
    <w:p w14:paraId="58F80429" w14:textId="77777777" w:rsidR="00D862E2" w:rsidRDefault="006644C9">
      <w:pPr>
        <w:spacing w:line="520" w:lineRule="exact"/>
        <w:ind w:firstLineChars="200" w:firstLine="640"/>
        <w:rPr>
          <w:rFonts w:eastAsia="仿宋_GB2312"/>
          <w:szCs w:val="32"/>
        </w:rPr>
      </w:pPr>
      <w:r>
        <w:rPr>
          <w:rFonts w:eastAsia="仿宋_GB2312"/>
          <w:szCs w:val="32"/>
        </w:rPr>
        <w:t>[8]</w:t>
      </w:r>
      <w:r>
        <w:rPr>
          <w:rFonts w:eastAsia="仿宋_GB2312"/>
          <w:szCs w:val="32"/>
        </w:rPr>
        <w:t>国家药品监督管理局</w:t>
      </w:r>
      <w:r>
        <w:rPr>
          <w:rFonts w:eastAsia="仿宋_GB2312"/>
          <w:szCs w:val="32"/>
        </w:rPr>
        <w:t>.</w:t>
      </w:r>
      <w:r>
        <w:rPr>
          <w:rFonts w:eastAsia="仿宋_GB2312"/>
          <w:szCs w:val="32"/>
        </w:rPr>
        <w:t>医疗器械分类目录</w:t>
      </w:r>
      <w:r>
        <w:rPr>
          <w:rFonts w:eastAsia="仿宋_GB2312"/>
          <w:szCs w:val="32"/>
        </w:rPr>
        <w:t>:</w:t>
      </w:r>
      <w:r>
        <w:rPr>
          <w:rFonts w:eastAsia="仿宋_GB2312"/>
          <w:szCs w:val="32"/>
        </w:rPr>
        <w:t>总局关于发布医疗器械分类目录的公告</w:t>
      </w:r>
      <w:r>
        <w:rPr>
          <w:rFonts w:eastAsia="仿宋_GB2312"/>
          <w:szCs w:val="32"/>
        </w:rPr>
        <w:t>2017</w:t>
      </w:r>
      <w:r>
        <w:rPr>
          <w:rFonts w:eastAsia="仿宋_GB2312"/>
          <w:szCs w:val="32"/>
        </w:rPr>
        <w:t>年第</w:t>
      </w:r>
      <w:r>
        <w:rPr>
          <w:rFonts w:eastAsia="仿宋_GB2312"/>
          <w:szCs w:val="32"/>
        </w:rPr>
        <w:t>104</w:t>
      </w:r>
      <w:r>
        <w:rPr>
          <w:rFonts w:eastAsia="仿宋_GB2312"/>
          <w:szCs w:val="32"/>
        </w:rPr>
        <w:t>号</w:t>
      </w:r>
      <w:r>
        <w:rPr>
          <w:rFonts w:eastAsia="仿宋_GB2312"/>
          <w:szCs w:val="32"/>
        </w:rPr>
        <w:t>[Z].</w:t>
      </w:r>
    </w:p>
    <w:p w14:paraId="5AEA1C84" w14:textId="77777777" w:rsidR="00D862E2" w:rsidRDefault="006644C9">
      <w:pPr>
        <w:spacing w:line="520" w:lineRule="exact"/>
        <w:ind w:firstLineChars="200" w:firstLine="640"/>
        <w:rPr>
          <w:rFonts w:eastAsia="仿宋_GB2312"/>
          <w:szCs w:val="32"/>
        </w:rPr>
      </w:pPr>
      <w:r>
        <w:rPr>
          <w:rFonts w:eastAsia="仿宋_GB2312"/>
          <w:szCs w:val="32"/>
        </w:rPr>
        <w:t>[9]</w:t>
      </w:r>
      <w:r>
        <w:rPr>
          <w:rFonts w:eastAsia="仿宋_GB2312"/>
          <w:szCs w:val="32"/>
        </w:rPr>
        <w:t>国家药品监督管理局</w:t>
      </w:r>
      <w:r>
        <w:rPr>
          <w:rFonts w:eastAsia="仿宋_GB2312"/>
          <w:szCs w:val="32"/>
        </w:rPr>
        <w:t>.</w:t>
      </w:r>
      <w:r>
        <w:rPr>
          <w:rFonts w:eastAsia="仿宋_GB2312"/>
          <w:szCs w:val="32"/>
        </w:rPr>
        <w:t>医疗器械注册单元划分指导原则</w:t>
      </w:r>
      <w:r>
        <w:rPr>
          <w:rFonts w:eastAsia="仿宋_GB2312"/>
          <w:szCs w:val="32"/>
        </w:rPr>
        <w:t xml:space="preserve">: </w:t>
      </w:r>
      <w:r>
        <w:rPr>
          <w:rFonts w:eastAsia="仿宋_GB2312"/>
          <w:szCs w:val="32"/>
        </w:rPr>
        <w:t>总局关于发布医疗器械注册单元划分指导原则的通告</w:t>
      </w:r>
      <w:r>
        <w:rPr>
          <w:rFonts w:eastAsia="仿宋_GB2312"/>
          <w:szCs w:val="32"/>
        </w:rPr>
        <w:t>2017</w:t>
      </w:r>
      <w:r>
        <w:rPr>
          <w:rFonts w:eastAsia="仿宋_GB2312"/>
          <w:szCs w:val="32"/>
        </w:rPr>
        <w:t>年第</w:t>
      </w:r>
      <w:r>
        <w:rPr>
          <w:rFonts w:eastAsia="仿宋_GB2312"/>
          <w:szCs w:val="32"/>
        </w:rPr>
        <w:t>187</w:t>
      </w:r>
      <w:r>
        <w:rPr>
          <w:rFonts w:eastAsia="仿宋_GB2312"/>
          <w:szCs w:val="32"/>
        </w:rPr>
        <w:t>号</w:t>
      </w:r>
      <w:r>
        <w:rPr>
          <w:rFonts w:eastAsia="仿宋_GB2312"/>
          <w:szCs w:val="32"/>
        </w:rPr>
        <w:t>[Z].</w:t>
      </w:r>
    </w:p>
    <w:p w14:paraId="2A260ADB" w14:textId="77777777" w:rsidR="00D862E2" w:rsidRDefault="006644C9">
      <w:pPr>
        <w:spacing w:line="520" w:lineRule="exact"/>
        <w:ind w:firstLineChars="200" w:firstLine="640"/>
        <w:rPr>
          <w:rFonts w:eastAsia="仿宋_GB2312"/>
          <w:szCs w:val="32"/>
        </w:rPr>
      </w:pPr>
      <w:r>
        <w:rPr>
          <w:rFonts w:eastAsia="仿宋_GB2312"/>
          <w:szCs w:val="32"/>
        </w:rPr>
        <w:t>[10]</w:t>
      </w:r>
      <w:r>
        <w:rPr>
          <w:rFonts w:eastAsia="仿宋_GB2312"/>
          <w:szCs w:val="32"/>
        </w:rPr>
        <w:t>国家药品监督管理局</w:t>
      </w:r>
      <w:r>
        <w:rPr>
          <w:rFonts w:eastAsia="仿宋_GB2312"/>
          <w:szCs w:val="32"/>
        </w:rPr>
        <w:t>.</w:t>
      </w:r>
      <w:r>
        <w:rPr>
          <w:rFonts w:eastAsia="仿宋_GB2312"/>
          <w:szCs w:val="32"/>
        </w:rPr>
        <w:t>医疗器械产品技术要求编写指导原则</w:t>
      </w:r>
      <w:r>
        <w:rPr>
          <w:rFonts w:eastAsia="仿宋_GB2312"/>
          <w:szCs w:val="32"/>
        </w:rPr>
        <w:t>:</w:t>
      </w:r>
      <w:r>
        <w:rPr>
          <w:rFonts w:eastAsia="仿宋_GB2312"/>
          <w:szCs w:val="32"/>
        </w:rPr>
        <w:t>国家药监局关于发布医疗器械产品技术要求编写指导原则的通告</w:t>
      </w:r>
      <w:r>
        <w:rPr>
          <w:rFonts w:eastAsia="仿宋_GB2312"/>
          <w:szCs w:val="32"/>
        </w:rPr>
        <w:t>2022</w:t>
      </w:r>
      <w:r>
        <w:rPr>
          <w:rFonts w:eastAsia="仿宋_GB2312"/>
          <w:szCs w:val="32"/>
        </w:rPr>
        <w:t>年第</w:t>
      </w:r>
      <w:r>
        <w:rPr>
          <w:rFonts w:eastAsia="仿宋_GB2312"/>
          <w:szCs w:val="32"/>
        </w:rPr>
        <w:t>8</w:t>
      </w:r>
      <w:r>
        <w:rPr>
          <w:rFonts w:eastAsia="仿宋_GB2312"/>
          <w:szCs w:val="32"/>
        </w:rPr>
        <w:t>号</w:t>
      </w:r>
      <w:r>
        <w:rPr>
          <w:rFonts w:eastAsia="仿宋_GB2312"/>
          <w:szCs w:val="32"/>
        </w:rPr>
        <w:t>[Z].</w:t>
      </w:r>
    </w:p>
    <w:p w14:paraId="6421AFB1" w14:textId="77777777" w:rsidR="00D862E2" w:rsidRDefault="006644C9">
      <w:pPr>
        <w:spacing w:line="520" w:lineRule="exact"/>
        <w:ind w:firstLineChars="200" w:firstLine="640"/>
        <w:rPr>
          <w:rFonts w:eastAsia="仿宋_GB2312"/>
          <w:szCs w:val="32"/>
        </w:rPr>
      </w:pPr>
      <w:r>
        <w:rPr>
          <w:rFonts w:eastAsia="仿宋_GB2312"/>
          <w:szCs w:val="32"/>
        </w:rPr>
        <w:t>[11]</w:t>
      </w:r>
      <w:r>
        <w:rPr>
          <w:rFonts w:eastAsia="仿宋_GB2312"/>
          <w:szCs w:val="32"/>
        </w:rPr>
        <w:t>国家食品药品监督管理局</w:t>
      </w:r>
      <w:r>
        <w:rPr>
          <w:rFonts w:eastAsia="仿宋_GB2312"/>
          <w:szCs w:val="32"/>
        </w:rPr>
        <w:t>.</w:t>
      </w:r>
      <w:r>
        <w:rPr>
          <w:rFonts w:eastAsia="仿宋_GB2312"/>
          <w:szCs w:val="32"/>
        </w:rPr>
        <w:t>医疗器械生物学评价和审查指南</w:t>
      </w:r>
      <w:r>
        <w:rPr>
          <w:rFonts w:eastAsia="仿宋_GB2312"/>
          <w:szCs w:val="32"/>
        </w:rPr>
        <w:t>:</w:t>
      </w:r>
      <w:r>
        <w:rPr>
          <w:rFonts w:eastAsia="仿宋_GB2312"/>
          <w:szCs w:val="32"/>
        </w:rPr>
        <w:t>关于印发医疗器械生物学评价和审查指南的通知</w:t>
      </w:r>
      <w:r>
        <w:rPr>
          <w:rFonts w:eastAsia="仿宋_GB2312"/>
          <w:szCs w:val="32"/>
        </w:rPr>
        <w:t>2007</w:t>
      </w:r>
      <w:r>
        <w:rPr>
          <w:rFonts w:eastAsia="仿宋_GB2312"/>
          <w:szCs w:val="32"/>
        </w:rPr>
        <w:t>年第</w:t>
      </w:r>
      <w:r>
        <w:rPr>
          <w:rFonts w:eastAsia="仿宋_GB2312"/>
          <w:szCs w:val="32"/>
        </w:rPr>
        <w:t>345</w:t>
      </w:r>
      <w:r>
        <w:rPr>
          <w:rFonts w:eastAsia="仿宋_GB2312"/>
          <w:szCs w:val="32"/>
        </w:rPr>
        <w:t>号</w:t>
      </w:r>
      <w:r>
        <w:rPr>
          <w:rFonts w:eastAsia="仿宋_GB2312"/>
          <w:szCs w:val="32"/>
        </w:rPr>
        <w:t>[Z].</w:t>
      </w:r>
    </w:p>
    <w:p w14:paraId="32801FBF" w14:textId="77777777" w:rsidR="00D862E2" w:rsidRDefault="006644C9">
      <w:pPr>
        <w:spacing w:line="520" w:lineRule="exact"/>
        <w:ind w:firstLineChars="200" w:firstLine="640"/>
        <w:rPr>
          <w:rFonts w:eastAsia="仿宋_GB2312"/>
          <w:szCs w:val="32"/>
        </w:rPr>
      </w:pPr>
      <w:r>
        <w:rPr>
          <w:rFonts w:eastAsia="仿宋_GB2312"/>
          <w:szCs w:val="32"/>
        </w:rPr>
        <w:t>[12]</w:t>
      </w:r>
      <w:r>
        <w:rPr>
          <w:rFonts w:eastAsia="仿宋_GB2312"/>
          <w:szCs w:val="32"/>
        </w:rPr>
        <w:t>国家药品监督管理局</w:t>
      </w:r>
      <w:r>
        <w:rPr>
          <w:rFonts w:eastAsia="仿宋_GB2312"/>
          <w:szCs w:val="32"/>
        </w:rPr>
        <w:t>.</w:t>
      </w:r>
      <w:r>
        <w:rPr>
          <w:rFonts w:eastAsia="仿宋_GB2312"/>
          <w:szCs w:val="32"/>
        </w:rPr>
        <w:t>国家药监局关于发布免于进行临床评价医疗器械目录的通告</w:t>
      </w:r>
      <w:r>
        <w:rPr>
          <w:rFonts w:eastAsia="仿宋_GB2312"/>
          <w:szCs w:val="32"/>
        </w:rPr>
        <w:t>:</w:t>
      </w:r>
      <w:r>
        <w:rPr>
          <w:rFonts w:eastAsia="仿宋_GB2312"/>
          <w:szCs w:val="32"/>
        </w:rPr>
        <w:t>国家药品监督管理局通告</w:t>
      </w:r>
      <w:r>
        <w:rPr>
          <w:rFonts w:eastAsia="仿宋_GB2312"/>
          <w:szCs w:val="32"/>
        </w:rPr>
        <w:t>2025</w:t>
      </w:r>
      <w:r>
        <w:rPr>
          <w:rFonts w:eastAsia="仿宋_GB2312"/>
          <w:szCs w:val="32"/>
        </w:rPr>
        <w:t>年第</w:t>
      </w:r>
      <w:r>
        <w:rPr>
          <w:rFonts w:eastAsia="仿宋_GB2312"/>
          <w:szCs w:val="32"/>
        </w:rPr>
        <w:t>19</w:t>
      </w:r>
      <w:r>
        <w:rPr>
          <w:rFonts w:eastAsia="仿宋_GB2312"/>
          <w:szCs w:val="32"/>
        </w:rPr>
        <w:t>号</w:t>
      </w:r>
      <w:r>
        <w:rPr>
          <w:rFonts w:eastAsia="仿宋_GB2312"/>
          <w:szCs w:val="32"/>
        </w:rPr>
        <w:t>[Z].</w:t>
      </w:r>
    </w:p>
    <w:p w14:paraId="3F00AB55" w14:textId="77777777" w:rsidR="00D862E2" w:rsidRDefault="006644C9">
      <w:pPr>
        <w:spacing w:line="520" w:lineRule="exact"/>
        <w:ind w:firstLineChars="200" w:firstLine="640"/>
        <w:rPr>
          <w:rFonts w:eastAsia="仿宋_GB2312"/>
          <w:szCs w:val="32"/>
        </w:rPr>
      </w:pPr>
      <w:r>
        <w:rPr>
          <w:rFonts w:eastAsia="仿宋_GB2312"/>
          <w:szCs w:val="32"/>
        </w:rPr>
        <w:t>[13]</w:t>
      </w:r>
      <w:r>
        <w:rPr>
          <w:rFonts w:eastAsia="仿宋_GB2312"/>
          <w:szCs w:val="32"/>
        </w:rPr>
        <w:t>国家药品监督管理局</w:t>
      </w:r>
      <w:r>
        <w:rPr>
          <w:rFonts w:eastAsia="仿宋_GB2312"/>
          <w:szCs w:val="32"/>
        </w:rPr>
        <w:t>.</w:t>
      </w:r>
      <w:r>
        <w:rPr>
          <w:rFonts w:eastAsia="仿宋_GB2312"/>
          <w:szCs w:val="32"/>
        </w:rPr>
        <w:t>医疗器械临床评价技术指导原则</w:t>
      </w:r>
      <w:r>
        <w:rPr>
          <w:rFonts w:eastAsia="仿宋_GB2312"/>
          <w:szCs w:val="32"/>
        </w:rPr>
        <w:t>:</w:t>
      </w:r>
      <w:r>
        <w:rPr>
          <w:rFonts w:eastAsia="仿宋_GB2312"/>
          <w:szCs w:val="32"/>
        </w:rPr>
        <w:t>国家药监局关于发布医疗器械临床评价技术指导原则等</w:t>
      </w:r>
      <w:r>
        <w:rPr>
          <w:rFonts w:eastAsia="仿宋_GB2312"/>
          <w:szCs w:val="32"/>
        </w:rPr>
        <w:t>5</w:t>
      </w:r>
      <w:r>
        <w:rPr>
          <w:rFonts w:eastAsia="仿宋_GB2312"/>
          <w:szCs w:val="32"/>
        </w:rPr>
        <w:t>项技术指导原则的通告</w:t>
      </w:r>
      <w:r>
        <w:rPr>
          <w:rFonts w:eastAsia="仿宋_GB2312"/>
          <w:szCs w:val="32"/>
        </w:rPr>
        <w:t>2021</w:t>
      </w:r>
      <w:r>
        <w:rPr>
          <w:rFonts w:eastAsia="仿宋_GB2312"/>
          <w:szCs w:val="32"/>
        </w:rPr>
        <w:t>年第</w:t>
      </w:r>
      <w:r>
        <w:rPr>
          <w:rFonts w:eastAsia="仿宋_GB2312"/>
          <w:szCs w:val="32"/>
        </w:rPr>
        <w:t>73</w:t>
      </w:r>
      <w:r>
        <w:rPr>
          <w:rFonts w:eastAsia="仿宋_GB2312"/>
          <w:szCs w:val="32"/>
        </w:rPr>
        <w:t>号</w:t>
      </w:r>
      <w:r>
        <w:rPr>
          <w:rFonts w:eastAsia="仿宋_GB2312"/>
          <w:szCs w:val="32"/>
        </w:rPr>
        <w:t>[Z].</w:t>
      </w:r>
    </w:p>
    <w:p w14:paraId="45F3990B" w14:textId="77777777" w:rsidR="00D862E2" w:rsidRDefault="006644C9">
      <w:pPr>
        <w:spacing w:line="520" w:lineRule="exact"/>
        <w:ind w:firstLineChars="200" w:firstLine="640"/>
        <w:rPr>
          <w:rFonts w:eastAsia="仿宋_GB2312"/>
          <w:szCs w:val="32"/>
        </w:rPr>
      </w:pPr>
      <w:bookmarkStart w:id="2" w:name="OLE_LINK8"/>
      <w:r>
        <w:rPr>
          <w:rFonts w:eastAsia="仿宋_GB2312"/>
          <w:szCs w:val="32"/>
        </w:rPr>
        <w:t>[14]</w:t>
      </w:r>
      <w:bookmarkStart w:id="3" w:name="OLE_LINK3"/>
      <w:r>
        <w:rPr>
          <w:rFonts w:eastAsia="仿宋_GB2312"/>
          <w:szCs w:val="32"/>
        </w:rPr>
        <w:t>YY/T 0826-2011</w:t>
      </w:r>
      <w:bookmarkEnd w:id="3"/>
      <w:r>
        <w:rPr>
          <w:rFonts w:eastAsia="仿宋_GB2312"/>
          <w:szCs w:val="32"/>
        </w:rPr>
        <w:t>,</w:t>
      </w:r>
      <w:r>
        <w:rPr>
          <w:rFonts w:eastAsia="仿宋_GB2312"/>
          <w:szCs w:val="32"/>
        </w:rPr>
        <w:t>牙科临时聚合物基冠桥材料</w:t>
      </w:r>
      <w:r>
        <w:rPr>
          <w:rFonts w:eastAsia="仿宋_GB2312"/>
          <w:szCs w:val="32"/>
        </w:rPr>
        <w:t>[S].</w:t>
      </w:r>
    </w:p>
    <w:p w14:paraId="0E7A5DAD" w14:textId="77777777" w:rsidR="00D862E2" w:rsidRDefault="006644C9">
      <w:pPr>
        <w:spacing w:line="520" w:lineRule="exact"/>
        <w:ind w:firstLineChars="200" w:firstLine="640"/>
        <w:rPr>
          <w:rFonts w:eastAsia="仿宋_GB2312"/>
          <w:szCs w:val="32"/>
        </w:rPr>
      </w:pPr>
      <w:r>
        <w:rPr>
          <w:rFonts w:eastAsia="仿宋_GB2312"/>
          <w:szCs w:val="32"/>
        </w:rPr>
        <w:t>[15]GB/T 16886,</w:t>
      </w:r>
      <w:r>
        <w:rPr>
          <w:rFonts w:eastAsia="仿宋_GB2312"/>
          <w:szCs w:val="32"/>
        </w:rPr>
        <w:t>医疗器械生物学评价系列标准</w:t>
      </w:r>
      <w:r>
        <w:rPr>
          <w:rFonts w:eastAsia="仿宋_GB2312"/>
          <w:szCs w:val="32"/>
        </w:rPr>
        <w:t>[S].</w:t>
      </w:r>
    </w:p>
    <w:p w14:paraId="230886B4" w14:textId="77777777" w:rsidR="00D862E2" w:rsidRDefault="006644C9">
      <w:pPr>
        <w:spacing w:line="520" w:lineRule="exact"/>
        <w:ind w:firstLineChars="200" w:firstLine="640"/>
        <w:rPr>
          <w:rFonts w:eastAsia="仿宋_GB2312"/>
          <w:szCs w:val="32"/>
        </w:rPr>
      </w:pPr>
      <w:r>
        <w:rPr>
          <w:rFonts w:eastAsia="仿宋_GB2312"/>
          <w:szCs w:val="32"/>
        </w:rPr>
        <w:t>[16]YY/T 0268-2008,</w:t>
      </w:r>
      <w:r>
        <w:rPr>
          <w:rFonts w:eastAsia="仿宋_GB2312"/>
          <w:szCs w:val="32"/>
        </w:rPr>
        <w:t>牙科学</w:t>
      </w:r>
      <w:r>
        <w:rPr>
          <w:rFonts w:eastAsia="仿宋_GB2312"/>
          <w:szCs w:val="32"/>
        </w:rPr>
        <w:t xml:space="preserve"> </w:t>
      </w:r>
      <w:r>
        <w:rPr>
          <w:rFonts w:eastAsia="仿宋_GB2312"/>
          <w:szCs w:val="32"/>
        </w:rPr>
        <w:t>口腔医疗器械生物学评价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单元：评价与试验</w:t>
      </w:r>
      <w:r>
        <w:rPr>
          <w:rFonts w:eastAsia="仿宋_GB2312"/>
          <w:szCs w:val="32"/>
        </w:rPr>
        <w:t>[S].</w:t>
      </w:r>
    </w:p>
    <w:p w14:paraId="129D67C7" w14:textId="77777777" w:rsidR="00D862E2" w:rsidRDefault="006644C9">
      <w:pPr>
        <w:spacing w:line="520" w:lineRule="exact"/>
        <w:ind w:firstLineChars="200" w:firstLine="640"/>
        <w:rPr>
          <w:rFonts w:eastAsia="仿宋_GB2312"/>
          <w:szCs w:val="32"/>
        </w:rPr>
      </w:pPr>
      <w:r>
        <w:rPr>
          <w:rFonts w:eastAsia="仿宋_GB2312"/>
          <w:szCs w:val="32"/>
        </w:rPr>
        <w:t>[17] GB/T 42062-2022,</w:t>
      </w:r>
      <w:r>
        <w:rPr>
          <w:rFonts w:eastAsia="仿宋_GB2312"/>
          <w:szCs w:val="32"/>
        </w:rPr>
        <w:t>医疗器械</w:t>
      </w:r>
      <w:r>
        <w:rPr>
          <w:rFonts w:eastAsia="仿宋_GB2312"/>
          <w:szCs w:val="32"/>
        </w:rPr>
        <w:t xml:space="preserve"> </w:t>
      </w:r>
      <w:r>
        <w:rPr>
          <w:rFonts w:eastAsia="仿宋_GB2312"/>
          <w:szCs w:val="32"/>
        </w:rPr>
        <w:t>风险管理对医疗器械的应用</w:t>
      </w:r>
      <w:r>
        <w:rPr>
          <w:rFonts w:eastAsia="仿宋_GB2312"/>
          <w:szCs w:val="32"/>
        </w:rPr>
        <w:t>[S].</w:t>
      </w:r>
    </w:p>
    <w:p w14:paraId="6A7B2A11" w14:textId="77777777" w:rsidR="00D862E2" w:rsidRDefault="006644C9">
      <w:pPr>
        <w:spacing w:line="520" w:lineRule="exact"/>
        <w:ind w:firstLineChars="200" w:firstLine="640"/>
        <w:rPr>
          <w:rFonts w:eastAsia="仿宋_GB2312"/>
          <w:szCs w:val="32"/>
        </w:rPr>
      </w:pPr>
      <w:r>
        <w:rPr>
          <w:rFonts w:eastAsia="仿宋_GB2312"/>
          <w:szCs w:val="32"/>
        </w:rPr>
        <w:lastRenderedPageBreak/>
        <w:t>[18]YY/T 0466.1-2023,</w:t>
      </w:r>
      <w:r>
        <w:rPr>
          <w:rFonts w:eastAsia="仿宋_GB2312"/>
          <w:szCs w:val="32"/>
        </w:rPr>
        <w:t>医疗器械</w:t>
      </w:r>
      <w:r>
        <w:rPr>
          <w:rFonts w:eastAsia="仿宋_GB2312"/>
          <w:szCs w:val="32"/>
        </w:rPr>
        <w:t xml:space="preserve"> </w:t>
      </w:r>
      <w:r>
        <w:rPr>
          <w:rFonts w:eastAsia="仿宋_GB2312"/>
          <w:szCs w:val="32"/>
        </w:rPr>
        <w:t>用于制造商提供信息的符号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部分：通用要求</w:t>
      </w:r>
      <w:r>
        <w:rPr>
          <w:rFonts w:eastAsia="仿宋_GB2312"/>
          <w:szCs w:val="32"/>
        </w:rPr>
        <w:t>[S].</w:t>
      </w:r>
    </w:p>
    <w:p w14:paraId="4608616C" w14:textId="77777777" w:rsidR="00D862E2" w:rsidRDefault="006644C9">
      <w:pPr>
        <w:spacing w:line="520" w:lineRule="exact"/>
        <w:ind w:firstLineChars="200" w:firstLine="640"/>
        <w:rPr>
          <w:rFonts w:eastAsia="仿宋_GB2312"/>
          <w:szCs w:val="32"/>
        </w:rPr>
      </w:pPr>
      <w:r>
        <w:rPr>
          <w:rFonts w:eastAsia="仿宋_GB2312"/>
          <w:szCs w:val="32"/>
        </w:rPr>
        <w:t>[19]YY/T 0681,</w:t>
      </w:r>
      <w:r>
        <w:rPr>
          <w:rFonts w:eastAsia="仿宋_GB2312"/>
          <w:szCs w:val="32"/>
        </w:rPr>
        <w:t>无菌医疗器械包装试验方法系列标准</w:t>
      </w:r>
      <w:r>
        <w:rPr>
          <w:rFonts w:eastAsia="仿宋_GB2312"/>
          <w:szCs w:val="32"/>
        </w:rPr>
        <w:t>[S].</w:t>
      </w:r>
    </w:p>
    <w:p w14:paraId="3957E26D" w14:textId="77777777" w:rsidR="00D862E2" w:rsidRDefault="006644C9">
      <w:pPr>
        <w:spacing w:line="520" w:lineRule="exact"/>
        <w:ind w:firstLineChars="200" w:firstLine="640"/>
        <w:rPr>
          <w:rFonts w:eastAsia="仿宋_GB2312"/>
          <w:szCs w:val="32"/>
        </w:rPr>
      </w:pPr>
      <w:r>
        <w:rPr>
          <w:rFonts w:eastAsia="仿宋_GB2312"/>
          <w:szCs w:val="32"/>
        </w:rPr>
        <w:t>[20]</w:t>
      </w:r>
      <w:bookmarkStart w:id="4" w:name="OLE_LINK6"/>
      <w:r>
        <w:rPr>
          <w:rFonts w:eastAsia="仿宋_GB2312"/>
          <w:szCs w:val="32"/>
        </w:rPr>
        <w:t>GB/T 4857</w:t>
      </w:r>
      <w:bookmarkEnd w:id="4"/>
      <w:r>
        <w:rPr>
          <w:rFonts w:eastAsia="仿宋_GB2312"/>
          <w:szCs w:val="32"/>
        </w:rPr>
        <w:t>,</w:t>
      </w:r>
      <w:r>
        <w:rPr>
          <w:rFonts w:eastAsia="仿宋_GB2312"/>
          <w:szCs w:val="32"/>
        </w:rPr>
        <w:t>包装</w:t>
      </w:r>
      <w:r>
        <w:rPr>
          <w:rFonts w:eastAsia="仿宋_GB2312"/>
          <w:szCs w:val="32"/>
        </w:rPr>
        <w:t xml:space="preserve"> </w:t>
      </w:r>
      <w:r>
        <w:rPr>
          <w:rFonts w:eastAsia="仿宋_GB2312"/>
          <w:szCs w:val="32"/>
        </w:rPr>
        <w:t>运输包装件基本试验系列标准</w:t>
      </w:r>
      <w:r>
        <w:rPr>
          <w:rFonts w:eastAsia="仿宋_GB2312"/>
          <w:szCs w:val="32"/>
        </w:rPr>
        <w:t>[S].</w:t>
      </w:r>
      <w:bookmarkEnd w:id="2"/>
    </w:p>
    <w:p w14:paraId="67D3C1A2" w14:textId="77777777" w:rsidR="00D862E2" w:rsidRDefault="006644C9">
      <w:pPr>
        <w:spacing w:line="520" w:lineRule="exact"/>
        <w:ind w:firstLineChars="200" w:firstLine="640"/>
        <w:rPr>
          <w:rFonts w:eastAsia="仿宋_GB2312"/>
          <w:szCs w:val="32"/>
        </w:rPr>
      </w:pPr>
      <w:r>
        <w:rPr>
          <w:rFonts w:eastAsia="仿宋_GB2312"/>
          <w:szCs w:val="32"/>
        </w:rPr>
        <w:t>[21]YY/T 1936-2024,</w:t>
      </w:r>
      <w:r>
        <w:rPr>
          <w:rFonts w:eastAsia="仿宋_GB2312"/>
          <w:szCs w:val="32"/>
        </w:rPr>
        <w:t>定制式固定义齿</w:t>
      </w:r>
      <w:r>
        <w:rPr>
          <w:rFonts w:eastAsia="仿宋_GB2312"/>
          <w:szCs w:val="32"/>
        </w:rPr>
        <w:t>[S].</w:t>
      </w:r>
    </w:p>
    <w:p w14:paraId="3A07DCCC" w14:textId="77777777" w:rsidR="00D862E2" w:rsidRDefault="006644C9">
      <w:pPr>
        <w:spacing w:line="520" w:lineRule="exact"/>
        <w:ind w:firstLineChars="200" w:firstLine="640"/>
        <w:rPr>
          <w:rFonts w:eastAsia="仿宋_GB2312"/>
          <w:spacing w:val="-1"/>
          <w:szCs w:val="32"/>
        </w:rPr>
      </w:pPr>
      <w:r>
        <w:rPr>
          <w:rFonts w:eastAsia="仿宋_GB2312"/>
          <w:szCs w:val="32"/>
        </w:rPr>
        <w:t>[22]T/CAMDI 086-2022,</w:t>
      </w:r>
      <w:r>
        <w:rPr>
          <w:rFonts w:eastAsia="仿宋_GB2312"/>
          <w:szCs w:val="32"/>
        </w:rPr>
        <w:t>增材制造（光固化）临时冠桥树脂</w:t>
      </w:r>
      <w:r>
        <w:rPr>
          <w:rFonts w:eastAsia="仿宋_GB2312"/>
          <w:szCs w:val="32"/>
        </w:rPr>
        <w:t>[S].</w:t>
      </w:r>
      <w:r>
        <w:rPr>
          <w:rFonts w:eastAsia="仿宋_GB2312"/>
          <w:spacing w:val="-1"/>
          <w:szCs w:val="32"/>
        </w:rPr>
        <w:br w:type="page"/>
      </w:r>
    </w:p>
    <w:p w14:paraId="6BD73C14" w14:textId="42EFB077" w:rsidR="00D862E2" w:rsidRDefault="006644C9">
      <w:pPr>
        <w:spacing w:line="520" w:lineRule="exact"/>
        <w:ind w:rightChars="-32" w:right="-102"/>
        <w:jc w:val="left"/>
        <w:rPr>
          <w:rFonts w:eastAsia="黑体"/>
          <w:szCs w:val="32"/>
        </w:rPr>
      </w:pPr>
      <w:r>
        <w:rPr>
          <w:rFonts w:eastAsia="黑体"/>
          <w:szCs w:val="32"/>
        </w:rPr>
        <w:lastRenderedPageBreak/>
        <w:t>附件</w:t>
      </w:r>
    </w:p>
    <w:p w14:paraId="5631FDDE" w14:textId="77777777" w:rsidR="00BB20AF" w:rsidRPr="00BB20AF" w:rsidRDefault="00BB20AF" w:rsidP="00BB20AF">
      <w:pPr>
        <w:pStyle w:val="a0"/>
      </w:pPr>
    </w:p>
    <w:p w14:paraId="61911B80" w14:textId="77777777" w:rsidR="00D862E2" w:rsidRDefault="006644C9">
      <w:pPr>
        <w:spacing w:line="520" w:lineRule="exact"/>
        <w:ind w:rightChars="-32" w:right="-102"/>
        <w:jc w:val="center"/>
        <w:rPr>
          <w:rFonts w:eastAsia="Arial Unicode MS"/>
          <w:sz w:val="44"/>
          <w:szCs w:val="44"/>
        </w:rPr>
      </w:pPr>
      <w:r>
        <w:rPr>
          <w:rFonts w:eastAsia="方正小标宋简体"/>
          <w:sz w:val="44"/>
        </w:rPr>
        <w:t>临时冠</w:t>
      </w:r>
      <w:r>
        <w:rPr>
          <w:rFonts w:eastAsia="方正小标宋简体"/>
          <w:sz w:val="44"/>
        </w:rPr>
        <w:t>/</w:t>
      </w:r>
      <w:r>
        <w:rPr>
          <w:rFonts w:eastAsia="方正小标宋简体"/>
          <w:sz w:val="44"/>
        </w:rPr>
        <w:t>桥产品的主要危害举例</w:t>
      </w: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156"/>
        <w:gridCol w:w="3885"/>
        <w:gridCol w:w="2845"/>
      </w:tblGrid>
      <w:tr w:rsidR="00D862E2" w14:paraId="37968766" w14:textId="77777777">
        <w:trPr>
          <w:trHeight w:val="328"/>
          <w:jc w:val="center"/>
        </w:trPr>
        <w:tc>
          <w:tcPr>
            <w:tcW w:w="2217" w:type="dxa"/>
            <w:gridSpan w:val="2"/>
            <w:vAlign w:val="center"/>
          </w:tcPr>
          <w:p w14:paraId="2616B07C" w14:textId="77777777" w:rsidR="00D862E2" w:rsidRDefault="006644C9">
            <w:pPr>
              <w:spacing w:line="520" w:lineRule="exact"/>
              <w:ind w:firstLineChars="200" w:firstLine="558"/>
              <w:rPr>
                <w:rFonts w:eastAsia="仿宋_GB2312"/>
                <w:b/>
                <w:bCs/>
                <w:spacing w:val="-1"/>
                <w:sz w:val="28"/>
                <w:szCs w:val="28"/>
              </w:rPr>
            </w:pPr>
            <w:r>
              <w:rPr>
                <w:rFonts w:eastAsia="仿宋_GB2312"/>
                <w:b/>
                <w:bCs/>
                <w:spacing w:val="-1"/>
                <w:sz w:val="28"/>
                <w:szCs w:val="28"/>
              </w:rPr>
              <w:t>危害分类</w:t>
            </w:r>
          </w:p>
        </w:tc>
        <w:tc>
          <w:tcPr>
            <w:tcW w:w="3885" w:type="dxa"/>
            <w:vAlign w:val="center"/>
          </w:tcPr>
          <w:p w14:paraId="704F3D51" w14:textId="77777777" w:rsidR="00D862E2" w:rsidRDefault="006644C9">
            <w:pPr>
              <w:spacing w:line="520" w:lineRule="exact"/>
              <w:ind w:firstLineChars="200" w:firstLine="558"/>
              <w:rPr>
                <w:rFonts w:eastAsia="仿宋_GB2312"/>
                <w:b/>
                <w:bCs/>
                <w:spacing w:val="-1"/>
                <w:sz w:val="28"/>
                <w:szCs w:val="28"/>
              </w:rPr>
            </w:pPr>
            <w:r>
              <w:rPr>
                <w:rFonts w:eastAsia="仿宋_GB2312"/>
                <w:b/>
                <w:bCs/>
                <w:spacing w:val="-1"/>
                <w:sz w:val="28"/>
                <w:szCs w:val="28"/>
              </w:rPr>
              <w:t>危害形成的因素</w:t>
            </w:r>
          </w:p>
        </w:tc>
        <w:tc>
          <w:tcPr>
            <w:tcW w:w="2845" w:type="dxa"/>
            <w:vAlign w:val="center"/>
          </w:tcPr>
          <w:p w14:paraId="009194AC" w14:textId="77777777" w:rsidR="00D862E2" w:rsidRDefault="006644C9">
            <w:pPr>
              <w:spacing w:line="520" w:lineRule="exact"/>
              <w:ind w:firstLineChars="200" w:firstLine="558"/>
              <w:rPr>
                <w:rFonts w:eastAsia="仿宋_GB2312"/>
                <w:b/>
                <w:bCs/>
                <w:spacing w:val="-1"/>
                <w:sz w:val="28"/>
                <w:szCs w:val="28"/>
              </w:rPr>
            </w:pPr>
            <w:r>
              <w:rPr>
                <w:rFonts w:eastAsia="仿宋_GB2312"/>
                <w:b/>
                <w:bCs/>
                <w:spacing w:val="-1"/>
                <w:sz w:val="28"/>
                <w:szCs w:val="28"/>
              </w:rPr>
              <w:t>可能的后果</w:t>
            </w:r>
          </w:p>
        </w:tc>
      </w:tr>
      <w:tr w:rsidR="00D862E2" w14:paraId="2ACE77A8" w14:textId="77777777">
        <w:trPr>
          <w:trHeight w:val="839"/>
          <w:jc w:val="center"/>
        </w:trPr>
        <w:tc>
          <w:tcPr>
            <w:tcW w:w="1061" w:type="dxa"/>
            <w:vMerge w:val="restart"/>
            <w:vAlign w:val="center"/>
          </w:tcPr>
          <w:p w14:paraId="7ADD5422" w14:textId="77777777" w:rsidR="00D862E2" w:rsidRDefault="006644C9">
            <w:pPr>
              <w:spacing w:line="520" w:lineRule="exact"/>
              <w:rPr>
                <w:rFonts w:eastAsia="仿宋_GB2312"/>
                <w:spacing w:val="-1"/>
                <w:sz w:val="28"/>
                <w:szCs w:val="28"/>
              </w:rPr>
            </w:pPr>
            <w:r>
              <w:rPr>
                <w:rFonts w:eastAsia="仿宋_GB2312"/>
                <w:spacing w:val="-1"/>
                <w:sz w:val="28"/>
                <w:szCs w:val="28"/>
              </w:rPr>
              <w:t>生物学危害</w:t>
            </w:r>
          </w:p>
        </w:tc>
        <w:tc>
          <w:tcPr>
            <w:tcW w:w="1156" w:type="dxa"/>
            <w:vAlign w:val="center"/>
          </w:tcPr>
          <w:p w14:paraId="324FE796" w14:textId="77777777" w:rsidR="00D862E2" w:rsidRDefault="006644C9">
            <w:pPr>
              <w:spacing w:line="520" w:lineRule="exact"/>
              <w:rPr>
                <w:rFonts w:eastAsia="仿宋_GB2312"/>
                <w:spacing w:val="-1"/>
                <w:sz w:val="28"/>
                <w:szCs w:val="28"/>
              </w:rPr>
            </w:pPr>
            <w:r>
              <w:rPr>
                <w:rFonts w:eastAsia="仿宋_GB2312"/>
                <w:spacing w:val="-1"/>
                <w:sz w:val="28"/>
                <w:szCs w:val="28"/>
              </w:rPr>
              <w:t>生物不相容性</w:t>
            </w:r>
          </w:p>
        </w:tc>
        <w:tc>
          <w:tcPr>
            <w:tcW w:w="3885" w:type="dxa"/>
            <w:vAlign w:val="center"/>
          </w:tcPr>
          <w:p w14:paraId="7578A24A"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用于生产加工临时冠</w:t>
            </w:r>
            <w:r>
              <w:rPr>
                <w:rFonts w:eastAsia="仿宋_GB2312"/>
                <w:spacing w:val="-1"/>
                <w:sz w:val="28"/>
                <w:szCs w:val="28"/>
              </w:rPr>
              <w:t>/</w:t>
            </w:r>
            <w:r>
              <w:rPr>
                <w:rFonts w:eastAsia="仿宋_GB2312"/>
                <w:spacing w:val="-1"/>
                <w:sz w:val="28"/>
                <w:szCs w:val="28"/>
              </w:rPr>
              <w:t>桥的材料，不具有良好的生物相容性。</w:t>
            </w:r>
          </w:p>
          <w:p w14:paraId="4DBDEE5D"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推荐的消毒方法导致材料发生变化不具有良好的生物相容性。</w:t>
            </w:r>
          </w:p>
        </w:tc>
        <w:tc>
          <w:tcPr>
            <w:tcW w:w="2845" w:type="dxa"/>
            <w:vAlign w:val="center"/>
          </w:tcPr>
          <w:p w14:paraId="1B72E95F"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产生毒性、刺激等反应，如牙龈刺激、红肿等。</w:t>
            </w:r>
          </w:p>
        </w:tc>
      </w:tr>
      <w:tr w:rsidR="00D862E2" w14:paraId="4E9D38E4" w14:textId="77777777">
        <w:trPr>
          <w:trHeight w:val="839"/>
          <w:jc w:val="center"/>
        </w:trPr>
        <w:tc>
          <w:tcPr>
            <w:tcW w:w="1061" w:type="dxa"/>
            <w:vMerge/>
            <w:vAlign w:val="center"/>
          </w:tcPr>
          <w:p w14:paraId="65D74678" w14:textId="77777777" w:rsidR="00D862E2" w:rsidRDefault="00D862E2">
            <w:pPr>
              <w:spacing w:line="520" w:lineRule="exact"/>
              <w:ind w:firstLineChars="200" w:firstLine="556"/>
              <w:rPr>
                <w:rFonts w:eastAsia="仿宋_GB2312"/>
                <w:spacing w:val="-1"/>
                <w:sz w:val="28"/>
                <w:szCs w:val="28"/>
              </w:rPr>
            </w:pPr>
          </w:p>
        </w:tc>
        <w:tc>
          <w:tcPr>
            <w:tcW w:w="1156" w:type="dxa"/>
            <w:vAlign w:val="center"/>
          </w:tcPr>
          <w:p w14:paraId="5E9A4593" w14:textId="77777777" w:rsidR="00D862E2" w:rsidRDefault="006644C9">
            <w:pPr>
              <w:spacing w:line="520" w:lineRule="exact"/>
              <w:rPr>
                <w:rFonts w:eastAsia="仿宋_GB2312"/>
                <w:spacing w:val="-1"/>
                <w:sz w:val="28"/>
                <w:szCs w:val="28"/>
              </w:rPr>
            </w:pPr>
            <w:r>
              <w:rPr>
                <w:rFonts w:eastAsia="仿宋_GB2312"/>
                <w:spacing w:val="-1"/>
                <w:sz w:val="28"/>
                <w:szCs w:val="28"/>
              </w:rPr>
              <w:t>材料过敏</w:t>
            </w:r>
          </w:p>
        </w:tc>
        <w:tc>
          <w:tcPr>
            <w:tcW w:w="3885" w:type="dxa"/>
            <w:vAlign w:val="center"/>
          </w:tcPr>
          <w:p w14:paraId="1546FBDE"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使用前未了解患者过敏史，未在说明书中警示；或材料的金属有害元素超标。</w:t>
            </w:r>
          </w:p>
        </w:tc>
        <w:tc>
          <w:tcPr>
            <w:tcW w:w="2845" w:type="dxa"/>
            <w:vAlign w:val="center"/>
          </w:tcPr>
          <w:p w14:paraId="10768E97"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引起患者过敏</w:t>
            </w:r>
          </w:p>
        </w:tc>
      </w:tr>
      <w:tr w:rsidR="00D862E2" w14:paraId="2A3E71AA" w14:textId="77777777">
        <w:trPr>
          <w:trHeight w:val="839"/>
          <w:jc w:val="center"/>
        </w:trPr>
        <w:tc>
          <w:tcPr>
            <w:tcW w:w="1061" w:type="dxa"/>
            <w:vMerge/>
            <w:vAlign w:val="center"/>
          </w:tcPr>
          <w:p w14:paraId="191C95F6" w14:textId="77777777" w:rsidR="00D862E2" w:rsidRDefault="00D862E2">
            <w:pPr>
              <w:spacing w:line="520" w:lineRule="exact"/>
              <w:ind w:firstLineChars="200" w:firstLine="556"/>
              <w:rPr>
                <w:rFonts w:eastAsia="仿宋_GB2312"/>
                <w:spacing w:val="-1"/>
                <w:sz w:val="28"/>
                <w:szCs w:val="28"/>
              </w:rPr>
            </w:pPr>
          </w:p>
        </w:tc>
        <w:tc>
          <w:tcPr>
            <w:tcW w:w="1156" w:type="dxa"/>
            <w:vAlign w:val="center"/>
          </w:tcPr>
          <w:p w14:paraId="02CB47C9" w14:textId="77777777" w:rsidR="00D862E2" w:rsidRDefault="006644C9">
            <w:pPr>
              <w:spacing w:line="520" w:lineRule="exact"/>
              <w:rPr>
                <w:rFonts w:eastAsia="仿宋_GB2312"/>
                <w:spacing w:val="-1"/>
                <w:sz w:val="28"/>
                <w:szCs w:val="28"/>
              </w:rPr>
            </w:pPr>
            <w:r>
              <w:rPr>
                <w:rFonts w:eastAsia="仿宋_GB2312"/>
                <w:spacing w:val="-1"/>
                <w:sz w:val="28"/>
                <w:szCs w:val="28"/>
              </w:rPr>
              <w:t>再感染和</w:t>
            </w:r>
            <w:r>
              <w:rPr>
                <w:rFonts w:eastAsia="仿宋_GB2312"/>
                <w:spacing w:val="-1"/>
                <w:sz w:val="28"/>
                <w:szCs w:val="28"/>
              </w:rPr>
              <w:t>/</w:t>
            </w:r>
            <w:r>
              <w:rPr>
                <w:rFonts w:eastAsia="仿宋_GB2312"/>
                <w:spacing w:val="-1"/>
                <w:sz w:val="28"/>
                <w:szCs w:val="28"/>
              </w:rPr>
              <w:t>或交叉感染</w:t>
            </w:r>
          </w:p>
        </w:tc>
        <w:tc>
          <w:tcPr>
            <w:tcW w:w="3885" w:type="dxa"/>
            <w:vAlign w:val="center"/>
          </w:tcPr>
          <w:p w14:paraId="305C248F"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使用前未有效清洁、消毒；设计单上标记与模型不一一对应，标识不清。</w:t>
            </w:r>
          </w:p>
        </w:tc>
        <w:tc>
          <w:tcPr>
            <w:tcW w:w="2845" w:type="dxa"/>
            <w:vAlign w:val="center"/>
          </w:tcPr>
          <w:p w14:paraId="10B6705A"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引起患者局部、交叉感染。</w:t>
            </w:r>
          </w:p>
        </w:tc>
      </w:tr>
      <w:tr w:rsidR="00D862E2" w14:paraId="416D97FE" w14:textId="77777777">
        <w:trPr>
          <w:trHeight w:val="841"/>
          <w:jc w:val="center"/>
        </w:trPr>
        <w:tc>
          <w:tcPr>
            <w:tcW w:w="1061" w:type="dxa"/>
            <w:vMerge w:val="restart"/>
            <w:vAlign w:val="center"/>
          </w:tcPr>
          <w:p w14:paraId="1D0173D2" w14:textId="77777777" w:rsidR="00D862E2" w:rsidRDefault="006644C9">
            <w:pPr>
              <w:spacing w:line="520" w:lineRule="exact"/>
              <w:rPr>
                <w:rFonts w:eastAsia="仿宋_GB2312"/>
                <w:spacing w:val="-1"/>
                <w:sz w:val="28"/>
                <w:szCs w:val="28"/>
              </w:rPr>
            </w:pPr>
            <w:r>
              <w:rPr>
                <w:rFonts w:eastAsia="仿宋_GB2312"/>
                <w:spacing w:val="-1"/>
                <w:sz w:val="28"/>
                <w:szCs w:val="28"/>
              </w:rPr>
              <w:t>机械危害</w:t>
            </w:r>
          </w:p>
          <w:p w14:paraId="0A538873" w14:textId="77777777" w:rsidR="00D862E2" w:rsidRDefault="00D862E2">
            <w:pPr>
              <w:spacing w:line="520" w:lineRule="exact"/>
              <w:ind w:firstLineChars="200" w:firstLine="556"/>
              <w:rPr>
                <w:rFonts w:eastAsia="仿宋_GB2312"/>
                <w:spacing w:val="-1"/>
                <w:sz w:val="28"/>
                <w:szCs w:val="28"/>
              </w:rPr>
            </w:pPr>
          </w:p>
        </w:tc>
        <w:tc>
          <w:tcPr>
            <w:tcW w:w="1156" w:type="dxa"/>
            <w:vAlign w:val="center"/>
          </w:tcPr>
          <w:p w14:paraId="590BF7FB" w14:textId="77777777" w:rsidR="00D862E2" w:rsidRDefault="006644C9">
            <w:pPr>
              <w:spacing w:line="520" w:lineRule="exact"/>
              <w:rPr>
                <w:rFonts w:eastAsia="仿宋_GB2312"/>
                <w:spacing w:val="-1"/>
                <w:sz w:val="28"/>
                <w:szCs w:val="28"/>
              </w:rPr>
            </w:pPr>
            <w:r>
              <w:rPr>
                <w:rFonts w:eastAsia="仿宋_GB2312"/>
                <w:spacing w:val="-1"/>
                <w:sz w:val="28"/>
                <w:szCs w:val="28"/>
              </w:rPr>
              <w:t>不适当的材料或加工过程中工艺参数的控制失效，如</w:t>
            </w:r>
            <w:r>
              <w:rPr>
                <w:rFonts w:eastAsia="仿宋_GB2312"/>
                <w:spacing w:val="-1"/>
                <w:sz w:val="28"/>
                <w:szCs w:val="28"/>
              </w:rPr>
              <w:lastRenderedPageBreak/>
              <w:t>力学性能无法满足要求</w:t>
            </w:r>
          </w:p>
        </w:tc>
        <w:tc>
          <w:tcPr>
            <w:tcW w:w="3885" w:type="dxa"/>
            <w:vAlign w:val="center"/>
          </w:tcPr>
          <w:p w14:paraId="53B3469F"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lastRenderedPageBreak/>
              <w:t>未选择正确的原材料或生产过程控制失效。</w:t>
            </w:r>
          </w:p>
        </w:tc>
        <w:tc>
          <w:tcPr>
            <w:tcW w:w="2845" w:type="dxa"/>
            <w:vAlign w:val="center"/>
          </w:tcPr>
          <w:p w14:paraId="31994E45"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临时冠</w:t>
            </w:r>
            <w:r>
              <w:rPr>
                <w:rFonts w:eastAsia="仿宋_GB2312"/>
                <w:spacing w:val="-1"/>
                <w:sz w:val="28"/>
                <w:szCs w:val="28"/>
              </w:rPr>
              <w:t>/</w:t>
            </w:r>
            <w:r>
              <w:rPr>
                <w:rFonts w:eastAsia="仿宋_GB2312"/>
                <w:spacing w:val="-1"/>
                <w:sz w:val="28"/>
                <w:szCs w:val="28"/>
              </w:rPr>
              <w:t>桥破碎，可能导致患者误吞、刺破患者口腔内软组织，对患者造成伤害。</w:t>
            </w:r>
          </w:p>
        </w:tc>
      </w:tr>
      <w:tr w:rsidR="00D862E2" w14:paraId="02318BB6" w14:textId="77777777">
        <w:trPr>
          <w:trHeight w:val="841"/>
          <w:jc w:val="center"/>
        </w:trPr>
        <w:tc>
          <w:tcPr>
            <w:tcW w:w="1061" w:type="dxa"/>
            <w:vMerge/>
            <w:vAlign w:val="center"/>
          </w:tcPr>
          <w:p w14:paraId="354D1464" w14:textId="77777777" w:rsidR="00D862E2" w:rsidRDefault="00D862E2">
            <w:pPr>
              <w:spacing w:line="520" w:lineRule="exact"/>
              <w:ind w:firstLineChars="200" w:firstLine="556"/>
              <w:rPr>
                <w:rFonts w:eastAsia="仿宋_GB2312"/>
                <w:spacing w:val="-1"/>
                <w:sz w:val="28"/>
                <w:szCs w:val="28"/>
              </w:rPr>
            </w:pPr>
          </w:p>
        </w:tc>
        <w:tc>
          <w:tcPr>
            <w:tcW w:w="1156" w:type="dxa"/>
            <w:vAlign w:val="center"/>
          </w:tcPr>
          <w:p w14:paraId="6CF0647D" w14:textId="77777777" w:rsidR="00D862E2" w:rsidRDefault="006644C9">
            <w:pPr>
              <w:spacing w:line="520" w:lineRule="exact"/>
              <w:rPr>
                <w:rFonts w:eastAsia="仿宋_GB2312"/>
                <w:spacing w:val="-1"/>
                <w:sz w:val="28"/>
                <w:szCs w:val="28"/>
              </w:rPr>
            </w:pPr>
            <w:r>
              <w:rPr>
                <w:rFonts w:eastAsia="仿宋_GB2312"/>
                <w:spacing w:val="-1"/>
                <w:sz w:val="28"/>
                <w:szCs w:val="28"/>
              </w:rPr>
              <w:t>产品表面不光滑</w:t>
            </w:r>
          </w:p>
        </w:tc>
        <w:tc>
          <w:tcPr>
            <w:tcW w:w="3885" w:type="dxa"/>
            <w:vAlign w:val="center"/>
          </w:tcPr>
          <w:p w14:paraId="617897DE"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产品粗糙部分磨损、划伤牙龈、口腔粘膜及或软组织等。</w:t>
            </w:r>
          </w:p>
        </w:tc>
        <w:tc>
          <w:tcPr>
            <w:tcW w:w="2845" w:type="dxa"/>
            <w:vAlign w:val="center"/>
          </w:tcPr>
          <w:p w14:paraId="33BD3D3A"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对患者牙龈、口腔黏膜及软组织造成意外伤害。</w:t>
            </w:r>
          </w:p>
        </w:tc>
      </w:tr>
      <w:tr w:rsidR="00D862E2" w14:paraId="011524AA" w14:textId="77777777">
        <w:trPr>
          <w:trHeight w:val="712"/>
          <w:jc w:val="center"/>
        </w:trPr>
        <w:tc>
          <w:tcPr>
            <w:tcW w:w="1061" w:type="dxa"/>
            <w:vAlign w:val="center"/>
          </w:tcPr>
          <w:p w14:paraId="42046A8E" w14:textId="77777777" w:rsidR="00D862E2" w:rsidRDefault="006644C9">
            <w:pPr>
              <w:spacing w:line="520" w:lineRule="exact"/>
              <w:rPr>
                <w:rFonts w:eastAsia="仿宋_GB2312"/>
                <w:spacing w:val="-1"/>
                <w:sz w:val="28"/>
                <w:szCs w:val="28"/>
              </w:rPr>
            </w:pPr>
            <w:r>
              <w:rPr>
                <w:rFonts w:eastAsia="仿宋_GB2312"/>
                <w:spacing w:val="-1"/>
                <w:sz w:val="28"/>
                <w:szCs w:val="28"/>
              </w:rPr>
              <w:t>设计输出不满足要求产生的危害</w:t>
            </w:r>
          </w:p>
        </w:tc>
        <w:tc>
          <w:tcPr>
            <w:tcW w:w="1156" w:type="dxa"/>
            <w:vAlign w:val="center"/>
          </w:tcPr>
          <w:p w14:paraId="30F7C4BF" w14:textId="77777777" w:rsidR="00D862E2" w:rsidRDefault="006644C9">
            <w:pPr>
              <w:spacing w:line="520" w:lineRule="exact"/>
              <w:rPr>
                <w:rFonts w:eastAsia="仿宋_GB2312"/>
                <w:spacing w:val="-1"/>
                <w:sz w:val="28"/>
                <w:szCs w:val="28"/>
              </w:rPr>
            </w:pPr>
            <w:r>
              <w:rPr>
                <w:rFonts w:eastAsia="仿宋_GB2312"/>
                <w:spacing w:val="-1"/>
                <w:sz w:val="28"/>
                <w:szCs w:val="28"/>
              </w:rPr>
              <w:t>设计生产等不恰当</w:t>
            </w:r>
          </w:p>
        </w:tc>
        <w:tc>
          <w:tcPr>
            <w:tcW w:w="3885" w:type="dxa"/>
            <w:vAlign w:val="center"/>
          </w:tcPr>
          <w:p w14:paraId="303AEA42"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产品的设计方案不恰当或未经医疗机构确认</w:t>
            </w:r>
          </w:p>
          <w:p w14:paraId="5BD61D43"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产品性能的要求不全面、设计软件等不适合</w:t>
            </w:r>
          </w:p>
          <w:p w14:paraId="16063D21"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设计生产等未有医疗机构参与</w:t>
            </w:r>
          </w:p>
        </w:tc>
        <w:tc>
          <w:tcPr>
            <w:tcW w:w="2845" w:type="dxa"/>
            <w:vAlign w:val="center"/>
          </w:tcPr>
          <w:p w14:paraId="5653172A"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产生无效治疗或发生副作用</w:t>
            </w:r>
          </w:p>
        </w:tc>
      </w:tr>
      <w:tr w:rsidR="00D862E2" w14:paraId="710E4DC5" w14:textId="77777777">
        <w:trPr>
          <w:trHeight w:val="787"/>
          <w:jc w:val="center"/>
        </w:trPr>
        <w:tc>
          <w:tcPr>
            <w:tcW w:w="1061" w:type="dxa"/>
            <w:vMerge w:val="restart"/>
            <w:vAlign w:val="center"/>
          </w:tcPr>
          <w:p w14:paraId="31E2BF7B" w14:textId="77777777" w:rsidR="00D862E2" w:rsidRDefault="006644C9">
            <w:pPr>
              <w:spacing w:line="520" w:lineRule="exact"/>
              <w:rPr>
                <w:rFonts w:eastAsia="仿宋_GB2312"/>
                <w:spacing w:val="-1"/>
                <w:sz w:val="28"/>
                <w:szCs w:val="28"/>
              </w:rPr>
            </w:pPr>
            <w:r>
              <w:rPr>
                <w:rFonts w:eastAsia="仿宋_GB2312"/>
                <w:spacing w:val="-1"/>
                <w:sz w:val="28"/>
                <w:szCs w:val="28"/>
              </w:rPr>
              <w:t>信息危害</w:t>
            </w:r>
          </w:p>
        </w:tc>
        <w:tc>
          <w:tcPr>
            <w:tcW w:w="1156" w:type="dxa"/>
            <w:vAlign w:val="center"/>
          </w:tcPr>
          <w:p w14:paraId="2111D9F9" w14:textId="77777777" w:rsidR="00D862E2" w:rsidRDefault="006644C9">
            <w:pPr>
              <w:spacing w:line="520" w:lineRule="exact"/>
              <w:rPr>
                <w:rFonts w:eastAsia="仿宋_GB2312"/>
                <w:spacing w:val="-1"/>
                <w:sz w:val="28"/>
                <w:szCs w:val="28"/>
              </w:rPr>
            </w:pPr>
            <w:r>
              <w:rPr>
                <w:rFonts w:eastAsia="仿宋_GB2312"/>
                <w:spacing w:val="-1"/>
                <w:sz w:val="28"/>
                <w:szCs w:val="28"/>
              </w:rPr>
              <w:t>使用说明书不规范</w:t>
            </w:r>
          </w:p>
        </w:tc>
        <w:tc>
          <w:tcPr>
            <w:tcW w:w="3885" w:type="dxa"/>
            <w:vAlign w:val="center"/>
          </w:tcPr>
          <w:p w14:paraId="2BB6FD20"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不完整的产品使用说明书、未提及产品的安装有效期</w:t>
            </w:r>
          </w:p>
          <w:p w14:paraId="29802B45"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对产品性能特征不恰当地描述、不恰当的使用</w:t>
            </w:r>
          </w:p>
          <w:p w14:paraId="3F784D8D"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产品注意事项、禁忌证未充分公示、警告不明确或叙述不清</w:t>
            </w:r>
          </w:p>
        </w:tc>
        <w:tc>
          <w:tcPr>
            <w:tcW w:w="2845" w:type="dxa"/>
            <w:vAlign w:val="center"/>
          </w:tcPr>
          <w:p w14:paraId="4684A1C8"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产生无效治疗、对人体产生副作用或引发其他伤害</w:t>
            </w:r>
          </w:p>
        </w:tc>
      </w:tr>
      <w:tr w:rsidR="00D862E2" w14:paraId="18712D03" w14:textId="77777777">
        <w:trPr>
          <w:trHeight w:val="787"/>
          <w:jc w:val="center"/>
        </w:trPr>
        <w:tc>
          <w:tcPr>
            <w:tcW w:w="1061" w:type="dxa"/>
            <w:vMerge/>
            <w:vAlign w:val="center"/>
          </w:tcPr>
          <w:p w14:paraId="5E5CF662" w14:textId="77777777" w:rsidR="00D862E2" w:rsidRDefault="00D862E2">
            <w:pPr>
              <w:spacing w:line="520" w:lineRule="exact"/>
              <w:ind w:firstLineChars="200" w:firstLine="556"/>
              <w:rPr>
                <w:rFonts w:eastAsia="仿宋_GB2312"/>
                <w:spacing w:val="-1"/>
                <w:sz w:val="28"/>
                <w:szCs w:val="28"/>
              </w:rPr>
            </w:pPr>
          </w:p>
        </w:tc>
        <w:tc>
          <w:tcPr>
            <w:tcW w:w="1156" w:type="dxa"/>
            <w:vAlign w:val="center"/>
          </w:tcPr>
          <w:p w14:paraId="6F1E43D6" w14:textId="77777777" w:rsidR="00D862E2" w:rsidRDefault="006644C9">
            <w:pPr>
              <w:spacing w:line="520" w:lineRule="exact"/>
              <w:rPr>
                <w:rFonts w:eastAsia="仿宋_GB2312"/>
                <w:spacing w:val="-1"/>
                <w:sz w:val="28"/>
                <w:szCs w:val="28"/>
              </w:rPr>
            </w:pPr>
            <w:r>
              <w:rPr>
                <w:rFonts w:eastAsia="仿宋_GB2312"/>
                <w:spacing w:val="-1"/>
                <w:sz w:val="28"/>
                <w:szCs w:val="28"/>
              </w:rPr>
              <w:t>对产品临时修复期限缺少适</w:t>
            </w:r>
            <w:r>
              <w:rPr>
                <w:rFonts w:eastAsia="仿宋_GB2312"/>
                <w:spacing w:val="-1"/>
                <w:sz w:val="28"/>
                <w:szCs w:val="28"/>
              </w:rPr>
              <w:lastRenderedPageBreak/>
              <w:t>当的标识</w:t>
            </w:r>
          </w:p>
        </w:tc>
        <w:tc>
          <w:tcPr>
            <w:tcW w:w="3885" w:type="dxa"/>
            <w:vAlign w:val="center"/>
          </w:tcPr>
          <w:p w14:paraId="4600AF79"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lastRenderedPageBreak/>
              <w:t>没有标识产品使用期限</w:t>
            </w:r>
          </w:p>
        </w:tc>
        <w:tc>
          <w:tcPr>
            <w:tcW w:w="2845" w:type="dxa"/>
            <w:vAlign w:val="center"/>
          </w:tcPr>
          <w:p w14:paraId="54955237"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产品超出临时修复期限被使用而导致产品性能不符合要求</w:t>
            </w:r>
          </w:p>
        </w:tc>
      </w:tr>
      <w:tr w:rsidR="00D862E2" w14:paraId="082171AD" w14:textId="77777777">
        <w:trPr>
          <w:trHeight w:val="787"/>
          <w:jc w:val="center"/>
        </w:trPr>
        <w:tc>
          <w:tcPr>
            <w:tcW w:w="1061" w:type="dxa"/>
            <w:vMerge w:val="restart"/>
            <w:vAlign w:val="center"/>
          </w:tcPr>
          <w:p w14:paraId="41748AA2" w14:textId="77777777" w:rsidR="00D862E2" w:rsidRDefault="006644C9">
            <w:pPr>
              <w:spacing w:line="520" w:lineRule="exact"/>
              <w:rPr>
                <w:rFonts w:eastAsia="仿宋_GB2312"/>
                <w:spacing w:val="-1"/>
                <w:sz w:val="28"/>
                <w:szCs w:val="28"/>
              </w:rPr>
            </w:pPr>
            <w:r>
              <w:rPr>
                <w:rFonts w:eastAsia="仿宋_GB2312"/>
                <w:spacing w:val="-1"/>
                <w:sz w:val="28"/>
                <w:szCs w:val="28"/>
              </w:rPr>
              <w:lastRenderedPageBreak/>
              <w:t>人为因素产生的危害</w:t>
            </w:r>
          </w:p>
        </w:tc>
        <w:tc>
          <w:tcPr>
            <w:tcW w:w="1156" w:type="dxa"/>
            <w:vAlign w:val="center"/>
          </w:tcPr>
          <w:p w14:paraId="6370141D" w14:textId="77777777" w:rsidR="00D862E2" w:rsidRDefault="006644C9">
            <w:pPr>
              <w:spacing w:line="520" w:lineRule="exact"/>
              <w:rPr>
                <w:rFonts w:eastAsia="仿宋_GB2312"/>
                <w:spacing w:val="-1"/>
                <w:sz w:val="28"/>
                <w:szCs w:val="28"/>
              </w:rPr>
            </w:pPr>
            <w:r>
              <w:rPr>
                <w:rFonts w:eastAsia="仿宋_GB2312"/>
                <w:spacing w:val="-1"/>
                <w:sz w:val="28"/>
                <w:szCs w:val="28"/>
              </w:rPr>
              <w:t>操作危害</w:t>
            </w:r>
          </w:p>
        </w:tc>
        <w:tc>
          <w:tcPr>
            <w:tcW w:w="3885" w:type="dxa"/>
            <w:vAlign w:val="center"/>
          </w:tcPr>
          <w:p w14:paraId="43576D20"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未经培训的人员开展治疗</w:t>
            </w:r>
          </w:p>
        </w:tc>
        <w:tc>
          <w:tcPr>
            <w:tcW w:w="2845" w:type="dxa"/>
            <w:vAlign w:val="center"/>
          </w:tcPr>
          <w:p w14:paraId="730092EA"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对患者均产生不必要的危害</w:t>
            </w:r>
          </w:p>
        </w:tc>
      </w:tr>
      <w:tr w:rsidR="00D862E2" w14:paraId="2DEA3A4C" w14:textId="77777777">
        <w:trPr>
          <w:trHeight w:val="787"/>
          <w:jc w:val="center"/>
        </w:trPr>
        <w:tc>
          <w:tcPr>
            <w:tcW w:w="1061" w:type="dxa"/>
            <w:vMerge/>
            <w:vAlign w:val="center"/>
          </w:tcPr>
          <w:p w14:paraId="53CBCBCA" w14:textId="77777777" w:rsidR="00D862E2" w:rsidRDefault="00D862E2">
            <w:pPr>
              <w:spacing w:line="520" w:lineRule="exact"/>
              <w:ind w:firstLineChars="200" w:firstLine="556"/>
              <w:rPr>
                <w:rFonts w:eastAsia="仿宋_GB2312"/>
                <w:spacing w:val="-1"/>
                <w:sz w:val="28"/>
                <w:szCs w:val="28"/>
              </w:rPr>
            </w:pPr>
          </w:p>
        </w:tc>
        <w:tc>
          <w:tcPr>
            <w:tcW w:w="1156" w:type="dxa"/>
            <w:vAlign w:val="center"/>
          </w:tcPr>
          <w:p w14:paraId="013BF727" w14:textId="77777777" w:rsidR="00D862E2" w:rsidRDefault="006644C9">
            <w:pPr>
              <w:spacing w:line="520" w:lineRule="exact"/>
              <w:rPr>
                <w:rFonts w:eastAsia="仿宋_GB2312"/>
                <w:spacing w:val="-1"/>
                <w:sz w:val="28"/>
                <w:szCs w:val="28"/>
              </w:rPr>
            </w:pPr>
            <w:r>
              <w:rPr>
                <w:rFonts w:eastAsia="仿宋_GB2312"/>
                <w:spacing w:val="-1"/>
                <w:sz w:val="28"/>
                <w:szCs w:val="28"/>
              </w:rPr>
              <w:t>使用错误</w:t>
            </w:r>
          </w:p>
        </w:tc>
        <w:tc>
          <w:tcPr>
            <w:tcW w:w="3885" w:type="dxa"/>
            <w:vAlign w:val="center"/>
          </w:tcPr>
          <w:p w14:paraId="14F64AE5"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产品的异常使用</w:t>
            </w:r>
          </w:p>
          <w:p w14:paraId="003EE15F"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不遵守产品的使用规则，违反常规操作</w:t>
            </w:r>
          </w:p>
        </w:tc>
        <w:tc>
          <w:tcPr>
            <w:tcW w:w="2845" w:type="dxa"/>
            <w:vAlign w:val="center"/>
          </w:tcPr>
          <w:p w14:paraId="0A323079"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产生无效治疗或发生副作用</w:t>
            </w:r>
          </w:p>
        </w:tc>
      </w:tr>
      <w:tr w:rsidR="00D862E2" w14:paraId="55A536FE" w14:textId="77777777">
        <w:trPr>
          <w:trHeight w:val="787"/>
          <w:jc w:val="center"/>
        </w:trPr>
        <w:tc>
          <w:tcPr>
            <w:tcW w:w="1061" w:type="dxa"/>
            <w:vMerge w:val="restart"/>
            <w:vAlign w:val="center"/>
          </w:tcPr>
          <w:p w14:paraId="20AA145E" w14:textId="77777777" w:rsidR="00D862E2" w:rsidRDefault="006644C9">
            <w:pPr>
              <w:spacing w:line="520" w:lineRule="exact"/>
              <w:rPr>
                <w:rFonts w:eastAsia="仿宋_GB2312"/>
                <w:spacing w:val="-1"/>
                <w:sz w:val="28"/>
                <w:szCs w:val="28"/>
              </w:rPr>
            </w:pPr>
            <w:r>
              <w:rPr>
                <w:rFonts w:eastAsia="仿宋_GB2312"/>
                <w:spacing w:val="-1"/>
                <w:sz w:val="28"/>
                <w:szCs w:val="28"/>
              </w:rPr>
              <w:t>环境危害</w:t>
            </w:r>
          </w:p>
        </w:tc>
        <w:tc>
          <w:tcPr>
            <w:tcW w:w="1156" w:type="dxa"/>
            <w:vAlign w:val="center"/>
          </w:tcPr>
          <w:p w14:paraId="54981929" w14:textId="77777777" w:rsidR="00D862E2" w:rsidRDefault="006644C9">
            <w:pPr>
              <w:spacing w:line="520" w:lineRule="exact"/>
              <w:rPr>
                <w:rFonts w:eastAsia="仿宋_GB2312"/>
                <w:spacing w:val="-1"/>
                <w:sz w:val="28"/>
                <w:szCs w:val="28"/>
              </w:rPr>
            </w:pPr>
            <w:r>
              <w:rPr>
                <w:rFonts w:eastAsia="仿宋_GB2312"/>
                <w:spacing w:val="-1"/>
                <w:sz w:val="28"/>
                <w:szCs w:val="28"/>
              </w:rPr>
              <w:t>储存或运行偏离预订的环境条件</w:t>
            </w:r>
          </w:p>
        </w:tc>
        <w:tc>
          <w:tcPr>
            <w:tcW w:w="3885" w:type="dxa"/>
            <w:vAlign w:val="center"/>
          </w:tcPr>
          <w:p w14:paraId="27B6EB91"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储运条件（如温度、湿度、酸碱度）不符合要求导致产品变色、降解等</w:t>
            </w:r>
          </w:p>
        </w:tc>
        <w:tc>
          <w:tcPr>
            <w:tcW w:w="2845" w:type="dxa"/>
            <w:vAlign w:val="center"/>
          </w:tcPr>
          <w:p w14:paraId="7DCD6A0E"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产品使用性能无法得到保证或者无法保证正常使用</w:t>
            </w:r>
          </w:p>
        </w:tc>
      </w:tr>
      <w:tr w:rsidR="00D862E2" w14:paraId="7E8308D2" w14:textId="77777777">
        <w:trPr>
          <w:trHeight w:val="787"/>
          <w:jc w:val="center"/>
        </w:trPr>
        <w:tc>
          <w:tcPr>
            <w:tcW w:w="1061" w:type="dxa"/>
            <w:vMerge/>
            <w:vAlign w:val="center"/>
          </w:tcPr>
          <w:p w14:paraId="308C89D6" w14:textId="77777777" w:rsidR="00D862E2" w:rsidRDefault="00D862E2">
            <w:pPr>
              <w:spacing w:line="520" w:lineRule="exact"/>
              <w:ind w:firstLineChars="200" w:firstLine="556"/>
              <w:rPr>
                <w:rFonts w:eastAsia="仿宋_GB2312"/>
                <w:spacing w:val="-1"/>
                <w:sz w:val="28"/>
                <w:szCs w:val="28"/>
              </w:rPr>
            </w:pPr>
          </w:p>
        </w:tc>
        <w:tc>
          <w:tcPr>
            <w:tcW w:w="1156" w:type="dxa"/>
            <w:vAlign w:val="center"/>
          </w:tcPr>
          <w:p w14:paraId="634EC3FA" w14:textId="77777777" w:rsidR="00D862E2" w:rsidRDefault="006644C9">
            <w:pPr>
              <w:spacing w:line="520" w:lineRule="exact"/>
              <w:rPr>
                <w:rFonts w:eastAsia="仿宋_GB2312"/>
                <w:spacing w:val="-1"/>
                <w:sz w:val="28"/>
                <w:szCs w:val="28"/>
              </w:rPr>
            </w:pPr>
            <w:r>
              <w:rPr>
                <w:rFonts w:eastAsia="仿宋_GB2312"/>
                <w:spacing w:val="-1"/>
                <w:sz w:val="28"/>
                <w:szCs w:val="28"/>
              </w:rPr>
              <w:t>意外的机械破坏</w:t>
            </w:r>
          </w:p>
        </w:tc>
        <w:tc>
          <w:tcPr>
            <w:tcW w:w="3885" w:type="dxa"/>
            <w:vAlign w:val="center"/>
          </w:tcPr>
          <w:p w14:paraId="5C32DBC8"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储运、使用过程中发生意外的机械性破坏</w:t>
            </w:r>
          </w:p>
        </w:tc>
        <w:tc>
          <w:tcPr>
            <w:tcW w:w="2845" w:type="dxa"/>
            <w:vAlign w:val="center"/>
          </w:tcPr>
          <w:p w14:paraId="5DFE304F"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产品使用性能无法得到保证或者无法保证正常使用</w:t>
            </w:r>
          </w:p>
        </w:tc>
      </w:tr>
      <w:tr w:rsidR="00D862E2" w14:paraId="6511EA86" w14:textId="77777777">
        <w:trPr>
          <w:trHeight w:val="787"/>
          <w:jc w:val="center"/>
        </w:trPr>
        <w:tc>
          <w:tcPr>
            <w:tcW w:w="2217" w:type="dxa"/>
            <w:gridSpan w:val="2"/>
            <w:vAlign w:val="center"/>
          </w:tcPr>
          <w:p w14:paraId="43AA235F" w14:textId="77777777" w:rsidR="00D862E2" w:rsidRDefault="006644C9">
            <w:pPr>
              <w:spacing w:line="520" w:lineRule="exact"/>
              <w:rPr>
                <w:rFonts w:eastAsia="仿宋_GB2312"/>
                <w:spacing w:val="-1"/>
                <w:sz w:val="28"/>
                <w:szCs w:val="28"/>
              </w:rPr>
            </w:pPr>
            <w:r>
              <w:rPr>
                <w:rFonts w:eastAsia="仿宋_GB2312"/>
                <w:spacing w:val="-1"/>
                <w:sz w:val="28"/>
                <w:szCs w:val="28"/>
              </w:rPr>
              <w:t>其他危害</w:t>
            </w:r>
          </w:p>
        </w:tc>
        <w:tc>
          <w:tcPr>
            <w:tcW w:w="3885" w:type="dxa"/>
            <w:vAlign w:val="center"/>
          </w:tcPr>
          <w:p w14:paraId="2333BF11"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临时冠</w:t>
            </w:r>
            <w:r>
              <w:rPr>
                <w:rFonts w:eastAsia="仿宋_GB2312"/>
                <w:spacing w:val="-1"/>
                <w:sz w:val="28"/>
                <w:szCs w:val="28"/>
              </w:rPr>
              <w:t>/</w:t>
            </w:r>
            <w:r>
              <w:rPr>
                <w:rFonts w:eastAsia="仿宋_GB2312"/>
                <w:spacing w:val="-1"/>
                <w:sz w:val="28"/>
                <w:szCs w:val="28"/>
              </w:rPr>
              <w:t>桥表面不光滑等（边缘尖锐）</w:t>
            </w:r>
          </w:p>
        </w:tc>
        <w:tc>
          <w:tcPr>
            <w:tcW w:w="2845" w:type="dxa"/>
            <w:vAlign w:val="center"/>
          </w:tcPr>
          <w:p w14:paraId="003156B5" w14:textId="77777777" w:rsidR="00D862E2" w:rsidRDefault="006644C9">
            <w:pPr>
              <w:spacing w:line="520" w:lineRule="exact"/>
              <w:ind w:firstLineChars="200" w:firstLine="556"/>
              <w:rPr>
                <w:rFonts w:eastAsia="仿宋_GB2312"/>
                <w:spacing w:val="-1"/>
                <w:sz w:val="28"/>
                <w:szCs w:val="28"/>
              </w:rPr>
            </w:pPr>
            <w:r>
              <w:rPr>
                <w:rFonts w:eastAsia="仿宋_GB2312"/>
                <w:spacing w:val="-1"/>
                <w:sz w:val="28"/>
                <w:szCs w:val="28"/>
              </w:rPr>
              <w:t>口腔组织损伤，对患者产生不必要的危害</w:t>
            </w:r>
          </w:p>
        </w:tc>
      </w:tr>
    </w:tbl>
    <w:p w14:paraId="76A3A434" w14:textId="77777777" w:rsidR="00D862E2" w:rsidRDefault="00D862E2"/>
    <w:sectPr w:rsidR="00D862E2" w:rsidSect="00BB20AF">
      <w:footerReference w:type="even" r:id="rId7"/>
      <w:footerReference w:type="default" r:id="rId8"/>
      <w:pgSz w:w="11906" w:h="16838"/>
      <w:pgMar w:top="2098" w:right="1588" w:bottom="2098" w:left="1588" w:header="851" w:footer="1191"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A880F" w14:textId="77777777" w:rsidR="004C3275" w:rsidRDefault="004C3275">
      <w:r>
        <w:separator/>
      </w:r>
    </w:p>
  </w:endnote>
  <w:endnote w:type="continuationSeparator" w:id="0">
    <w:p w14:paraId="568758A3" w14:textId="77777777" w:rsidR="004C3275" w:rsidRDefault="004C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0" w:usb1="00000000" w:usb2="00000016" w:usb3="00000000" w:csb0="00060007"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3B25CFFC-BE4B-48E1-B7B8-C412480AB387}"/>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DejaVu Sans">
    <w:altName w:val="Arial"/>
    <w:charset w:val="00"/>
    <w:family w:val="auto"/>
    <w:pitch w:val="default"/>
    <w:sig w:usb0="00000000" w:usb1="00000000" w:usb2="0A246029" w:usb3="0400200C" w:csb0="600001FF" w:csb1="DFFF0000"/>
  </w:font>
  <w:font w:name="仿宋_GB2312">
    <w:panose1 w:val="02010609030101010101"/>
    <w:charset w:val="86"/>
    <w:family w:val="modern"/>
    <w:pitch w:val="fixed"/>
    <w:sig w:usb0="00000001" w:usb1="080E0000" w:usb2="00000010" w:usb3="00000000" w:csb0="00040000" w:csb1="00000000"/>
    <w:embedRegular r:id="rId2" w:subsetted="1" w:fontKey="{787F5207-9E28-42B5-9CB1-A8413BBA5E8F}"/>
    <w:embedBold r:id="rId3" w:subsetted="1" w:fontKey="{02D57A0A-D351-4F3F-94DA-A88FAE1E518E}"/>
  </w:font>
  <w:font w:name="方正小标宋简体">
    <w:panose1 w:val="03000509000000000000"/>
    <w:charset w:val="86"/>
    <w:family w:val="script"/>
    <w:pitch w:val="fixed"/>
    <w:sig w:usb0="00000001" w:usb1="080E0000" w:usb2="00000010" w:usb3="00000000" w:csb0="00040000" w:csb1="00000000"/>
    <w:embedRegular r:id="rId4" w:subsetted="1" w:fontKey="{7BB36CCD-273D-4D78-985C-7D75AE3A35B0}"/>
  </w:font>
  <w:font w:name="楷体_GB2312">
    <w:panose1 w:val="02010609030101010101"/>
    <w:charset w:val="86"/>
    <w:family w:val="modern"/>
    <w:pitch w:val="fixed"/>
    <w:sig w:usb0="00000001" w:usb1="080E0000" w:usb2="00000010" w:usb3="00000000" w:csb0="00040000" w:csb1="00000000"/>
    <w:embedRegular r:id="rId5" w:subsetted="1" w:fontKey="{538F6ACA-C4D0-4DFA-99BA-B2512B361A15}"/>
  </w:font>
  <w:font w:name="方正仿宋_GBK">
    <w:altName w:val="Malgun Gothic Semilight"/>
    <w:charset w:val="86"/>
    <w:family w:val="auto"/>
    <w:pitch w:val="default"/>
    <w:sig w:usb0="00000000" w:usb1="38CF7CFA" w:usb2="00082016"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sdtPr>
    <w:sdtEndPr/>
    <w:sdtContent>
      <w:p w14:paraId="06D33717" w14:textId="0AE74B01" w:rsidR="00D862E2" w:rsidRDefault="006644C9" w:rsidP="00BB20AF">
        <w:pPr>
          <w:pStyle w:val="a8"/>
          <w:ind w:leftChars="100" w:left="32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2372B5" w:rsidRPr="002372B5">
          <w:rPr>
            <w:noProof/>
            <w:sz w:val="28"/>
            <w:szCs w:val="28"/>
            <w:lang w:val="zh-CN"/>
          </w:rPr>
          <w:t>14</w:t>
        </w:r>
        <w:r>
          <w:rPr>
            <w:sz w:val="28"/>
            <w:szCs w:val="28"/>
          </w:rPr>
          <w:fldChar w:fldCharType="end"/>
        </w:r>
        <w:r>
          <w:rPr>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00887" w14:textId="1C01590F" w:rsidR="00D862E2" w:rsidRDefault="006644C9" w:rsidP="00BB20AF">
    <w:pPr>
      <w:pStyle w:val="a8"/>
      <w:ind w:leftChars="100" w:left="320" w:rightChars="100" w:right="320"/>
      <w:jc w:val="right"/>
      <w:rPr>
        <w:sz w:val="28"/>
        <w:szCs w:val="28"/>
      </w:rPr>
    </w:pPr>
    <w:r>
      <w:rPr>
        <w:sz w:val="28"/>
        <w:szCs w:val="28"/>
      </w:rPr>
      <w:t xml:space="preserve">— </w:t>
    </w:r>
    <w:sdt>
      <w:sdtPr>
        <w:rPr>
          <w:sz w:val="28"/>
          <w:szCs w:val="28"/>
        </w:rPr>
        <w:id w:val="90280837"/>
      </w:sdtPr>
      <w:sdtEndPr/>
      <w:sdtContent>
        <w:r>
          <w:rPr>
            <w:sz w:val="28"/>
            <w:szCs w:val="28"/>
          </w:rPr>
          <w:fldChar w:fldCharType="begin"/>
        </w:r>
        <w:r>
          <w:rPr>
            <w:sz w:val="28"/>
            <w:szCs w:val="28"/>
          </w:rPr>
          <w:instrText xml:space="preserve"> PAGE   \* MERGEFORMAT </w:instrText>
        </w:r>
        <w:r>
          <w:rPr>
            <w:sz w:val="28"/>
            <w:szCs w:val="28"/>
          </w:rPr>
          <w:fldChar w:fldCharType="separate"/>
        </w:r>
        <w:r w:rsidR="002372B5" w:rsidRPr="002372B5">
          <w:rPr>
            <w:noProof/>
            <w:sz w:val="28"/>
            <w:szCs w:val="28"/>
            <w:lang w:val="zh-CN"/>
          </w:rPr>
          <w:t>13</w:t>
        </w:r>
        <w:r>
          <w:rPr>
            <w:sz w:val="28"/>
            <w:szCs w:val="28"/>
          </w:rPr>
          <w:fldChar w:fldCharType="end"/>
        </w:r>
        <w:r>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0BF5" w14:textId="77777777" w:rsidR="004C3275" w:rsidRDefault="004C3275">
      <w:r>
        <w:separator/>
      </w:r>
    </w:p>
  </w:footnote>
  <w:footnote w:type="continuationSeparator" w:id="0">
    <w:p w14:paraId="795A7D6E" w14:textId="77777777" w:rsidR="004C3275" w:rsidRDefault="004C32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embedTrueTypeFonts/>
  <w:saveSubsetFonts/>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787F7E"/>
    <w:rsid w:val="9FFFD884"/>
    <w:rsid w:val="AF9A03A0"/>
    <w:rsid w:val="B3DF3279"/>
    <w:rsid w:val="B6FF1A0F"/>
    <w:rsid w:val="B77EFDD9"/>
    <w:rsid w:val="B7CC9D18"/>
    <w:rsid w:val="BD7EA0E0"/>
    <w:rsid w:val="BD9E5ABE"/>
    <w:rsid w:val="BED77341"/>
    <w:rsid w:val="BF3968EC"/>
    <w:rsid w:val="BF477D31"/>
    <w:rsid w:val="C20E28FB"/>
    <w:rsid w:val="D6DB17F5"/>
    <w:rsid w:val="D7A9F0A0"/>
    <w:rsid w:val="DBBF212C"/>
    <w:rsid w:val="DBDF0CF9"/>
    <w:rsid w:val="DCFE535D"/>
    <w:rsid w:val="DEC79C07"/>
    <w:rsid w:val="DEF70035"/>
    <w:rsid w:val="DFEF0494"/>
    <w:rsid w:val="DFFD7CEB"/>
    <w:rsid w:val="DFFFE17D"/>
    <w:rsid w:val="E46E84B3"/>
    <w:rsid w:val="E7FF36CD"/>
    <w:rsid w:val="ED776AC6"/>
    <w:rsid w:val="EF52C9BC"/>
    <w:rsid w:val="EF9F915E"/>
    <w:rsid w:val="EFF47D77"/>
    <w:rsid w:val="EFFB5E6D"/>
    <w:rsid w:val="F2BF7EB4"/>
    <w:rsid w:val="F4B214A9"/>
    <w:rsid w:val="F5AF2EB7"/>
    <w:rsid w:val="F77FEAEA"/>
    <w:rsid w:val="F95BAD61"/>
    <w:rsid w:val="F99FEE2F"/>
    <w:rsid w:val="FA676670"/>
    <w:rsid w:val="FAFD6BF6"/>
    <w:rsid w:val="FBA590D0"/>
    <w:rsid w:val="FBB7C68F"/>
    <w:rsid w:val="FBFF1EBE"/>
    <w:rsid w:val="FBFF4F90"/>
    <w:rsid w:val="FCFFD217"/>
    <w:rsid w:val="FD567D5D"/>
    <w:rsid w:val="FD73D100"/>
    <w:rsid w:val="FDBB9E0B"/>
    <w:rsid w:val="FDF69F56"/>
    <w:rsid w:val="FDF752B8"/>
    <w:rsid w:val="FDFAD5B4"/>
    <w:rsid w:val="FDFBBEF5"/>
    <w:rsid w:val="FE573344"/>
    <w:rsid w:val="FE6FE35D"/>
    <w:rsid w:val="FE7FC19E"/>
    <w:rsid w:val="FEDF4872"/>
    <w:rsid w:val="FEE70A85"/>
    <w:rsid w:val="FEF7CB21"/>
    <w:rsid w:val="FEFFD94A"/>
    <w:rsid w:val="FF0FFE7F"/>
    <w:rsid w:val="FF2CF50D"/>
    <w:rsid w:val="FF4B3B08"/>
    <w:rsid w:val="FF7F9E8F"/>
    <w:rsid w:val="FF7FDA6E"/>
    <w:rsid w:val="FFB77EB3"/>
    <w:rsid w:val="FFBDC257"/>
    <w:rsid w:val="FFCFE5BD"/>
    <w:rsid w:val="FFEF0B85"/>
    <w:rsid w:val="FFFB1A5F"/>
    <w:rsid w:val="FFFB96CC"/>
    <w:rsid w:val="FFFF9340"/>
    <w:rsid w:val="00020162"/>
    <w:rsid w:val="00021955"/>
    <w:rsid w:val="000309BB"/>
    <w:rsid w:val="00056A28"/>
    <w:rsid w:val="00060C10"/>
    <w:rsid w:val="0007686E"/>
    <w:rsid w:val="0009278E"/>
    <w:rsid w:val="000B44A1"/>
    <w:rsid w:val="000B4C9B"/>
    <w:rsid w:val="000C48A1"/>
    <w:rsid w:val="000E5335"/>
    <w:rsid w:val="00134AA9"/>
    <w:rsid w:val="00145167"/>
    <w:rsid w:val="0015622E"/>
    <w:rsid w:val="001C3A87"/>
    <w:rsid w:val="001E0961"/>
    <w:rsid w:val="002372B5"/>
    <w:rsid w:val="00241E57"/>
    <w:rsid w:val="00242375"/>
    <w:rsid w:val="00244DF7"/>
    <w:rsid w:val="00246390"/>
    <w:rsid w:val="0026293F"/>
    <w:rsid w:val="00275A48"/>
    <w:rsid w:val="00277473"/>
    <w:rsid w:val="00291759"/>
    <w:rsid w:val="00294D2B"/>
    <w:rsid w:val="00295369"/>
    <w:rsid w:val="002A1DAB"/>
    <w:rsid w:val="002B2048"/>
    <w:rsid w:val="002B24A0"/>
    <w:rsid w:val="002D3B6C"/>
    <w:rsid w:val="002F2978"/>
    <w:rsid w:val="0030368E"/>
    <w:rsid w:val="003137C1"/>
    <w:rsid w:val="00332DE8"/>
    <w:rsid w:val="003450A4"/>
    <w:rsid w:val="003549E8"/>
    <w:rsid w:val="00355421"/>
    <w:rsid w:val="00365AB2"/>
    <w:rsid w:val="0037408E"/>
    <w:rsid w:val="00410598"/>
    <w:rsid w:val="0041581E"/>
    <w:rsid w:val="00422D3A"/>
    <w:rsid w:val="00435AC6"/>
    <w:rsid w:val="00440708"/>
    <w:rsid w:val="00440AA4"/>
    <w:rsid w:val="004410B9"/>
    <w:rsid w:val="0045151A"/>
    <w:rsid w:val="00483A83"/>
    <w:rsid w:val="004B2F13"/>
    <w:rsid w:val="004C3275"/>
    <w:rsid w:val="004C4DBC"/>
    <w:rsid w:val="004E39ED"/>
    <w:rsid w:val="004E5AEA"/>
    <w:rsid w:val="004F0151"/>
    <w:rsid w:val="005041BA"/>
    <w:rsid w:val="005277E2"/>
    <w:rsid w:val="00530384"/>
    <w:rsid w:val="00534F4C"/>
    <w:rsid w:val="005609D1"/>
    <w:rsid w:val="005A1410"/>
    <w:rsid w:val="005A204F"/>
    <w:rsid w:val="005D1959"/>
    <w:rsid w:val="006014D4"/>
    <w:rsid w:val="006644C9"/>
    <w:rsid w:val="00670933"/>
    <w:rsid w:val="006A1165"/>
    <w:rsid w:val="006C00CB"/>
    <w:rsid w:val="006E68A9"/>
    <w:rsid w:val="006E7148"/>
    <w:rsid w:val="00716619"/>
    <w:rsid w:val="00725E46"/>
    <w:rsid w:val="00745098"/>
    <w:rsid w:val="007646FC"/>
    <w:rsid w:val="00787F7E"/>
    <w:rsid w:val="007904F6"/>
    <w:rsid w:val="007D341A"/>
    <w:rsid w:val="00815364"/>
    <w:rsid w:val="00821079"/>
    <w:rsid w:val="0083192A"/>
    <w:rsid w:val="00845C30"/>
    <w:rsid w:val="008961B3"/>
    <w:rsid w:val="00920A47"/>
    <w:rsid w:val="009275A8"/>
    <w:rsid w:val="00937F0E"/>
    <w:rsid w:val="0098100B"/>
    <w:rsid w:val="009C41FF"/>
    <w:rsid w:val="009E2514"/>
    <w:rsid w:val="009F209D"/>
    <w:rsid w:val="00A23EC2"/>
    <w:rsid w:val="00A25C1A"/>
    <w:rsid w:val="00A73BFE"/>
    <w:rsid w:val="00AA4FCB"/>
    <w:rsid w:val="00AB660B"/>
    <w:rsid w:val="00AB7E5C"/>
    <w:rsid w:val="00AD08D9"/>
    <w:rsid w:val="00AF3558"/>
    <w:rsid w:val="00AF5D76"/>
    <w:rsid w:val="00B06386"/>
    <w:rsid w:val="00B25163"/>
    <w:rsid w:val="00B41578"/>
    <w:rsid w:val="00B66355"/>
    <w:rsid w:val="00B9118A"/>
    <w:rsid w:val="00BB20AF"/>
    <w:rsid w:val="00BC2983"/>
    <w:rsid w:val="00BC7C84"/>
    <w:rsid w:val="00BD300F"/>
    <w:rsid w:val="00BE669C"/>
    <w:rsid w:val="00BE7E51"/>
    <w:rsid w:val="00C0562D"/>
    <w:rsid w:val="00C151FE"/>
    <w:rsid w:val="00C25F69"/>
    <w:rsid w:val="00C40950"/>
    <w:rsid w:val="00C55908"/>
    <w:rsid w:val="00C55C2E"/>
    <w:rsid w:val="00CA0BE6"/>
    <w:rsid w:val="00CB4CCD"/>
    <w:rsid w:val="00CD1907"/>
    <w:rsid w:val="00CE24E2"/>
    <w:rsid w:val="00D076F0"/>
    <w:rsid w:val="00D256A9"/>
    <w:rsid w:val="00D277BD"/>
    <w:rsid w:val="00D32614"/>
    <w:rsid w:val="00D36F91"/>
    <w:rsid w:val="00D4450D"/>
    <w:rsid w:val="00D535BE"/>
    <w:rsid w:val="00D6685B"/>
    <w:rsid w:val="00D73732"/>
    <w:rsid w:val="00D862E2"/>
    <w:rsid w:val="00D865D6"/>
    <w:rsid w:val="00DB1CED"/>
    <w:rsid w:val="00DC26FC"/>
    <w:rsid w:val="00DC3951"/>
    <w:rsid w:val="00DD740E"/>
    <w:rsid w:val="00E07E6A"/>
    <w:rsid w:val="00E113E4"/>
    <w:rsid w:val="00E11D78"/>
    <w:rsid w:val="00E343F9"/>
    <w:rsid w:val="00E72EF4"/>
    <w:rsid w:val="00E7330F"/>
    <w:rsid w:val="00E771F1"/>
    <w:rsid w:val="00EB1A04"/>
    <w:rsid w:val="00EC523A"/>
    <w:rsid w:val="00ED0226"/>
    <w:rsid w:val="00EE1269"/>
    <w:rsid w:val="00EE261B"/>
    <w:rsid w:val="00EE3620"/>
    <w:rsid w:val="00EE4EBB"/>
    <w:rsid w:val="00F31CB3"/>
    <w:rsid w:val="00F45E55"/>
    <w:rsid w:val="00F73440"/>
    <w:rsid w:val="00F801A1"/>
    <w:rsid w:val="00F81D1A"/>
    <w:rsid w:val="00F90809"/>
    <w:rsid w:val="00FA36EA"/>
    <w:rsid w:val="00FB46B2"/>
    <w:rsid w:val="00FC6BE6"/>
    <w:rsid w:val="00FF0F38"/>
    <w:rsid w:val="01FB46C0"/>
    <w:rsid w:val="01FF5D9A"/>
    <w:rsid w:val="02AB3D4B"/>
    <w:rsid w:val="035C65AE"/>
    <w:rsid w:val="03936CB9"/>
    <w:rsid w:val="03EE3EEF"/>
    <w:rsid w:val="045D72C7"/>
    <w:rsid w:val="046B78BB"/>
    <w:rsid w:val="04B0389B"/>
    <w:rsid w:val="04F32AE8"/>
    <w:rsid w:val="05271470"/>
    <w:rsid w:val="05290F57"/>
    <w:rsid w:val="0580326D"/>
    <w:rsid w:val="05F744D0"/>
    <w:rsid w:val="06220C02"/>
    <w:rsid w:val="07067FD2"/>
    <w:rsid w:val="070E00C3"/>
    <w:rsid w:val="07826EA0"/>
    <w:rsid w:val="0828574C"/>
    <w:rsid w:val="08422F06"/>
    <w:rsid w:val="08F57F31"/>
    <w:rsid w:val="0922463B"/>
    <w:rsid w:val="096E2736"/>
    <w:rsid w:val="09E90DD0"/>
    <w:rsid w:val="0A1A5432"/>
    <w:rsid w:val="0A692F40"/>
    <w:rsid w:val="0AED7698"/>
    <w:rsid w:val="0B022976"/>
    <w:rsid w:val="0B2A12A1"/>
    <w:rsid w:val="0B420B0A"/>
    <w:rsid w:val="0C3C4634"/>
    <w:rsid w:val="0D6E2C3E"/>
    <w:rsid w:val="0DDA3736"/>
    <w:rsid w:val="0E1317C0"/>
    <w:rsid w:val="0E4D5CB6"/>
    <w:rsid w:val="0E745939"/>
    <w:rsid w:val="0EC176E9"/>
    <w:rsid w:val="0EFB0093"/>
    <w:rsid w:val="0F0B3670"/>
    <w:rsid w:val="0F0C791F"/>
    <w:rsid w:val="0F704DA6"/>
    <w:rsid w:val="0FE9B998"/>
    <w:rsid w:val="10802373"/>
    <w:rsid w:val="116972AB"/>
    <w:rsid w:val="11EA48C7"/>
    <w:rsid w:val="125D11F1"/>
    <w:rsid w:val="12660385"/>
    <w:rsid w:val="127C300E"/>
    <w:rsid w:val="13994948"/>
    <w:rsid w:val="13B15100"/>
    <w:rsid w:val="13E946D3"/>
    <w:rsid w:val="14717FB9"/>
    <w:rsid w:val="14817681"/>
    <w:rsid w:val="15A86738"/>
    <w:rsid w:val="15DC5BFA"/>
    <w:rsid w:val="16326E4D"/>
    <w:rsid w:val="165B64F7"/>
    <w:rsid w:val="17821B70"/>
    <w:rsid w:val="17ED280C"/>
    <w:rsid w:val="1889536A"/>
    <w:rsid w:val="18B17A5A"/>
    <w:rsid w:val="18C80D5B"/>
    <w:rsid w:val="193364B1"/>
    <w:rsid w:val="19C37774"/>
    <w:rsid w:val="1A2F4A1D"/>
    <w:rsid w:val="1B79573B"/>
    <w:rsid w:val="1CB44ED6"/>
    <w:rsid w:val="1CF5125C"/>
    <w:rsid w:val="1D3F5DA3"/>
    <w:rsid w:val="1D49426C"/>
    <w:rsid w:val="1E0D5462"/>
    <w:rsid w:val="1E2E6220"/>
    <w:rsid w:val="1E3F6B33"/>
    <w:rsid w:val="209F6845"/>
    <w:rsid w:val="20AA51EA"/>
    <w:rsid w:val="20F4541A"/>
    <w:rsid w:val="21090EFB"/>
    <w:rsid w:val="216A5DC2"/>
    <w:rsid w:val="216A7A2F"/>
    <w:rsid w:val="216E446A"/>
    <w:rsid w:val="217721CA"/>
    <w:rsid w:val="22FC666F"/>
    <w:rsid w:val="244514B2"/>
    <w:rsid w:val="254C6870"/>
    <w:rsid w:val="26D73DD4"/>
    <w:rsid w:val="26E9573C"/>
    <w:rsid w:val="28CF28EC"/>
    <w:rsid w:val="290872A8"/>
    <w:rsid w:val="290A0F1C"/>
    <w:rsid w:val="294C0B60"/>
    <w:rsid w:val="2B204A27"/>
    <w:rsid w:val="2B473D61"/>
    <w:rsid w:val="2B99249D"/>
    <w:rsid w:val="2BD05876"/>
    <w:rsid w:val="2BE93558"/>
    <w:rsid w:val="2C7F39CF"/>
    <w:rsid w:val="2CBF4650"/>
    <w:rsid w:val="2CD7257D"/>
    <w:rsid w:val="2D344CBA"/>
    <w:rsid w:val="2D6A033B"/>
    <w:rsid w:val="2D9E66A8"/>
    <w:rsid w:val="2E7F6567"/>
    <w:rsid w:val="2F9075B4"/>
    <w:rsid w:val="310C3CE5"/>
    <w:rsid w:val="31181CFC"/>
    <w:rsid w:val="313F15E7"/>
    <w:rsid w:val="33C817B8"/>
    <w:rsid w:val="33CA19D4"/>
    <w:rsid w:val="341D23FF"/>
    <w:rsid w:val="345C39F7"/>
    <w:rsid w:val="34825E0A"/>
    <w:rsid w:val="358B0CEF"/>
    <w:rsid w:val="36910587"/>
    <w:rsid w:val="36DB6050"/>
    <w:rsid w:val="36DF4C5F"/>
    <w:rsid w:val="37543CF6"/>
    <w:rsid w:val="37F7C209"/>
    <w:rsid w:val="37FDA8E3"/>
    <w:rsid w:val="39184F8F"/>
    <w:rsid w:val="3959073F"/>
    <w:rsid w:val="395C1320"/>
    <w:rsid w:val="399D6941"/>
    <w:rsid w:val="3A012FE7"/>
    <w:rsid w:val="3A4033B7"/>
    <w:rsid w:val="3A4344B4"/>
    <w:rsid w:val="3AA9A730"/>
    <w:rsid w:val="3B294E3B"/>
    <w:rsid w:val="3BCE4DB9"/>
    <w:rsid w:val="3BDB534D"/>
    <w:rsid w:val="3C812D5D"/>
    <w:rsid w:val="3C90308E"/>
    <w:rsid w:val="3CC50F8A"/>
    <w:rsid w:val="3CEB6517"/>
    <w:rsid w:val="3D5E4F3B"/>
    <w:rsid w:val="3DBB6804"/>
    <w:rsid w:val="3E646F03"/>
    <w:rsid w:val="3E923141"/>
    <w:rsid w:val="3EBE168B"/>
    <w:rsid w:val="3ECD05CA"/>
    <w:rsid w:val="3F744EE9"/>
    <w:rsid w:val="3F7E6EC2"/>
    <w:rsid w:val="3FDB464E"/>
    <w:rsid w:val="3FE37210"/>
    <w:rsid w:val="3FF71A68"/>
    <w:rsid w:val="40383552"/>
    <w:rsid w:val="40B76E3C"/>
    <w:rsid w:val="40BC26A4"/>
    <w:rsid w:val="40CB0B39"/>
    <w:rsid w:val="41314163"/>
    <w:rsid w:val="4135788C"/>
    <w:rsid w:val="416220F7"/>
    <w:rsid w:val="416D515A"/>
    <w:rsid w:val="42616729"/>
    <w:rsid w:val="430D3400"/>
    <w:rsid w:val="43B006CC"/>
    <w:rsid w:val="43CC0E50"/>
    <w:rsid w:val="44BC2C73"/>
    <w:rsid w:val="44F22B38"/>
    <w:rsid w:val="45141DD1"/>
    <w:rsid w:val="45190605"/>
    <w:rsid w:val="456B28EB"/>
    <w:rsid w:val="45AC726A"/>
    <w:rsid w:val="45ED058A"/>
    <w:rsid w:val="4615A269"/>
    <w:rsid w:val="476F0996"/>
    <w:rsid w:val="47BA5B52"/>
    <w:rsid w:val="47FB1D04"/>
    <w:rsid w:val="488F1B48"/>
    <w:rsid w:val="48CB3C66"/>
    <w:rsid w:val="48DD3AFF"/>
    <w:rsid w:val="49772CE5"/>
    <w:rsid w:val="4A2A68D0"/>
    <w:rsid w:val="4A3B288C"/>
    <w:rsid w:val="4A4A2E2B"/>
    <w:rsid w:val="4A962B35"/>
    <w:rsid w:val="4AD131F0"/>
    <w:rsid w:val="4B8A3796"/>
    <w:rsid w:val="4C3C5D4E"/>
    <w:rsid w:val="4C891FD4"/>
    <w:rsid w:val="4D6E4FF3"/>
    <w:rsid w:val="4DA05BE3"/>
    <w:rsid w:val="4E447F77"/>
    <w:rsid w:val="4E75557A"/>
    <w:rsid w:val="4E791BD4"/>
    <w:rsid w:val="4ED35788"/>
    <w:rsid w:val="4EED3D78"/>
    <w:rsid w:val="4EFB8F43"/>
    <w:rsid w:val="4F073684"/>
    <w:rsid w:val="4FA03191"/>
    <w:rsid w:val="4FF84D7B"/>
    <w:rsid w:val="5003209D"/>
    <w:rsid w:val="502D711A"/>
    <w:rsid w:val="502F40FA"/>
    <w:rsid w:val="50371D47"/>
    <w:rsid w:val="50CC248F"/>
    <w:rsid w:val="50DE341C"/>
    <w:rsid w:val="51022355"/>
    <w:rsid w:val="530758C9"/>
    <w:rsid w:val="53E1595C"/>
    <w:rsid w:val="54D57A9F"/>
    <w:rsid w:val="551408A9"/>
    <w:rsid w:val="557802B4"/>
    <w:rsid w:val="56260894"/>
    <w:rsid w:val="569418D2"/>
    <w:rsid w:val="57004A1D"/>
    <w:rsid w:val="575249E7"/>
    <w:rsid w:val="576B1DD5"/>
    <w:rsid w:val="57A335B8"/>
    <w:rsid w:val="57CE11E3"/>
    <w:rsid w:val="57D79CFE"/>
    <w:rsid w:val="57DB3900"/>
    <w:rsid w:val="58030690"/>
    <w:rsid w:val="58101479"/>
    <w:rsid w:val="588875E4"/>
    <w:rsid w:val="58CE009D"/>
    <w:rsid w:val="58F06F37"/>
    <w:rsid w:val="59305585"/>
    <w:rsid w:val="595A4542"/>
    <w:rsid w:val="5966544B"/>
    <w:rsid w:val="59A33FA9"/>
    <w:rsid w:val="5A283901"/>
    <w:rsid w:val="5A3C1252"/>
    <w:rsid w:val="5A8D7133"/>
    <w:rsid w:val="5B743C89"/>
    <w:rsid w:val="5BB66216"/>
    <w:rsid w:val="5BDF57F6"/>
    <w:rsid w:val="5C480E38"/>
    <w:rsid w:val="5CBA30BC"/>
    <w:rsid w:val="5CDF4F71"/>
    <w:rsid w:val="5D035671"/>
    <w:rsid w:val="5DB78E5D"/>
    <w:rsid w:val="5DC0262A"/>
    <w:rsid w:val="5DCF5D91"/>
    <w:rsid w:val="5E253E84"/>
    <w:rsid w:val="5E2E4F64"/>
    <w:rsid w:val="5E3B6EA6"/>
    <w:rsid w:val="5EA06FC5"/>
    <w:rsid w:val="5EAB2A65"/>
    <w:rsid w:val="5ED3EF52"/>
    <w:rsid w:val="5EFF4F31"/>
    <w:rsid w:val="5F816B3B"/>
    <w:rsid w:val="5F8D8A0B"/>
    <w:rsid w:val="5F9525E6"/>
    <w:rsid w:val="5FF70D1E"/>
    <w:rsid w:val="608B1DE7"/>
    <w:rsid w:val="60AE7935"/>
    <w:rsid w:val="60B62814"/>
    <w:rsid w:val="6109328C"/>
    <w:rsid w:val="612C6924"/>
    <w:rsid w:val="619F7579"/>
    <w:rsid w:val="62055847"/>
    <w:rsid w:val="62AD7C47"/>
    <w:rsid w:val="62E92914"/>
    <w:rsid w:val="635DA5BC"/>
    <w:rsid w:val="63730E90"/>
    <w:rsid w:val="64A03ECE"/>
    <w:rsid w:val="64EE6A20"/>
    <w:rsid w:val="673022E1"/>
    <w:rsid w:val="678216A2"/>
    <w:rsid w:val="678E1B24"/>
    <w:rsid w:val="67B83316"/>
    <w:rsid w:val="67BEA548"/>
    <w:rsid w:val="67E78344"/>
    <w:rsid w:val="698A2A90"/>
    <w:rsid w:val="698C4A5A"/>
    <w:rsid w:val="69A27DD9"/>
    <w:rsid w:val="6A2E3D63"/>
    <w:rsid w:val="6AA91434"/>
    <w:rsid w:val="6AD3550E"/>
    <w:rsid w:val="6B1536A2"/>
    <w:rsid w:val="6B3A10AF"/>
    <w:rsid w:val="6B737129"/>
    <w:rsid w:val="6BB22C6F"/>
    <w:rsid w:val="6C2614F4"/>
    <w:rsid w:val="6C6B4119"/>
    <w:rsid w:val="6CD7423E"/>
    <w:rsid w:val="6D376609"/>
    <w:rsid w:val="6D3E2288"/>
    <w:rsid w:val="6E251EBD"/>
    <w:rsid w:val="6E2B1EEC"/>
    <w:rsid w:val="6E3F209B"/>
    <w:rsid w:val="6EE00B75"/>
    <w:rsid w:val="6F6F0394"/>
    <w:rsid w:val="6FBFFC74"/>
    <w:rsid w:val="70115CB9"/>
    <w:rsid w:val="70CD6084"/>
    <w:rsid w:val="70E73922"/>
    <w:rsid w:val="720A6611"/>
    <w:rsid w:val="728409C4"/>
    <w:rsid w:val="73B44F7D"/>
    <w:rsid w:val="73D38C0C"/>
    <w:rsid w:val="74C460BA"/>
    <w:rsid w:val="7553467E"/>
    <w:rsid w:val="758F690A"/>
    <w:rsid w:val="75F45E61"/>
    <w:rsid w:val="76E36436"/>
    <w:rsid w:val="76EFBBB2"/>
    <w:rsid w:val="77476464"/>
    <w:rsid w:val="777E0FB0"/>
    <w:rsid w:val="77804950"/>
    <w:rsid w:val="77FCED9B"/>
    <w:rsid w:val="77FF6A25"/>
    <w:rsid w:val="77FF7197"/>
    <w:rsid w:val="78A40F92"/>
    <w:rsid w:val="78FB12B4"/>
    <w:rsid w:val="7933C6F4"/>
    <w:rsid w:val="79501AEB"/>
    <w:rsid w:val="7A653600"/>
    <w:rsid w:val="7AE1DFA8"/>
    <w:rsid w:val="7AE87FB7"/>
    <w:rsid w:val="7B2A7C2F"/>
    <w:rsid w:val="7B97ABD0"/>
    <w:rsid w:val="7BB3455F"/>
    <w:rsid w:val="7BF9B9E5"/>
    <w:rsid w:val="7BFD320D"/>
    <w:rsid w:val="7BFEF8B8"/>
    <w:rsid w:val="7BFF6B31"/>
    <w:rsid w:val="7C645111"/>
    <w:rsid w:val="7D026A45"/>
    <w:rsid w:val="7D278C74"/>
    <w:rsid w:val="7D4D1C9B"/>
    <w:rsid w:val="7D89546B"/>
    <w:rsid w:val="7DD57826"/>
    <w:rsid w:val="7E6F544F"/>
    <w:rsid w:val="7EBF036C"/>
    <w:rsid w:val="7EEF137F"/>
    <w:rsid w:val="7F0E5374"/>
    <w:rsid w:val="7F390C59"/>
    <w:rsid w:val="7F4C286A"/>
    <w:rsid w:val="7F5E1378"/>
    <w:rsid w:val="7F75A6F5"/>
    <w:rsid w:val="7F968849"/>
    <w:rsid w:val="7FD7D0A0"/>
    <w:rsid w:val="7FED85B3"/>
    <w:rsid w:val="7FF4BB7F"/>
    <w:rsid w:val="7FF76DBA"/>
    <w:rsid w:val="7FFC99D0"/>
    <w:rsid w:val="8F5F36F7"/>
    <w:rsid w:val="8FCF32DD"/>
    <w:rsid w:val="936EEDC3"/>
    <w:rsid w:val="96F127EB"/>
    <w:rsid w:val="97BFCA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BEBA87"/>
  <w15:docId w15:val="{07BCA44B-EED3-4288-AB9B-9090D8F52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eastAsia="Adobe 仿宋 Std R"/>
      <w:kern w:val="2"/>
      <w:sz w:val="32"/>
      <w:szCs w:val="24"/>
    </w:rPr>
  </w:style>
  <w:style w:type="paragraph" w:styleId="1">
    <w:name w:val="heading 1"/>
    <w:basedOn w:val="a"/>
    <w:next w:val="a"/>
    <w:link w:val="10"/>
    <w:uiPriority w:val="9"/>
    <w:qFormat/>
    <w:pPr>
      <w:spacing w:beforeLines="50" w:afterLines="50"/>
      <w:ind w:left="1429"/>
      <w:outlineLvl w:val="0"/>
    </w:pPr>
    <w:rPr>
      <w:rFonts w:ascii="Calibri" w:eastAsia="黑体" w:hAnsi="Calibri"/>
      <w:szCs w:val="22"/>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hint="eastAsia"/>
      <w:b/>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rPr>
  </w:style>
  <w:style w:type="paragraph" w:styleId="aa">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b">
    <w:name w:val="Normal (Web)"/>
    <w:uiPriority w:val="99"/>
    <w:unhideWhenUsed/>
    <w:qFormat/>
    <w:pPr>
      <w:widowControl w:val="0"/>
      <w:jc w:val="both"/>
    </w:pPr>
    <w:rPr>
      <w:kern w:val="2"/>
      <w:sz w:val="24"/>
      <w:szCs w:val="24"/>
    </w:rPr>
  </w:style>
  <w:style w:type="paragraph" w:styleId="ac">
    <w:name w:val="annotation subject"/>
    <w:basedOn w:val="a4"/>
    <w:next w:val="a4"/>
    <w:link w:val="ad"/>
    <w:uiPriority w:val="99"/>
    <w:semiHidden/>
    <w:unhideWhenUsed/>
    <w:qFormat/>
    <w:rPr>
      <w:b/>
      <w:bCs/>
    </w:rPr>
  </w:style>
  <w:style w:type="table" w:styleId="ae">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Pr>
      <w:b/>
    </w:rPr>
  </w:style>
  <w:style w:type="character" w:styleId="af0">
    <w:name w:val="line number"/>
    <w:basedOn w:val="a1"/>
    <w:uiPriority w:val="99"/>
    <w:semiHidden/>
    <w:unhideWhenUsed/>
    <w:qFormat/>
  </w:style>
  <w:style w:type="character" w:styleId="af1">
    <w:name w:val="annotation reference"/>
    <w:basedOn w:val="a1"/>
    <w:uiPriority w:val="99"/>
    <w:semiHidden/>
    <w:unhideWhenUsed/>
    <w:qFormat/>
    <w:rPr>
      <w:sz w:val="21"/>
      <w:szCs w:val="21"/>
    </w:rPr>
  </w:style>
  <w:style w:type="paragraph" w:customStyle="1" w:styleId="11">
    <w:name w:val="列出段落1"/>
    <w:basedOn w:val="a"/>
    <w:link w:val="Char"/>
    <w:uiPriority w:val="34"/>
    <w:qFormat/>
    <w:pPr>
      <w:ind w:firstLineChars="200" w:firstLine="420"/>
    </w:pPr>
    <w:rPr>
      <w:rFonts w:eastAsia="仿宋_GB2312"/>
      <w:szCs w:val="32"/>
    </w:rPr>
  </w:style>
  <w:style w:type="character" w:customStyle="1" w:styleId="Char">
    <w:name w:val="列出段落 Char"/>
    <w:basedOn w:val="a1"/>
    <w:link w:val="11"/>
    <w:uiPriority w:val="34"/>
    <w:qFormat/>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Pr>
      <w:rFonts w:ascii="Times New Roman" w:eastAsia="Adobe 仿宋 Std R" w:hAnsi="Times New Roman" w:cs="Times New Roman"/>
      <w:kern w:val="2"/>
      <w:sz w:val="18"/>
      <w:szCs w:val="18"/>
    </w:rPr>
  </w:style>
  <w:style w:type="paragraph" w:styleId="af2">
    <w:name w:val="List Paragraph"/>
    <w:basedOn w:val="a"/>
    <w:link w:val="af3"/>
    <w:uiPriority w:val="34"/>
    <w:unhideWhenUsed/>
    <w:qFormat/>
    <w:pPr>
      <w:ind w:firstLineChars="200" w:firstLine="420"/>
    </w:pPr>
  </w:style>
  <w:style w:type="character" w:customStyle="1" w:styleId="a5">
    <w:name w:val="批注文字 字符"/>
    <w:basedOn w:val="a1"/>
    <w:link w:val="a4"/>
    <w:uiPriority w:val="99"/>
    <w:semiHidden/>
    <w:qFormat/>
    <w:rPr>
      <w:rFonts w:ascii="Times New Roman" w:eastAsia="Adobe 仿宋 Std R" w:hAnsi="Times New Roman" w:cs="Times New Roman"/>
      <w:kern w:val="2"/>
      <w:sz w:val="32"/>
      <w:szCs w:val="24"/>
    </w:rPr>
  </w:style>
  <w:style w:type="character" w:customStyle="1" w:styleId="ad">
    <w:name w:val="批注主题 字符"/>
    <w:basedOn w:val="a5"/>
    <w:link w:val="ac"/>
    <w:uiPriority w:val="99"/>
    <w:semiHidden/>
    <w:qFormat/>
    <w:rPr>
      <w:rFonts w:ascii="Times New Roman" w:eastAsia="Adobe 仿宋 Std R" w:hAnsi="Times New Roman" w:cs="Times New Roman"/>
      <w:b/>
      <w:bCs/>
      <w:kern w:val="2"/>
      <w:sz w:val="32"/>
      <w:szCs w:val="24"/>
    </w:rPr>
  </w:style>
  <w:style w:type="character" w:customStyle="1" w:styleId="a9">
    <w:name w:val="页脚 字符"/>
    <w:basedOn w:val="a1"/>
    <w:link w:val="a8"/>
    <w:uiPriority w:val="99"/>
    <w:qFormat/>
    <w:rPr>
      <w:rFonts w:ascii="Times New Roman" w:eastAsia="Adobe 仿宋 Std R" w:hAnsi="Times New Roman" w:cs="Times New Roman"/>
      <w:kern w:val="2"/>
      <w:sz w:val="18"/>
      <w:szCs w:val="24"/>
    </w:rPr>
  </w:style>
  <w:style w:type="character" w:customStyle="1" w:styleId="10">
    <w:name w:val="标题 1 字符"/>
    <w:basedOn w:val="a1"/>
    <w:link w:val="1"/>
    <w:uiPriority w:val="9"/>
    <w:qFormat/>
    <w:rPr>
      <w:rFonts w:ascii="Calibri" w:eastAsia="黑体" w:hAnsi="Calibri" w:cs="Times New Roman"/>
      <w:kern w:val="2"/>
      <w:sz w:val="32"/>
      <w:szCs w:val="22"/>
    </w:rPr>
  </w:style>
  <w:style w:type="character" w:customStyle="1" w:styleId="af3">
    <w:name w:val="列出段落 字符"/>
    <w:link w:val="af2"/>
    <w:uiPriority w:val="34"/>
    <w:qFormat/>
    <w:rPr>
      <w:rFonts w:ascii="Times New Roman" w:eastAsia="Adobe 仿宋 Std R" w:hAnsi="Times New Roman" w:cs="Times New Roman"/>
      <w:kern w:val="2"/>
      <w:sz w:val="32"/>
      <w:szCs w:val="24"/>
    </w:rPr>
  </w:style>
  <w:style w:type="paragraph" w:customStyle="1" w:styleId="Style19">
    <w:name w:val="_Style 19"/>
    <w:basedOn w:val="a"/>
    <w:next w:val="af2"/>
    <w:uiPriority w:val="34"/>
    <w:qFormat/>
    <w:pPr>
      <w:ind w:firstLineChars="200" w:firstLine="420"/>
    </w:pPr>
    <w:rPr>
      <w:rFonts w:eastAsia="宋体"/>
      <w:sz w:val="21"/>
    </w:rPr>
  </w:style>
  <w:style w:type="character" w:customStyle="1" w:styleId="f101">
    <w:name w:val="f10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1260</Words>
  <Characters>7185</Characters>
  <Application>Microsoft Office Word</Application>
  <DocSecurity>0</DocSecurity>
  <Lines>59</Lines>
  <Paragraphs>16</Paragraphs>
  <ScaleCrop>false</ScaleCrop>
  <Company>Microsoft</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办公室发文</cp:lastModifiedBy>
  <cp:revision>4</cp:revision>
  <cp:lastPrinted>2025-07-17T06:53:00Z</cp:lastPrinted>
  <dcterms:created xsi:type="dcterms:W3CDTF">2022-04-06T21:16:00Z</dcterms:created>
  <dcterms:modified xsi:type="dcterms:W3CDTF">2026-07-21T06:41:00Z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E2F8980A9996490FB83D0579B8B0F512_13</vt:lpwstr>
  </property>
  <property fmtid="{D5CDD505-2E9C-101B-9397-08002B2CF9AE}" pid="4" name="KSOTemplateDocerSaveRecord">
    <vt:lpwstr>eyJoZGlkIjoiODViY2JkMjU3NGYzZTEwMzZmMGFkZWViYmNkYWU3NDIiLCJ1c2VySWQiOiIyMTk0NDEzMjAifQ==</vt:lpwstr>
  </property>
</Properties>
</file>