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7CF" w:rsidRDefault="00307597" w:rsidP="00FF3548">
      <w:pPr>
        <w:spacing w:beforeLines="100" w:before="312" w:line="600" w:lineRule="exact"/>
        <w:jc w:val="center"/>
        <w:rPr>
          <w:rFonts w:eastAsia="方正小标宋简体"/>
          <w:kern w:val="0"/>
          <w:sz w:val="44"/>
          <w:szCs w:val="44"/>
        </w:rPr>
      </w:pPr>
      <w:r>
        <w:rPr>
          <w:rFonts w:eastAsia="方正小标宋简体"/>
          <w:kern w:val="0"/>
          <w:sz w:val="44"/>
          <w:szCs w:val="44"/>
        </w:rPr>
        <w:t>中医舌诊仪产品注册审查指导原则</w:t>
      </w:r>
    </w:p>
    <w:p w:rsidR="00BC27CF" w:rsidRDefault="00BC27CF">
      <w:pPr>
        <w:spacing w:line="520" w:lineRule="exact"/>
        <w:ind w:firstLineChars="200" w:firstLine="562"/>
        <w:jc w:val="center"/>
        <w:rPr>
          <w:rFonts w:eastAsia="仿宋_GB2312"/>
          <w:b/>
          <w:bCs/>
          <w:color w:val="000000"/>
          <w:sz w:val="28"/>
          <w:szCs w:val="28"/>
        </w:rPr>
      </w:pP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本指导原则旨在指导注册申请人对中医舌诊设备注册申报资料的准备及撰写，同时也为技术审评部门审查注册申报资料提供参考。</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本指导原则是对中医舌诊设备的一般要求，申请人应依据产品的具体特性确定其中内容是否适用。若不适用，需具体阐述理由及相应的科学依据，并依据产品的具体特性对注册申报资料的内容进行充实和细化。</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本指导原则是在现行法规和标准体系以及当前认知水平下制定，随着法规和标准的不断完善，以及科学技术的不断发展，相关内容也将适时进行调整。</w:t>
      </w:r>
    </w:p>
    <w:p w:rsidR="00BC27CF" w:rsidRDefault="00307597">
      <w:pPr>
        <w:overflowPunct w:val="0"/>
        <w:autoSpaceDE w:val="0"/>
        <w:autoSpaceDN w:val="0"/>
        <w:spacing w:line="520" w:lineRule="exact"/>
        <w:ind w:firstLineChars="200" w:firstLine="640"/>
        <w:outlineLvl w:val="0"/>
        <w:rPr>
          <w:rFonts w:eastAsia="黑体"/>
          <w:snapToGrid w:val="0"/>
          <w:color w:val="000000"/>
          <w:kern w:val="0"/>
          <w:sz w:val="32"/>
          <w:szCs w:val="32"/>
        </w:rPr>
      </w:pPr>
      <w:r>
        <w:rPr>
          <w:rFonts w:eastAsia="黑体"/>
          <w:snapToGrid w:val="0"/>
          <w:color w:val="000000"/>
          <w:kern w:val="0"/>
          <w:sz w:val="32"/>
          <w:szCs w:val="32"/>
        </w:rPr>
        <w:t>一、适用范围</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本指导原则适用于中医舌诊设备。根据《医疗器械分类目录》，申报产品的管理分类为</w:t>
      </w:r>
      <w:r>
        <w:rPr>
          <w:rFonts w:eastAsia="仿宋_GB2312"/>
          <w:color w:val="000000"/>
          <w:kern w:val="0"/>
          <w:sz w:val="32"/>
          <w:szCs w:val="32"/>
        </w:rPr>
        <w:t>Ⅱ</w:t>
      </w:r>
      <w:r>
        <w:rPr>
          <w:rFonts w:eastAsia="仿宋_GB2312"/>
          <w:color w:val="000000"/>
          <w:kern w:val="0"/>
          <w:sz w:val="32"/>
          <w:szCs w:val="32"/>
        </w:rPr>
        <w:t>类，分类编码为</w:t>
      </w:r>
      <w:r>
        <w:rPr>
          <w:rFonts w:eastAsia="仿宋_GB2312"/>
          <w:color w:val="000000"/>
          <w:kern w:val="0"/>
          <w:sz w:val="32"/>
          <w:szCs w:val="32"/>
        </w:rPr>
        <w:t>20-01-02</w:t>
      </w:r>
      <w:r>
        <w:rPr>
          <w:rFonts w:eastAsia="仿宋_GB2312"/>
          <w:color w:val="000000"/>
          <w:kern w:val="0"/>
          <w:sz w:val="32"/>
          <w:szCs w:val="32"/>
        </w:rPr>
        <w:t>，通常由主机、</w:t>
      </w:r>
      <w:r>
        <w:rPr>
          <w:rFonts w:eastAsia="仿宋_GB2312"/>
          <w:color w:val="000000"/>
          <w:kern w:val="0"/>
          <w:sz w:val="32"/>
          <w:szCs w:val="32"/>
        </w:rPr>
        <w:t>图像采集装置和光源组成，通过图像采集装置获取舌象图像，并对采集到的图像进行分析。中医临床采集、存储舌象图像数据，计算舌象图像参数信息的设备可参考本指导原则执行。</w:t>
      </w:r>
    </w:p>
    <w:p w:rsidR="00BC27CF" w:rsidRDefault="00307597">
      <w:pPr>
        <w:overflowPunct w:val="0"/>
        <w:autoSpaceDE w:val="0"/>
        <w:autoSpaceDN w:val="0"/>
        <w:spacing w:line="520" w:lineRule="exact"/>
        <w:ind w:firstLineChars="200" w:firstLine="640"/>
        <w:outlineLvl w:val="0"/>
        <w:rPr>
          <w:rFonts w:eastAsia="黑体"/>
          <w:snapToGrid w:val="0"/>
          <w:color w:val="000000"/>
          <w:kern w:val="0"/>
          <w:sz w:val="32"/>
          <w:szCs w:val="32"/>
        </w:rPr>
      </w:pPr>
      <w:r>
        <w:rPr>
          <w:rFonts w:eastAsia="黑体"/>
          <w:snapToGrid w:val="0"/>
          <w:color w:val="000000"/>
          <w:kern w:val="0"/>
          <w:sz w:val="32"/>
          <w:szCs w:val="32"/>
        </w:rPr>
        <w:lastRenderedPageBreak/>
        <w:t>二、注册审查要点</w:t>
      </w:r>
    </w:p>
    <w:p w:rsidR="00BC27CF" w:rsidRDefault="00307597">
      <w:pPr>
        <w:spacing w:line="520" w:lineRule="exact"/>
        <w:ind w:firstLineChars="200" w:firstLine="640"/>
        <w:jc w:val="left"/>
        <w:outlineLvl w:val="1"/>
        <w:rPr>
          <w:rFonts w:eastAsia="楷体_GB2312"/>
          <w:color w:val="000000"/>
          <w:sz w:val="32"/>
          <w:szCs w:val="32"/>
        </w:rPr>
      </w:pPr>
      <w:r>
        <w:rPr>
          <w:rFonts w:eastAsia="楷体_GB2312"/>
          <w:color w:val="000000"/>
          <w:sz w:val="32"/>
          <w:szCs w:val="32"/>
        </w:rPr>
        <w:t>（一）监管信息</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注册申请人（以下简称申请人）需要描述申报产品的管理类别、分类编码、产品名称的确定依据。</w:t>
      </w:r>
    </w:p>
    <w:p w:rsidR="00BC27CF" w:rsidRDefault="00307597">
      <w:pPr>
        <w:spacing w:line="520" w:lineRule="exact"/>
        <w:ind w:firstLineChars="200" w:firstLine="640"/>
        <w:outlineLvl w:val="2"/>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rPr>
        <w:t>产品名称</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产品的命名应符合《医疗器械通用名称命名规则》、《中医器械通用名称命名指导原则》和国家标准、行业标准上的通用名称要求。产品名称由一个核心词和不超过三个的特征词组成，如：</w:t>
      </w:r>
      <w:r>
        <w:rPr>
          <w:rFonts w:eastAsia="仿宋_GB2312"/>
          <w:color w:val="000000"/>
          <w:kern w:val="0"/>
          <w:sz w:val="32"/>
          <w:szCs w:val="32"/>
        </w:rPr>
        <w:t>“</w:t>
      </w:r>
      <w:r>
        <w:rPr>
          <w:rFonts w:eastAsia="仿宋_GB2312"/>
          <w:color w:val="000000"/>
          <w:kern w:val="0"/>
          <w:sz w:val="32"/>
          <w:szCs w:val="32"/>
        </w:rPr>
        <w:t>舌象信息采集设备</w:t>
      </w:r>
      <w:r>
        <w:rPr>
          <w:rFonts w:eastAsia="仿宋_GB2312"/>
          <w:color w:val="000000"/>
          <w:kern w:val="0"/>
          <w:sz w:val="32"/>
          <w:szCs w:val="32"/>
        </w:rPr>
        <w:t>”</w:t>
      </w:r>
      <w:r>
        <w:rPr>
          <w:rFonts w:eastAsia="仿宋_GB2312"/>
          <w:color w:val="000000"/>
          <w:kern w:val="0"/>
          <w:sz w:val="32"/>
          <w:szCs w:val="32"/>
        </w:rPr>
        <w:t>、</w:t>
      </w:r>
      <w:r>
        <w:rPr>
          <w:rFonts w:eastAsia="仿宋_GB2312"/>
          <w:color w:val="000000"/>
          <w:kern w:val="0"/>
          <w:sz w:val="32"/>
          <w:szCs w:val="32"/>
        </w:rPr>
        <w:t>“</w:t>
      </w:r>
      <w:r>
        <w:rPr>
          <w:rFonts w:eastAsia="仿宋_GB2312"/>
          <w:color w:val="000000"/>
          <w:kern w:val="0"/>
          <w:sz w:val="32"/>
          <w:szCs w:val="32"/>
        </w:rPr>
        <w:t>舌诊仪</w:t>
      </w:r>
      <w:r>
        <w:rPr>
          <w:rFonts w:eastAsia="仿宋_GB2312"/>
          <w:color w:val="000000"/>
          <w:kern w:val="0"/>
          <w:sz w:val="32"/>
          <w:szCs w:val="32"/>
        </w:rPr>
        <w:t>”</w:t>
      </w:r>
      <w:r>
        <w:rPr>
          <w:rFonts w:eastAsia="仿宋_GB2312"/>
          <w:color w:val="000000"/>
          <w:kern w:val="0"/>
          <w:sz w:val="32"/>
          <w:szCs w:val="32"/>
        </w:rPr>
        <w:t>。</w:t>
      </w:r>
    </w:p>
    <w:p w:rsidR="00BC27CF" w:rsidRDefault="00307597">
      <w:pPr>
        <w:spacing w:line="520" w:lineRule="exact"/>
        <w:ind w:firstLineChars="200" w:firstLine="640"/>
        <w:outlineLvl w:val="2"/>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rPr>
        <w:t>分类编码</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根据《医疗器械分类目录》，</w:t>
      </w:r>
      <w:bookmarkStart w:id="0" w:name="OLE_LINK1"/>
      <w:r>
        <w:rPr>
          <w:rFonts w:eastAsia="仿宋_GB2312"/>
          <w:color w:val="000000"/>
          <w:kern w:val="0"/>
          <w:sz w:val="32"/>
          <w:szCs w:val="32"/>
        </w:rPr>
        <w:t>分类编码为</w:t>
      </w:r>
      <w:r>
        <w:rPr>
          <w:rFonts w:eastAsia="仿宋_GB2312"/>
          <w:color w:val="000000"/>
          <w:kern w:val="0"/>
          <w:sz w:val="32"/>
          <w:szCs w:val="32"/>
        </w:rPr>
        <w:t>20-01-02</w:t>
      </w:r>
      <w:r>
        <w:rPr>
          <w:rFonts w:eastAsia="仿宋_GB2312"/>
          <w:color w:val="000000"/>
          <w:kern w:val="0"/>
          <w:sz w:val="32"/>
          <w:szCs w:val="32"/>
        </w:rPr>
        <w:t>，管理类别为</w:t>
      </w:r>
      <w:r>
        <w:rPr>
          <w:rFonts w:eastAsia="仿宋_GB2312"/>
          <w:color w:val="000000"/>
          <w:kern w:val="0"/>
          <w:sz w:val="32"/>
          <w:szCs w:val="32"/>
        </w:rPr>
        <w:t>Ⅱ</w:t>
      </w:r>
      <w:r>
        <w:rPr>
          <w:rFonts w:eastAsia="仿宋_GB2312"/>
          <w:color w:val="000000"/>
          <w:kern w:val="0"/>
          <w:sz w:val="32"/>
          <w:szCs w:val="32"/>
        </w:rPr>
        <w:t>类。</w:t>
      </w:r>
    </w:p>
    <w:bookmarkEnd w:id="0"/>
    <w:p w:rsidR="00BC27CF" w:rsidRDefault="00307597">
      <w:pPr>
        <w:spacing w:line="520" w:lineRule="exact"/>
        <w:ind w:firstLineChars="200" w:firstLine="640"/>
        <w:outlineLvl w:val="2"/>
        <w:rPr>
          <w:rFonts w:eastAsia="仿宋_GB2312"/>
          <w:color w:val="000000"/>
          <w:kern w:val="0"/>
          <w:sz w:val="32"/>
          <w:szCs w:val="32"/>
        </w:rPr>
      </w:pPr>
      <w:r>
        <w:rPr>
          <w:rFonts w:eastAsia="仿宋_GB2312"/>
          <w:color w:val="000000"/>
          <w:kern w:val="0"/>
          <w:sz w:val="32"/>
          <w:szCs w:val="32"/>
        </w:rPr>
        <w:t>3.</w:t>
      </w:r>
      <w:r>
        <w:rPr>
          <w:rFonts w:eastAsia="仿宋_GB2312"/>
          <w:color w:val="000000"/>
          <w:kern w:val="0"/>
          <w:sz w:val="32"/>
          <w:szCs w:val="32"/>
        </w:rPr>
        <w:t>注册单元划分的原则</w:t>
      </w:r>
    </w:p>
    <w:p w:rsidR="00BC27CF" w:rsidRDefault="00307597">
      <w:pPr>
        <w:spacing w:line="520" w:lineRule="exact"/>
        <w:ind w:firstLineChars="200" w:firstLine="640"/>
        <w:rPr>
          <w:rFonts w:eastAsia="仿宋_GB2312"/>
          <w:color w:val="000000"/>
          <w:kern w:val="0"/>
          <w:sz w:val="32"/>
          <w:szCs w:val="32"/>
          <w:highlight w:val="yellow"/>
        </w:rPr>
      </w:pPr>
      <w:r>
        <w:rPr>
          <w:rFonts w:eastAsia="仿宋_GB2312"/>
          <w:color w:val="000000"/>
          <w:kern w:val="0"/>
          <w:sz w:val="32"/>
          <w:szCs w:val="32"/>
        </w:rPr>
        <w:t>注册单元划分应符合《医疗器械注册单元划分指导原则》的要求，原则上以申报产品的技术原理、结构组成和适用范围为划分依据。产品技术原理存在较大差异的应考虑划分为不同的注册单元。</w:t>
      </w:r>
    </w:p>
    <w:p w:rsidR="00BC27CF" w:rsidRDefault="00307597">
      <w:pPr>
        <w:spacing w:line="520" w:lineRule="exact"/>
        <w:ind w:firstLineChars="200" w:firstLine="640"/>
        <w:jc w:val="left"/>
        <w:outlineLvl w:val="1"/>
        <w:rPr>
          <w:rFonts w:eastAsia="仿宋_GB2312"/>
          <w:color w:val="000000"/>
          <w:kern w:val="0"/>
          <w:sz w:val="32"/>
          <w:szCs w:val="32"/>
        </w:rPr>
      </w:pPr>
      <w:r>
        <w:rPr>
          <w:rFonts w:eastAsia="楷体_GB2312"/>
          <w:color w:val="000000"/>
          <w:sz w:val="32"/>
          <w:szCs w:val="32"/>
        </w:rPr>
        <w:t>（二）综述资料</w:t>
      </w:r>
    </w:p>
    <w:p w:rsidR="00BC27CF" w:rsidRDefault="00307597">
      <w:pPr>
        <w:spacing w:line="520" w:lineRule="exact"/>
        <w:ind w:firstLineChars="200" w:firstLine="640"/>
        <w:outlineLvl w:val="2"/>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rPr>
        <w:t>产品描述</w:t>
      </w: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1.1</w:t>
      </w:r>
      <w:r>
        <w:rPr>
          <w:rFonts w:eastAsia="仿宋_GB2312"/>
          <w:color w:val="000000"/>
          <w:kern w:val="0"/>
          <w:sz w:val="32"/>
          <w:szCs w:val="32"/>
        </w:rPr>
        <w:t>设备的</w:t>
      </w:r>
      <w:bookmarkStart w:id="1" w:name="_GoBack"/>
      <w:bookmarkEnd w:id="1"/>
      <w:r>
        <w:rPr>
          <w:rFonts w:eastAsia="仿宋_GB2312"/>
          <w:color w:val="000000"/>
          <w:kern w:val="0"/>
          <w:sz w:val="32"/>
          <w:szCs w:val="32"/>
        </w:rPr>
        <w:t>结构组成</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中医舌诊设备通常包含主机、图像采集装置和光源。不同类型的舌诊产品可能包含：电脑主机、软件、显示设备，以及其他为实现中医舌象图像数据采集、存储、计算功能而配合使用的模块或部件。</w:t>
      </w:r>
      <w:r>
        <w:rPr>
          <w:rFonts w:eastAsia="仿宋_GB2312"/>
          <w:color w:val="000000"/>
          <w:kern w:val="0"/>
          <w:sz w:val="32"/>
          <w:szCs w:val="32"/>
        </w:rPr>
        <w:t xml:space="preserve"> </w:t>
      </w:r>
      <w:r>
        <w:rPr>
          <w:rFonts w:eastAsia="仿宋_GB2312"/>
          <w:color w:val="000000"/>
          <w:kern w:val="0"/>
          <w:sz w:val="32"/>
          <w:szCs w:val="32"/>
        </w:rPr>
        <w:t>产品典型结构示意图见图</w:t>
      </w:r>
      <w:r>
        <w:rPr>
          <w:rFonts w:eastAsia="仿宋_GB2312"/>
          <w:color w:val="000000"/>
          <w:kern w:val="0"/>
          <w:sz w:val="32"/>
          <w:szCs w:val="32"/>
        </w:rPr>
        <w:t>1</w:t>
      </w:r>
      <w:r>
        <w:rPr>
          <w:rFonts w:eastAsia="仿宋_GB2312"/>
          <w:color w:val="000000"/>
          <w:kern w:val="0"/>
          <w:sz w:val="32"/>
          <w:szCs w:val="32"/>
        </w:rPr>
        <w:t>。</w:t>
      </w:r>
    </w:p>
    <w:p w:rsidR="00BC27CF" w:rsidRDefault="00307597">
      <w:pPr>
        <w:jc w:val="center"/>
        <w:rPr>
          <w:rFonts w:eastAsia="仿宋_GB2312"/>
          <w:color w:val="000000"/>
          <w:kern w:val="0"/>
          <w:sz w:val="32"/>
          <w:szCs w:val="32"/>
        </w:rPr>
      </w:pPr>
      <w:r>
        <w:rPr>
          <w:rFonts w:eastAsia="黑体"/>
          <w:noProof/>
          <w:color w:val="000000"/>
          <w:sz w:val="28"/>
          <w:szCs w:val="28"/>
        </w:rPr>
        <w:lastRenderedPageBreak/>
        <w:drawing>
          <wp:inline distT="0" distB="0" distL="0" distR="0">
            <wp:extent cx="5538470" cy="2599690"/>
            <wp:effectExtent l="19050" t="0" r="508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8"/>
                    <a:srcRect/>
                    <a:stretch>
                      <a:fillRect/>
                    </a:stretch>
                  </pic:blipFill>
                  <pic:spPr>
                    <a:xfrm>
                      <a:off x="0" y="0"/>
                      <a:ext cx="5538470" cy="2599690"/>
                    </a:xfrm>
                    <a:prstGeom prst="rect">
                      <a:avLst/>
                    </a:prstGeom>
                    <a:noFill/>
                    <a:ln w="9525" cmpd="sng">
                      <a:noFill/>
                      <a:miter lim="800000"/>
                      <a:headEnd/>
                      <a:tailEnd/>
                    </a:ln>
                  </pic:spPr>
                </pic:pic>
              </a:graphicData>
            </a:graphic>
          </wp:inline>
        </w:drawing>
      </w:r>
      <w:r>
        <w:rPr>
          <w:rFonts w:eastAsia="黑体"/>
          <w:color w:val="000000"/>
          <w:sz w:val="28"/>
          <w:szCs w:val="28"/>
        </w:rPr>
        <w:t>图</w:t>
      </w:r>
      <w:r>
        <w:rPr>
          <w:rFonts w:eastAsia="黑体"/>
          <w:color w:val="000000"/>
          <w:sz w:val="28"/>
          <w:szCs w:val="28"/>
        </w:rPr>
        <w:t xml:space="preserve">1 </w:t>
      </w:r>
      <w:r>
        <w:rPr>
          <w:rFonts w:eastAsia="黑体"/>
          <w:color w:val="000000"/>
          <w:sz w:val="28"/>
          <w:szCs w:val="28"/>
        </w:rPr>
        <w:t>舌诊仪产品典型结构示意图</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申请人应结合产品图示详细描述产品结构组成（含配合使用的附件）、主要功能及其组成部件（关键组件和软件）的功能，如：全部光源的参数信息（类型、波长、最大输出要求等）、图像采集装置的参数及定义信息、嵌入式软件及上位机软件（如有）的全部功能，包括分析的参数情况及临床意义、接口情况等，含有多个组成部分的，应说明其连接或组装关系。</w:t>
      </w: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1.2</w:t>
      </w:r>
      <w:r>
        <w:rPr>
          <w:rFonts w:eastAsia="仿宋_GB2312"/>
          <w:color w:val="000000"/>
          <w:kern w:val="0"/>
          <w:sz w:val="32"/>
          <w:szCs w:val="32"/>
        </w:rPr>
        <w:t>工作原理</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中医舌诊设备在特定光源条件下，通过图像采集装置获取舌象图像，通过其他配合使用的模块实现对中医舌象图像存储、计算、</w:t>
      </w:r>
      <w:r>
        <w:rPr>
          <w:rFonts w:eastAsia="仿宋_GB2312"/>
          <w:color w:val="000000"/>
          <w:kern w:val="0"/>
          <w:sz w:val="32"/>
          <w:szCs w:val="32"/>
        </w:rPr>
        <w:t>分析等功能。</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申请人应结合光源、图像采集装置和主机及显示设备详述申报产品工作原理。产品工作原理结构示意图详见图</w:t>
      </w:r>
      <w:r>
        <w:rPr>
          <w:rFonts w:eastAsia="仿宋_GB2312"/>
          <w:color w:val="000000"/>
          <w:kern w:val="0"/>
          <w:sz w:val="32"/>
          <w:szCs w:val="32"/>
        </w:rPr>
        <w:t>2</w:t>
      </w:r>
      <w:r>
        <w:rPr>
          <w:rFonts w:eastAsia="仿宋_GB2312"/>
          <w:color w:val="000000"/>
          <w:kern w:val="0"/>
          <w:sz w:val="32"/>
          <w:szCs w:val="32"/>
        </w:rPr>
        <w:t>。</w:t>
      </w:r>
    </w:p>
    <w:p w:rsidR="00BC27CF" w:rsidRDefault="00307597">
      <w:pPr>
        <w:ind w:firstLineChars="200" w:firstLine="640"/>
        <w:rPr>
          <w:rFonts w:eastAsia="仿宋_GB2312"/>
          <w:color w:val="000000"/>
          <w:kern w:val="0"/>
          <w:sz w:val="32"/>
          <w:szCs w:val="32"/>
        </w:rPr>
      </w:pPr>
      <w:r>
        <w:rPr>
          <w:rFonts w:eastAsia="仿宋_GB2312"/>
          <w:noProof/>
          <w:color w:val="000000"/>
          <w:kern w:val="0"/>
          <w:sz w:val="32"/>
          <w:szCs w:val="32"/>
        </w:rPr>
        <w:lastRenderedPageBreak/>
        <w:drawing>
          <wp:inline distT="0" distB="0" distL="0" distR="0">
            <wp:extent cx="5538470" cy="2142490"/>
            <wp:effectExtent l="19050" t="0" r="508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9"/>
                    <a:srcRect/>
                    <a:stretch>
                      <a:fillRect/>
                    </a:stretch>
                  </pic:blipFill>
                  <pic:spPr>
                    <a:xfrm>
                      <a:off x="0" y="0"/>
                      <a:ext cx="5538470" cy="2142490"/>
                    </a:xfrm>
                    <a:prstGeom prst="rect">
                      <a:avLst/>
                    </a:prstGeom>
                    <a:noFill/>
                    <a:ln w="9525" cmpd="sng">
                      <a:noFill/>
                      <a:miter lim="800000"/>
                      <a:headEnd/>
                      <a:tailEnd/>
                    </a:ln>
                  </pic:spPr>
                </pic:pic>
              </a:graphicData>
            </a:graphic>
          </wp:inline>
        </w:drawing>
      </w:r>
    </w:p>
    <w:p w:rsidR="00BC27CF" w:rsidRDefault="00307597">
      <w:pPr>
        <w:spacing w:line="520" w:lineRule="exact"/>
        <w:jc w:val="center"/>
        <w:rPr>
          <w:rFonts w:eastAsia="黑体"/>
          <w:color w:val="000000"/>
          <w:sz w:val="28"/>
          <w:szCs w:val="28"/>
        </w:rPr>
      </w:pPr>
      <w:r>
        <w:rPr>
          <w:rFonts w:eastAsia="黑体"/>
          <w:color w:val="000000"/>
          <w:sz w:val="28"/>
          <w:szCs w:val="28"/>
        </w:rPr>
        <w:t>图</w:t>
      </w:r>
      <w:r>
        <w:rPr>
          <w:rFonts w:eastAsia="黑体"/>
          <w:color w:val="000000"/>
          <w:sz w:val="28"/>
          <w:szCs w:val="28"/>
        </w:rPr>
        <w:t xml:space="preserve">2 </w:t>
      </w:r>
      <w:r>
        <w:rPr>
          <w:rFonts w:eastAsia="黑体"/>
          <w:color w:val="000000"/>
          <w:sz w:val="28"/>
          <w:szCs w:val="28"/>
        </w:rPr>
        <w:t>工作原理结构示意图</w:t>
      </w:r>
    </w:p>
    <w:p w:rsidR="00BC27CF" w:rsidRDefault="00BC27CF">
      <w:pPr>
        <w:spacing w:line="520" w:lineRule="exact"/>
        <w:ind w:firstLineChars="200" w:firstLine="640"/>
        <w:rPr>
          <w:rFonts w:eastAsia="仿宋_GB2312"/>
          <w:color w:val="000000"/>
          <w:kern w:val="0"/>
          <w:sz w:val="32"/>
          <w:szCs w:val="32"/>
        </w:rPr>
      </w:pP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1.3</w:t>
      </w:r>
      <w:r>
        <w:rPr>
          <w:rFonts w:eastAsia="仿宋_GB2312"/>
          <w:color w:val="000000"/>
          <w:kern w:val="0"/>
          <w:sz w:val="32"/>
          <w:szCs w:val="32"/>
        </w:rPr>
        <w:t>型号规格</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对于存在多种型号规格的产品，应当明确各型号规格的区别。应当采用对比表或带有说明性文字的图片、图表，描述各种型号规格的结构组成（或配置）、功能、产品特征和运行模式、技术参数等内容。</w:t>
      </w: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1.4</w:t>
      </w:r>
      <w:r>
        <w:rPr>
          <w:rFonts w:eastAsia="仿宋_GB2312"/>
          <w:color w:val="000000"/>
          <w:kern w:val="0"/>
          <w:sz w:val="32"/>
          <w:szCs w:val="32"/>
        </w:rPr>
        <w:t>包装说明</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申请人应详细描述申报产品中注册单元所有产品组成的包装情况，说明包装清单和包装方式，提供包装图示。</w:t>
      </w: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1.5</w:t>
      </w:r>
      <w:r>
        <w:rPr>
          <w:rFonts w:eastAsia="仿宋_GB2312"/>
          <w:color w:val="000000"/>
          <w:kern w:val="0"/>
          <w:sz w:val="32"/>
          <w:szCs w:val="32"/>
        </w:rPr>
        <w:t>研发历程</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应描述申报产品的研发背景和目的，如申报</w:t>
      </w:r>
      <w:r>
        <w:rPr>
          <w:rFonts w:eastAsia="仿宋_GB2312"/>
          <w:color w:val="000000"/>
          <w:kern w:val="0"/>
          <w:sz w:val="32"/>
          <w:szCs w:val="32"/>
        </w:rPr>
        <w:t>产品的研发历史概述、历次注册申请提交的信息。</w:t>
      </w: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1.6</w:t>
      </w:r>
      <w:r>
        <w:rPr>
          <w:rFonts w:eastAsia="仿宋_GB2312"/>
          <w:color w:val="000000"/>
          <w:kern w:val="0"/>
          <w:sz w:val="32"/>
          <w:szCs w:val="32"/>
        </w:rPr>
        <w:t>与同类和</w:t>
      </w:r>
      <w:r>
        <w:rPr>
          <w:rFonts w:eastAsia="仿宋_GB2312"/>
          <w:color w:val="000000"/>
          <w:kern w:val="0"/>
          <w:sz w:val="32"/>
          <w:szCs w:val="32"/>
        </w:rPr>
        <w:t>/</w:t>
      </w:r>
      <w:r>
        <w:rPr>
          <w:rFonts w:eastAsia="仿宋_GB2312"/>
          <w:color w:val="000000"/>
          <w:kern w:val="0"/>
          <w:sz w:val="32"/>
          <w:szCs w:val="32"/>
        </w:rPr>
        <w:t>或前代产品的参考和比较</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对于研发参考的同类产品或前代产品，应说明选择其作为研发参考的原因。同时列表说明申报产品与研发参考产品在工作原理、结构组成、性能指标及适用范围等方面的异同。</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lastRenderedPageBreak/>
        <w:t>区别于其他同类产品的特征是技术审评的关注点，如设备适用范围、结构组成、性能指标等。</w:t>
      </w:r>
    </w:p>
    <w:p w:rsidR="00BC27CF" w:rsidRDefault="00307597">
      <w:pPr>
        <w:spacing w:line="520" w:lineRule="exact"/>
        <w:ind w:firstLineChars="200" w:firstLine="640"/>
        <w:outlineLvl w:val="2"/>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rPr>
        <w:t>适用范围和禁忌证</w:t>
      </w:r>
    </w:p>
    <w:p w:rsidR="00BC27CF" w:rsidRDefault="00307597">
      <w:pPr>
        <w:spacing w:line="520" w:lineRule="exact"/>
        <w:ind w:firstLineChars="200" w:firstLine="640"/>
        <w:outlineLvl w:val="3"/>
        <w:rPr>
          <w:rFonts w:eastAsia="仿宋_GB2312"/>
          <w:kern w:val="0"/>
          <w:sz w:val="32"/>
          <w:szCs w:val="32"/>
        </w:rPr>
      </w:pPr>
      <w:r>
        <w:rPr>
          <w:rFonts w:eastAsia="仿宋_GB2312"/>
          <w:color w:val="000000"/>
          <w:kern w:val="0"/>
          <w:sz w:val="32"/>
          <w:szCs w:val="32"/>
        </w:rPr>
        <w:t>2.1</w:t>
      </w:r>
      <w:r>
        <w:rPr>
          <w:rFonts w:eastAsia="仿宋_GB2312"/>
          <w:kern w:val="0"/>
          <w:sz w:val="32"/>
          <w:szCs w:val="32"/>
        </w:rPr>
        <w:t>适用范围</w:t>
      </w:r>
    </w:p>
    <w:p w:rsidR="00BC27CF" w:rsidRDefault="00307597">
      <w:pPr>
        <w:spacing w:line="520" w:lineRule="exact"/>
        <w:ind w:firstLineChars="200" w:firstLine="640"/>
        <w:rPr>
          <w:rFonts w:eastAsia="仿宋_GB2312"/>
          <w:color w:val="000000"/>
          <w:kern w:val="0"/>
          <w:sz w:val="32"/>
          <w:szCs w:val="32"/>
          <w:highlight w:val="yellow"/>
        </w:rPr>
      </w:pPr>
      <w:r>
        <w:rPr>
          <w:rFonts w:eastAsia="仿宋_GB2312"/>
          <w:color w:val="000000"/>
          <w:kern w:val="0"/>
          <w:sz w:val="32"/>
          <w:szCs w:val="32"/>
        </w:rPr>
        <w:t>中医舌诊设备的预期用途应体现其临床应用范围。例如：用于中医舌象图像数据采集、特征分析。</w:t>
      </w:r>
    </w:p>
    <w:p w:rsidR="00BC27CF" w:rsidRDefault="00307597">
      <w:pPr>
        <w:spacing w:line="520" w:lineRule="exact"/>
        <w:ind w:firstLineChars="200" w:firstLine="640"/>
        <w:rPr>
          <w:rFonts w:eastAsia="仿宋_GB2312"/>
          <w:color w:val="000000"/>
          <w:kern w:val="0"/>
          <w:sz w:val="32"/>
          <w:szCs w:val="32"/>
        </w:rPr>
      </w:pPr>
      <w:r>
        <w:rPr>
          <w:rFonts w:eastAsia="仿宋_GB2312"/>
          <w:bCs/>
          <w:color w:val="000000"/>
          <w:sz w:val="32"/>
          <w:szCs w:val="32"/>
        </w:rPr>
        <w:t>2.1.1</w:t>
      </w:r>
      <w:r>
        <w:rPr>
          <w:rFonts w:eastAsia="仿宋_GB2312"/>
          <w:bCs/>
          <w:color w:val="000000"/>
          <w:sz w:val="32"/>
          <w:szCs w:val="32"/>
        </w:rPr>
        <w:t>明确目标用户及其操作或使用该产品应当具备的技能</w:t>
      </w:r>
      <w:r>
        <w:rPr>
          <w:rFonts w:eastAsia="仿宋_GB2312"/>
          <w:bCs/>
          <w:color w:val="000000"/>
          <w:sz w:val="32"/>
          <w:szCs w:val="32"/>
        </w:rPr>
        <w:t>/</w:t>
      </w:r>
      <w:r>
        <w:rPr>
          <w:rFonts w:eastAsia="仿宋_GB2312"/>
          <w:bCs/>
          <w:color w:val="000000"/>
          <w:sz w:val="32"/>
          <w:szCs w:val="32"/>
        </w:rPr>
        <w:t>知识</w:t>
      </w:r>
      <w:r>
        <w:rPr>
          <w:rFonts w:eastAsia="仿宋_GB2312"/>
          <w:bCs/>
          <w:color w:val="000000"/>
          <w:sz w:val="32"/>
          <w:szCs w:val="32"/>
        </w:rPr>
        <w:t>/</w:t>
      </w:r>
      <w:r>
        <w:rPr>
          <w:rFonts w:eastAsia="仿宋_GB2312"/>
          <w:bCs/>
          <w:color w:val="000000"/>
          <w:sz w:val="32"/>
          <w:szCs w:val="32"/>
        </w:rPr>
        <w:t>培训，例如：操作者应具有相关中医专业从业资质，或者在具有中医专业从业资质的医师指导下使用。</w:t>
      </w: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2.2</w:t>
      </w:r>
      <w:r>
        <w:rPr>
          <w:rFonts w:eastAsia="仿宋_GB2312"/>
          <w:color w:val="000000"/>
          <w:kern w:val="0"/>
          <w:sz w:val="32"/>
          <w:szCs w:val="32"/>
        </w:rPr>
        <w:t>预期使用环境</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预期使用环境的信息应当明确该产品预期使用的地点，还应明确可能影响其安全性和有效性的环境条件，如温度、湿度、压力、移动、振动、海拔等。</w:t>
      </w: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2.3</w:t>
      </w:r>
      <w:r>
        <w:rPr>
          <w:rFonts w:eastAsia="仿宋_GB2312"/>
          <w:color w:val="000000"/>
          <w:kern w:val="0"/>
          <w:sz w:val="32"/>
          <w:szCs w:val="32"/>
        </w:rPr>
        <w:t>适用人群与禁忌证</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申请人应说明申报产品适用人群的标准。</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中医舌诊设备禁忌证一般包括：</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1</w:t>
      </w:r>
      <w:r>
        <w:rPr>
          <w:rFonts w:eastAsia="仿宋_GB2312"/>
          <w:color w:val="000000"/>
          <w:kern w:val="0"/>
          <w:sz w:val="32"/>
          <w:szCs w:val="32"/>
        </w:rPr>
        <w:t>）严重光过敏者；</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w:t>
      </w:r>
      <w:r>
        <w:rPr>
          <w:rFonts w:eastAsia="仿宋_GB2312"/>
          <w:color w:val="000000"/>
          <w:kern w:val="0"/>
          <w:sz w:val="32"/>
          <w:szCs w:val="32"/>
        </w:rPr>
        <w:t>2</w:t>
      </w:r>
      <w:r>
        <w:rPr>
          <w:rFonts w:eastAsia="仿宋_GB2312"/>
          <w:color w:val="000000"/>
          <w:kern w:val="0"/>
          <w:sz w:val="32"/>
          <w:szCs w:val="32"/>
        </w:rPr>
        <w:t>）采集装置原材料过敏者。</w:t>
      </w:r>
      <w:r>
        <w:rPr>
          <w:rFonts w:eastAsia="仿宋_GB2312"/>
          <w:color w:val="000000"/>
          <w:kern w:val="0"/>
          <w:sz w:val="32"/>
          <w:szCs w:val="32"/>
        </w:rPr>
        <w:t xml:space="preserve"> </w:t>
      </w:r>
    </w:p>
    <w:p w:rsidR="00BC27CF" w:rsidRDefault="00307597">
      <w:pPr>
        <w:spacing w:line="520" w:lineRule="exact"/>
        <w:ind w:firstLineChars="200" w:firstLine="640"/>
        <w:jc w:val="left"/>
        <w:outlineLvl w:val="1"/>
        <w:rPr>
          <w:rFonts w:eastAsia="楷体_GB2312"/>
          <w:color w:val="000000"/>
          <w:sz w:val="32"/>
          <w:szCs w:val="32"/>
        </w:rPr>
      </w:pPr>
      <w:r>
        <w:rPr>
          <w:rFonts w:eastAsia="楷体_GB2312"/>
          <w:color w:val="000000"/>
          <w:sz w:val="32"/>
          <w:szCs w:val="32"/>
        </w:rPr>
        <w:t>（三）非临床资料</w:t>
      </w:r>
    </w:p>
    <w:p w:rsidR="00BC27CF" w:rsidRDefault="00307597">
      <w:pPr>
        <w:spacing w:line="520" w:lineRule="exact"/>
        <w:ind w:firstLineChars="200" w:firstLine="640"/>
        <w:outlineLvl w:val="2"/>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rPr>
        <w:t>产品风险管理资料</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主要的风险包括生物学危害、环境危害、与使用有关的危害、软件危害、功能失效及老化有关的危害等，应按照</w:t>
      </w:r>
      <w:r>
        <w:rPr>
          <w:rFonts w:eastAsia="仿宋_GB2312"/>
          <w:color w:val="000000"/>
          <w:kern w:val="0"/>
          <w:sz w:val="32"/>
          <w:szCs w:val="32"/>
        </w:rPr>
        <w:t>GB/T 42062</w:t>
      </w:r>
      <w:r>
        <w:rPr>
          <w:rFonts w:eastAsia="仿宋_GB2312"/>
          <w:color w:val="000000"/>
          <w:kern w:val="0"/>
          <w:sz w:val="32"/>
          <w:szCs w:val="32"/>
        </w:rPr>
        <w:t>《医疗器械风险管理对医疗器械的应用》的要求对每种可能涉及的危害识别评估，为降低风险所执行风险控制，剩余风险的可接</w:t>
      </w:r>
      <w:r>
        <w:rPr>
          <w:rFonts w:eastAsia="仿宋_GB2312"/>
          <w:color w:val="000000"/>
          <w:kern w:val="0"/>
          <w:sz w:val="32"/>
          <w:szCs w:val="32"/>
        </w:rPr>
        <w:lastRenderedPageBreak/>
        <w:t>受性评定，产品受益相比综合评价，并形成风险分析管理报告。</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同时，因申报产品含有光源，申请人应参照《医疗器械光辐射安全注册审查指导原则》对</w:t>
      </w:r>
      <w:r>
        <w:rPr>
          <w:rFonts w:eastAsia="仿宋_GB2312"/>
          <w:bCs/>
          <w:sz w:val="32"/>
          <w:szCs w:val="32"/>
        </w:rPr>
        <w:t>光辐射安全进行风险分析。</w:t>
      </w:r>
    </w:p>
    <w:p w:rsidR="00BC27CF" w:rsidRDefault="00307597">
      <w:pPr>
        <w:spacing w:line="520" w:lineRule="exact"/>
        <w:ind w:firstLineChars="200" w:firstLine="640"/>
        <w:outlineLvl w:val="2"/>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rPr>
        <w:t>医疗器械安全和性能基本原则清单</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参考《医疗器械安全和性能基本原则符合性技术指南》的要求，根据《医疗器械安全和性能的基</w:t>
      </w:r>
      <w:r>
        <w:rPr>
          <w:rFonts w:eastAsia="仿宋_GB2312"/>
          <w:color w:val="000000"/>
          <w:kern w:val="0"/>
          <w:sz w:val="32"/>
          <w:szCs w:val="32"/>
        </w:rPr>
        <w:t>本原则》中的各项要求明确适用性。对于不适用的要求，应当逐项说明不适用的理由。对于适用要求，应逐项说明为符合要求所采用的方法，以及证明其符合性的文件。</w:t>
      </w:r>
    </w:p>
    <w:p w:rsidR="00BC27CF" w:rsidRDefault="00307597">
      <w:pPr>
        <w:spacing w:line="520" w:lineRule="exact"/>
        <w:ind w:firstLineChars="200" w:firstLine="640"/>
        <w:outlineLvl w:val="2"/>
        <w:rPr>
          <w:rFonts w:eastAsia="仿宋_GB2312"/>
          <w:color w:val="000000"/>
          <w:kern w:val="0"/>
          <w:sz w:val="32"/>
          <w:szCs w:val="32"/>
        </w:rPr>
      </w:pPr>
      <w:r>
        <w:rPr>
          <w:rFonts w:eastAsia="仿宋_GB2312"/>
          <w:color w:val="000000"/>
          <w:kern w:val="0"/>
          <w:sz w:val="32"/>
          <w:szCs w:val="32"/>
        </w:rPr>
        <w:t>3.</w:t>
      </w:r>
      <w:r>
        <w:rPr>
          <w:rFonts w:eastAsia="仿宋_GB2312"/>
          <w:color w:val="000000"/>
          <w:kern w:val="0"/>
          <w:sz w:val="32"/>
          <w:szCs w:val="32"/>
        </w:rPr>
        <w:t>产品技术要求及检验报告</w:t>
      </w: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3.1</w:t>
      </w:r>
      <w:r>
        <w:rPr>
          <w:rFonts w:eastAsia="仿宋_GB2312"/>
          <w:color w:val="000000"/>
          <w:kern w:val="0"/>
          <w:sz w:val="32"/>
          <w:szCs w:val="32"/>
        </w:rPr>
        <w:t>申报产品适用标准情况</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注册申请人需列表说明申报产品执行和参考的国家标准和行业标准。</w:t>
      </w: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3.2</w:t>
      </w:r>
      <w:r>
        <w:rPr>
          <w:rFonts w:eastAsia="仿宋_GB2312"/>
          <w:color w:val="000000"/>
          <w:kern w:val="0"/>
          <w:sz w:val="32"/>
          <w:szCs w:val="32"/>
        </w:rPr>
        <w:t>产品技术要求</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注册申请人应按照《医疗器械产品技术要求编写指导原则》编写产品技术要求，结合申报产品的特点设置条款。</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产品技术要求明确产品规格型号及划分说明，并应明确软件发布版本和软件完整版本命名规则。</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产品技术指标可参考</w:t>
      </w:r>
      <w:r>
        <w:rPr>
          <w:rFonts w:eastAsia="仿宋_GB2312"/>
          <w:color w:val="000000"/>
          <w:kern w:val="0"/>
          <w:sz w:val="32"/>
          <w:szCs w:val="32"/>
        </w:rPr>
        <w:t>YY/T 1488</w:t>
      </w:r>
      <w:r>
        <w:rPr>
          <w:rFonts w:eastAsia="仿宋_GB2312"/>
          <w:color w:val="000000"/>
          <w:kern w:val="0"/>
          <w:sz w:val="32"/>
          <w:szCs w:val="32"/>
        </w:rPr>
        <w:t>《</w:t>
      </w:r>
      <w:r>
        <w:rPr>
          <w:rFonts w:eastAsia="仿宋_GB2312"/>
          <w:color w:val="000000"/>
          <w:kern w:val="0"/>
          <w:sz w:val="32"/>
          <w:szCs w:val="32"/>
        </w:rPr>
        <w:t>舌象信息采集设备》。</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3.2.1</w:t>
      </w:r>
      <w:r>
        <w:rPr>
          <w:rFonts w:eastAsia="仿宋_GB2312"/>
          <w:color w:val="000000"/>
          <w:kern w:val="0"/>
          <w:sz w:val="32"/>
          <w:szCs w:val="32"/>
        </w:rPr>
        <w:t>光学要求。</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3.2.1.1</w:t>
      </w:r>
      <w:r>
        <w:rPr>
          <w:rFonts w:eastAsia="仿宋_GB2312"/>
          <w:color w:val="000000"/>
          <w:kern w:val="0"/>
          <w:sz w:val="32"/>
          <w:szCs w:val="32"/>
        </w:rPr>
        <w:t>照度。</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3.2.1.2</w:t>
      </w:r>
      <w:r>
        <w:rPr>
          <w:rFonts w:eastAsia="仿宋_GB2312"/>
          <w:color w:val="000000"/>
          <w:kern w:val="0"/>
          <w:sz w:val="32"/>
          <w:szCs w:val="32"/>
        </w:rPr>
        <w:t>相关色温。</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3.2.1.3</w:t>
      </w:r>
      <w:r>
        <w:rPr>
          <w:rFonts w:eastAsia="仿宋_GB2312"/>
          <w:color w:val="000000"/>
          <w:kern w:val="0"/>
          <w:sz w:val="32"/>
          <w:szCs w:val="32"/>
        </w:rPr>
        <w:t>显色指数。</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3.2.1.4</w:t>
      </w:r>
      <w:r>
        <w:rPr>
          <w:rFonts w:eastAsia="仿宋_GB2312"/>
          <w:color w:val="000000"/>
          <w:kern w:val="0"/>
          <w:sz w:val="32"/>
          <w:szCs w:val="32"/>
        </w:rPr>
        <w:t>特殊光谱。</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lastRenderedPageBreak/>
        <w:t>3.2.1.5</w:t>
      </w:r>
      <w:r>
        <w:rPr>
          <w:rFonts w:eastAsia="仿宋_GB2312"/>
          <w:color w:val="000000"/>
          <w:kern w:val="0"/>
          <w:sz w:val="32"/>
          <w:szCs w:val="32"/>
        </w:rPr>
        <w:t>辐射照度。</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3.2.1.6</w:t>
      </w:r>
      <w:r>
        <w:rPr>
          <w:rFonts w:eastAsia="仿宋_GB2312"/>
          <w:color w:val="000000"/>
          <w:kern w:val="0"/>
          <w:sz w:val="32"/>
          <w:szCs w:val="32"/>
        </w:rPr>
        <w:t>紫外辐射照度。</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3.2.2</w:t>
      </w:r>
      <w:r>
        <w:rPr>
          <w:rFonts w:eastAsia="仿宋_GB2312"/>
          <w:color w:val="000000"/>
          <w:kern w:val="0"/>
          <w:sz w:val="32"/>
          <w:szCs w:val="32"/>
        </w:rPr>
        <w:t>成像质量。</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3.2.2.1</w:t>
      </w:r>
      <w:r>
        <w:rPr>
          <w:rFonts w:eastAsia="仿宋_GB2312"/>
          <w:color w:val="000000"/>
          <w:kern w:val="0"/>
          <w:sz w:val="32"/>
          <w:szCs w:val="32"/>
        </w:rPr>
        <w:t>分辨率。</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3.2.2.2</w:t>
      </w:r>
      <w:r>
        <w:rPr>
          <w:rFonts w:eastAsia="仿宋_GB2312"/>
          <w:color w:val="000000"/>
          <w:kern w:val="0"/>
          <w:sz w:val="32"/>
          <w:szCs w:val="32"/>
        </w:rPr>
        <w:t>彩色还原性</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3.2.2.3</w:t>
      </w:r>
      <w:r>
        <w:rPr>
          <w:rFonts w:eastAsia="仿宋_GB2312"/>
          <w:color w:val="000000"/>
          <w:kern w:val="0"/>
          <w:sz w:val="32"/>
          <w:szCs w:val="32"/>
        </w:rPr>
        <w:t>相对畸变。</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3.2.3</w:t>
      </w:r>
      <w:r>
        <w:rPr>
          <w:rFonts w:eastAsia="仿宋_GB2312"/>
          <w:color w:val="000000"/>
          <w:kern w:val="0"/>
          <w:sz w:val="32"/>
          <w:szCs w:val="32"/>
        </w:rPr>
        <w:t>结构要求。</w:t>
      </w:r>
    </w:p>
    <w:p w:rsidR="00BC27CF" w:rsidRDefault="00307597">
      <w:pPr>
        <w:spacing w:line="520" w:lineRule="exact"/>
        <w:ind w:firstLineChars="200" w:firstLine="640"/>
        <w:rPr>
          <w:rFonts w:eastAsia="仿宋_GB2312"/>
          <w:color w:val="000000"/>
          <w:kern w:val="0"/>
          <w:sz w:val="32"/>
          <w:szCs w:val="32"/>
          <w:highlight w:val="yellow"/>
        </w:rPr>
      </w:pPr>
      <w:r>
        <w:rPr>
          <w:rFonts w:eastAsia="仿宋_GB2312"/>
          <w:color w:val="000000"/>
          <w:kern w:val="0"/>
          <w:sz w:val="32"/>
          <w:szCs w:val="32"/>
        </w:rPr>
        <w:t>3.2.4</w:t>
      </w:r>
      <w:r>
        <w:rPr>
          <w:rFonts w:eastAsia="仿宋_GB2312"/>
          <w:color w:val="000000"/>
          <w:kern w:val="0"/>
          <w:sz w:val="32"/>
          <w:szCs w:val="32"/>
        </w:rPr>
        <w:t>功能</w:t>
      </w:r>
    </w:p>
    <w:p w:rsidR="00BC27CF" w:rsidRDefault="00307597">
      <w:pPr>
        <w:overflowPunct w:val="0"/>
        <w:spacing w:line="520" w:lineRule="exact"/>
        <w:ind w:firstLineChars="200" w:firstLine="640"/>
        <w:rPr>
          <w:rFonts w:eastAsia="仿宋_GB2312"/>
          <w:sz w:val="32"/>
          <w:szCs w:val="32"/>
        </w:rPr>
      </w:pPr>
      <w:r>
        <w:rPr>
          <w:rFonts w:eastAsia="仿宋_GB2312"/>
          <w:color w:val="000000"/>
          <w:sz w:val="32"/>
          <w:szCs w:val="32"/>
        </w:rPr>
        <w:t>3.2.5</w:t>
      </w:r>
      <w:r>
        <w:rPr>
          <w:rFonts w:eastAsia="仿宋_GB2312"/>
          <w:sz w:val="32"/>
          <w:szCs w:val="32"/>
        </w:rPr>
        <w:t>光源要求</w:t>
      </w:r>
    </w:p>
    <w:p w:rsidR="00BC27CF" w:rsidRDefault="00307597">
      <w:pPr>
        <w:overflowPunct w:val="0"/>
        <w:spacing w:line="520" w:lineRule="exact"/>
        <w:ind w:firstLineChars="200" w:firstLine="640"/>
        <w:rPr>
          <w:rFonts w:eastAsia="仿宋_GB2312"/>
          <w:bCs/>
          <w:sz w:val="32"/>
          <w:szCs w:val="32"/>
        </w:rPr>
      </w:pPr>
      <w:r>
        <w:rPr>
          <w:rFonts w:eastAsia="仿宋_GB2312"/>
          <w:bCs/>
          <w:sz w:val="32"/>
          <w:szCs w:val="32"/>
        </w:rPr>
        <w:t>含有光源的产品，</w:t>
      </w:r>
      <w:r>
        <w:rPr>
          <w:rFonts w:eastAsia="仿宋_GB2312"/>
          <w:sz w:val="32"/>
          <w:szCs w:val="20"/>
        </w:rPr>
        <w:t>应参照《医疗器械光辐射安全注册审查指导原则》</w:t>
      </w:r>
      <w:r>
        <w:rPr>
          <w:rFonts w:eastAsia="仿宋_GB2312"/>
          <w:bCs/>
          <w:sz w:val="32"/>
          <w:szCs w:val="32"/>
        </w:rPr>
        <w:t>明确所有光源的波长和最大输出要求（能量</w:t>
      </w:r>
      <w:r>
        <w:rPr>
          <w:rFonts w:eastAsia="仿宋_GB2312"/>
          <w:bCs/>
          <w:sz w:val="32"/>
          <w:szCs w:val="32"/>
        </w:rPr>
        <w:t>/</w:t>
      </w:r>
      <w:r>
        <w:rPr>
          <w:rFonts w:eastAsia="仿宋_GB2312"/>
          <w:bCs/>
          <w:sz w:val="32"/>
          <w:szCs w:val="32"/>
        </w:rPr>
        <w:t>功率等）。</w:t>
      </w:r>
    </w:p>
    <w:p w:rsidR="00BC27CF" w:rsidRDefault="00307597">
      <w:pPr>
        <w:overflowPunct w:val="0"/>
        <w:spacing w:line="520" w:lineRule="exact"/>
        <w:ind w:firstLineChars="200" w:firstLine="640"/>
        <w:rPr>
          <w:rFonts w:eastAsia="仿宋_GB2312"/>
          <w:sz w:val="32"/>
          <w:szCs w:val="20"/>
        </w:rPr>
      </w:pPr>
      <w:r>
        <w:rPr>
          <w:rFonts w:eastAsia="仿宋_GB2312"/>
          <w:color w:val="000000"/>
          <w:sz w:val="32"/>
          <w:szCs w:val="32"/>
        </w:rPr>
        <w:t>3.2.6</w:t>
      </w:r>
      <w:r>
        <w:rPr>
          <w:rFonts w:eastAsia="仿宋_GB2312"/>
          <w:sz w:val="32"/>
          <w:szCs w:val="32"/>
        </w:rPr>
        <w:t>软件要求</w:t>
      </w:r>
    </w:p>
    <w:p w:rsidR="00BC27CF" w:rsidRDefault="00307597">
      <w:pPr>
        <w:spacing w:line="520" w:lineRule="exact"/>
        <w:ind w:firstLineChars="200" w:firstLine="640"/>
        <w:rPr>
          <w:rFonts w:eastAsia="仿宋_GB2312"/>
          <w:sz w:val="32"/>
          <w:szCs w:val="20"/>
        </w:rPr>
      </w:pPr>
      <w:r>
        <w:rPr>
          <w:rFonts w:eastAsia="仿宋_GB2312"/>
          <w:sz w:val="32"/>
          <w:szCs w:val="20"/>
        </w:rPr>
        <w:t>对于包含软件组件的舌诊设备，应参照《医疗器械软件注册指导原则（</w:t>
      </w:r>
      <w:r>
        <w:rPr>
          <w:rFonts w:eastAsia="仿宋_GB2312"/>
          <w:sz w:val="32"/>
          <w:szCs w:val="20"/>
        </w:rPr>
        <w:t>2022</w:t>
      </w:r>
      <w:r>
        <w:rPr>
          <w:rFonts w:eastAsia="仿宋_GB2312"/>
          <w:sz w:val="32"/>
          <w:szCs w:val="20"/>
        </w:rPr>
        <w:t>年修订版）》明确软件的性能指标。如软件的功能、使用限制、接口、访问控制、运行环境（如适用）、性能效率（如适用）。</w:t>
      </w:r>
    </w:p>
    <w:p w:rsidR="00BC27CF" w:rsidRDefault="00307597">
      <w:pPr>
        <w:overflowPunct w:val="0"/>
        <w:spacing w:line="520" w:lineRule="exact"/>
        <w:ind w:firstLineChars="200" w:firstLine="640"/>
      </w:pPr>
      <w:r>
        <w:rPr>
          <w:rFonts w:eastAsia="仿宋_GB2312"/>
          <w:bCs/>
          <w:sz w:val="32"/>
          <w:szCs w:val="32"/>
        </w:rPr>
        <w:t>申报产品若同时具备其他功能，也应在性能参数中体现。</w:t>
      </w:r>
    </w:p>
    <w:p w:rsidR="00BC27CF" w:rsidRDefault="00307597">
      <w:pPr>
        <w:spacing w:line="520" w:lineRule="exact"/>
        <w:ind w:firstLineChars="200" w:firstLine="640"/>
        <w:rPr>
          <w:rFonts w:eastAsia="仿宋_GB2312"/>
          <w:snapToGrid w:val="0"/>
          <w:color w:val="000000"/>
          <w:sz w:val="32"/>
          <w:szCs w:val="32"/>
        </w:rPr>
      </w:pPr>
      <w:r>
        <w:rPr>
          <w:rFonts w:eastAsia="仿宋_GB2312"/>
          <w:color w:val="000000"/>
          <w:sz w:val="32"/>
          <w:szCs w:val="32"/>
        </w:rPr>
        <w:t>3.2.7</w:t>
      </w:r>
      <w:r>
        <w:rPr>
          <w:rFonts w:eastAsia="仿宋_GB2312"/>
          <w:color w:val="000000"/>
          <w:sz w:val="32"/>
          <w:szCs w:val="32"/>
        </w:rPr>
        <w:t>安全要求：</w:t>
      </w:r>
      <w:r>
        <w:rPr>
          <w:rFonts w:eastAsia="仿宋_GB2312"/>
          <w:snapToGrid w:val="0"/>
          <w:color w:val="000000"/>
          <w:sz w:val="32"/>
          <w:szCs w:val="32"/>
        </w:rPr>
        <w:t>通用安全应符合</w:t>
      </w:r>
      <w:r>
        <w:rPr>
          <w:rFonts w:eastAsia="仿宋_GB2312"/>
          <w:snapToGrid w:val="0"/>
          <w:color w:val="000000"/>
          <w:sz w:val="32"/>
          <w:szCs w:val="32"/>
        </w:rPr>
        <w:t>GB 9706.1</w:t>
      </w:r>
      <w:r>
        <w:rPr>
          <w:rFonts w:eastAsia="仿宋_GB2312"/>
          <w:snapToGrid w:val="0"/>
          <w:color w:val="000000"/>
          <w:sz w:val="32"/>
          <w:szCs w:val="32"/>
        </w:rPr>
        <w:t>标准的要求。申报产品光源若预期在人体身上产生非视觉光生物效应（如：采用绿光光源照射舌苔，突出舌苔某些特质等），还应符合</w:t>
      </w:r>
      <w:r>
        <w:rPr>
          <w:rFonts w:eastAsia="仿宋_GB2312"/>
          <w:snapToGrid w:val="0"/>
          <w:color w:val="000000"/>
          <w:sz w:val="32"/>
          <w:szCs w:val="32"/>
        </w:rPr>
        <w:t>YY 9706.257</w:t>
      </w:r>
      <w:r>
        <w:rPr>
          <w:rFonts w:eastAsia="仿宋_GB2312"/>
          <w:snapToGrid w:val="0"/>
          <w:color w:val="000000"/>
          <w:sz w:val="32"/>
          <w:szCs w:val="32"/>
        </w:rPr>
        <w:t>的要求（作为照明功能使用的</w:t>
      </w:r>
      <w:r>
        <w:rPr>
          <w:rFonts w:eastAsia="仿宋_GB2312"/>
          <w:snapToGrid w:val="0"/>
          <w:color w:val="000000"/>
          <w:sz w:val="32"/>
          <w:szCs w:val="32"/>
        </w:rPr>
        <w:t>LED</w:t>
      </w:r>
      <w:r>
        <w:rPr>
          <w:rFonts w:eastAsia="仿宋_GB2312"/>
          <w:snapToGrid w:val="0"/>
          <w:color w:val="000000"/>
          <w:sz w:val="32"/>
          <w:szCs w:val="32"/>
        </w:rPr>
        <w:t>光源不适用此标准）。</w:t>
      </w:r>
    </w:p>
    <w:p w:rsidR="00BC27CF" w:rsidRDefault="00307597">
      <w:pPr>
        <w:spacing w:line="520" w:lineRule="exact"/>
        <w:ind w:firstLineChars="200" w:firstLine="640"/>
        <w:rPr>
          <w:rFonts w:eastAsia="仿宋_GB2312"/>
          <w:color w:val="000000"/>
          <w:sz w:val="32"/>
          <w:szCs w:val="32"/>
        </w:rPr>
      </w:pPr>
      <w:r>
        <w:rPr>
          <w:rFonts w:eastAsia="仿宋_GB2312"/>
          <w:color w:val="000000"/>
          <w:sz w:val="32"/>
          <w:szCs w:val="32"/>
        </w:rPr>
        <w:t>3.2.8</w:t>
      </w:r>
      <w:r>
        <w:rPr>
          <w:rFonts w:eastAsia="仿宋_GB2312"/>
          <w:color w:val="000000"/>
          <w:sz w:val="32"/>
          <w:szCs w:val="32"/>
        </w:rPr>
        <w:t>电磁兼容要求：电磁兼</w:t>
      </w:r>
      <w:r>
        <w:rPr>
          <w:rFonts w:eastAsia="仿宋_GB2312"/>
          <w:color w:val="000000"/>
          <w:sz w:val="32"/>
          <w:szCs w:val="32"/>
        </w:rPr>
        <w:t>容应符合</w:t>
      </w:r>
      <w:r>
        <w:rPr>
          <w:rFonts w:eastAsia="仿宋_GB2312"/>
          <w:color w:val="000000"/>
          <w:sz w:val="32"/>
          <w:szCs w:val="32"/>
        </w:rPr>
        <w:t>YY 9706.102</w:t>
      </w:r>
      <w:r>
        <w:rPr>
          <w:rFonts w:eastAsia="仿宋_GB2312"/>
          <w:color w:val="000000"/>
          <w:sz w:val="32"/>
          <w:szCs w:val="32"/>
        </w:rPr>
        <w:t>的要求。</w:t>
      </w: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3.3</w:t>
      </w:r>
      <w:r>
        <w:rPr>
          <w:rFonts w:eastAsia="仿宋_GB2312"/>
          <w:color w:val="000000"/>
          <w:kern w:val="0"/>
          <w:sz w:val="32"/>
          <w:szCs w:val="32"/>
        </w:rPr>
        <w:t>检验报告</w:t>
      </w:r>
    </w:p>
    <w:p w:rsidR="00BC27CF" w:rsidRDefault="00307597">
      <w:pPr>
        <w:spacing w:line="520" w:lineRule="exact"/>
        <w:ind w:firstLineChars="200" w:firstLine="640"/>
        <w:jc w:val="left"/>
        <w:rPr>
          <w:rFonts w:eastAsia="仿宋_GB2312"/>
          <w:color w:val="000000"/>
          <w:sz w:val="32"/>
          <w:szCs w:val="32"/>
        </w:rPr>
      </w:pPr>
      <w:r>
        <w:rPr>
          <w:rFonts w:eastAsia="仿宋_GB2312"/>
          <w:color w:val="000000"/>
          <w:sz w:val="32"/>
          <w:szCs w:val="32"/>
        </w:rPr>
        <w:t>注册申请人应提供产品检验报告，产品检验报告应符合国务</w:t>
      </w:r>
      <w:r>
        <w:rPr>
          <w:rFonts w:eastAsia="仿宋_GB2312"/>
          <w:color w:val="000000"/>
          <w:sz w:val="32"/>
          <w:szCs w:val="32"/>
        </w:rPr>
        <w:lastRenderedPageBreak/>
        <w:t>院药品监督管理部门的要求，可以是医疗器械注册申请人的自检报告，也可以是委托具有医疗器械检验资质的医疗器械检验机构出具的检验报告。</w:t>
      </w:r>
    </w:p>
    <w:p w:rsidR="00BC27CF" w:rsidRDefault="00307597">
      <w:pPr>
        <w:spacing w:line="520" w:lineRule="exact"/>
        <w:ind w:firstLineChars="200" w:firstLine="640"/>
        <w:rPr>
          <w:rFonts w:eastAsia="仿宋_GB2312"/>
          <w:color w:val="000000"/>
          <w:sz w:val="32"/>
          <w:szCs w:val="32"/>
        </w:rPr>
      </w:pPr>
      <w:r>
        <w:rPr>
          <w:rFonts w:eastAsia="仿宋_GB2312"/>
          <w:color w:val="000000"/>
          <w:sz w:val="32"/>
          <w:szCs w:val="32"/>
        </w:rPr>
        <w:t>检验报告提供软件版本界面照片或列明软件版本信息，有用户界面的软件体现软件发布版本、软件完整版本，无用户界面的软件体现软件完整版本。</w:t>
      </w:r>
    </w:p>
    <w:p w:rsidR="00BC27CF" w:rsidRDefault="00307597">
      <w:pPr>
        <w:pStyle w:val="2"/>
        <w:adjustRightInd w:val="0"/>
        <w:snapToGrid w:val="0"/>
        <w:spacing w:before="0" w:after="0" w:line="520" w:lineRule="exact"/>
        <w:ind w:firstLineChars="200" w:firstLine="640"/>
        <w:rPr>
          <w:rFonts w:ascii="Times New Roman" w:eastAsia="仿宋_GB2312" w:hAnsi="Times New Roman"/>
          <w:color w:val="000000"/>
        </w:rPr>
      </w:pPr>
      <w:r>
        <w:rPr>
          <w:rFonts w:ascii="Times New Roman" w:eastAsia="仿宋_GB2312" w:hAnsi="Times New Roman"/>
          <w:b w:val="0"/>
          <w:bCs w:val="0"/>
        </w:rPr>
        <w:t>检验产品典型性：同一注册单元可选择结构最复杂、功能最多、技术指标最高的型号进行性能和电气安全检测。如果检测一个型号不能覆盖其他型号的全部性能功</w:t>
      </w:r>
      <w:r>
        <w:rPr>
          <w:rFonts w:ascii="Times New Roman" w:eastAsia="仿宋_GB2312" w:hAnsi="Times New Roman"/>
          <w:b w:val="0"/>
          <w:bCs w:val="0"/>
        </w:rPr>
        <w:t>能，则可对其他型号不能覆盖的部分进行差异检测。</w:t>
      </w:r>
    </w:p>
    <w:p w:rsidR="00BC27CF" w:rsidRDefault="00307597">
      <w:pPr>
        <w:spacing w:line="520" w:lineRule="exact"/>
        <w:ind w:firstLineChars="200" w:firstLine="640"/>
        <w:outlineLvl w:val="2"/>
        <w:rPr>
          <w:rFonts w:eastAsia="仿宋_GB2312"/>
          <w:color w:val="000000"/>
          <w:kern w:val="0"/>
          <w:sz w:val="32"/>
          <w:szCs w:val="32"/>
        </w:rPr>
      </w:pPr>
      <w:r>
        <w:rPr>
          <w:rFonts w:eastAsia="仿宋_GB2312"/>
          <w:color w:val="000000"/>
          <w:kern w:val="0"/>
          <w:sz w:val="32"/>
          <w:szCs w:val="32"/>
        </w:rPr>
        <w:t>4.</w:t>
      </w:r>
      <w:r>
        <w:rPr>
          <w:rFonts w:eastAsia="仿宋_GB2312"/>
          <w:color w:val="000000"/>
          <w:kern w:val="0"/>
          <w:sz w:val="32"/>
          <w:szCs w:val="32"/>
        </w:rPr>
        <w:t>研究资料</w:t>
      </w:r>
    </w:p>
    <w:p w:rsidR="00BC27CF" w:rsidRDefault="00307597">
      <w:pPr>
        <w:spacing w:line="520" w:lineRule="exact"/>
        <w:ind w:firstLineChars="200" w:firstLine="640"/>
        <w:rPr>
          <w:rFonts w:eastAsia="仿宋_GB2312"/>
          <w:color w:val="000000"/>
          <w:sz w:val="32"/>
          <w:szCs w:val="32"/>
        </w:rPr>
      </w:pPr>
      <w:r>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等方式开展，一般应当包含研究方案、研究报告等。</w:t>
      </w:r>
    </w:p>
    <w:p w:rsidR="00BC27CF" w:rsidRDefault="00307597">
      <w:pPr>
        <w:spacing w:line="520" w:lineRule="exact"/>
        <w:ind w:firstLineChars="200" w:firstLine="640"/>
        <w:outlineLvl w:val="3"/>
        <w:rPr>
          <w:rFonts w:eastAsia="仿宋_GB2312"/>
          <w:color w:val="000000"/>
          <w:sz w:val="32"/>
          <w:szCs w:val="32"/>
        </w:rPr>
      </w:pPr>
      <w:r>
        <w:rPr>
          <w:rFonts w:eastAsia="仿宋_GB2312"/>
          <w:color w:val="000000"/>
          <w:sz w:val="32"/>
          <w:szCs w:val="32"/>
        </w:rPr>
        <w:t>4.1</w:t>
      </w:r>
      <w:r>
        <w:rPr>
          <w:rFonts w:eastAsia="仿宋_GB2312"/>
          <w:color w:val="000000"/>
          <w:sz w:val="32"/>
          <w:szCs w:val="32"/>
        </w:rPr>
        <w:t>产品性能研究</w:t>
      </w:r>
    </w:p>
    <w:p w:rsidR="00BC27CF" w:rsidRDefault="00307597">
      <w:pPr>
        <w:spacing w:line="520" w:lineRule="exact"/>
        <w:ind w:firstLineChars="200" w:firstLine="640"/>
        <w:outlineLvl w:val="2"/>
        <w:rPr>
          <w:rFonts w:eastAsia="仿宋_GB2312"/>
          <w:color w:val="000000"/>
          <w:sz w:val="32"/>
          <w:szCs w:val="32"/>
        </w:rPr>
      </w:pPr>
      <w:r>
        <w:rPr>
          <w:rFonts w:eastAsia="仿宋_GB2312"/>
          <w:color w:val="000000"/>
          <w:sz w:val="32"/>
          <w:szCs w:val="32"/>
        </w:rPr>
        <w:t>应当提供产品物理和</w:t>
      </w:r>
      <w:r>
        <w:rPr>
          <w:rFonts w:eastAsia="仿宋_GB2312"/>
          <w:color w:val="000000"/>
          <w:sz w:val="32"/>
          <w:szCs w:val="32"/>
        </w:rPr>
        <w:t>/</w:t>
      </w:r>
      <w:r>
        <w:rPr>
          <w:rFonts w:eastAsia="仿宋_GB2312"/>
          <w:color w:val="000000"/>
          <w:sz w:val="32"/>
          <w:szCs w:val="32"/>
        </w:rPr>
        <w:t>或机械性能指标的确定</w:t>
      </w:r>
      <w:r>
        <w:rPr>
          <w:rFonts w:eastAsia="仿宋_GB2312"/>
          <w:color w:val="000000"/>
          <w:kern w:val="0"/>
          <w:sz w:val="32"/>
          <w:szCs w:val="32"/>
        </w:rPr>
        <w:t>依据</w:t>
      </w:r>
      <w:r>
        <w:rPr>
          <w:rFonts w:eastAsia="仿宋_GB2312"/>
          <w:color w:val="000000"/>
          <w:sz w:val="32"/>
          <w:szCs w:val="32"/>
        </w:rPr>
        <w:t>、设计输入来源以及临床意义，所采用的标准或方法、采用的原因及理论基础。包含功能性、安全性指标以及与质量控制相关的其他指标。</w:t>
      </w:r>
    </w:p>
    <w:p w:rsidR="00BC27CF" w:rsidRDefault="00307597">
      <w:pPr>
        <w:spacing w:line="520" w:lineRule="exact"/>
        <w:ind w:firstLineChars="200" w:firstLine="640"/>
        <w:outlineLvl w:val="3"/>
        <w:rPr>
          <w:rFonts w:eastAsia="仿宋_GB2312"/>
          <w:color w:val="000000"/>
          <w:sz w:val="32"/>
          <w:szCs w:val="32"/>
        </w:rPr>
      </w:pPr>
      <w:r>
        <w:rPr>
          <w:rFonts w:eastAsia="仿宋_GB2312"/>
          <w:color w:val="000000"/>
          <w:sz w:val="32"/>
          <w:szCs w:val="32"/>
        </w:rPr>
        <w:t>4.2</w:t>
      </w:r>
      <w:r>
        <w:rPr>
          <w:rFonts w:eastAsia="仿宋_GB2312"/>
          <w:color w:val="000000"/>
          <w:sz w:val="32"/>
          <w:szCs w:val="32"/>
        </w:rPr>
        <w:t>电气系统安全性研究</w:t>
      </w:r>
    </w:p>
    <w:p w:rsidR="00BC27CF" w:rsidRDefault="00307597">
      <w:pPr>
        <w:spacing w:line="520" w:lineRule="exact"/>
        <w:ind w:firstLineChars="200" w:firstLine="640"/>
        <w:rPr>
          <w:rFonts w:eastAsia="仿宋_GB2312"/>
          <w:color w:val="000000"/>
          <w:sz w:val="32"/>
          <w:szCs w:val="32"/>
        </w:rPr>
      </w:pPr>
      <w:r>
        <w:rPr>
          <w:rFonts w:eastAsia="仿宋_GB2312"/>
          <w:color w:val="000000"/>
          <w:sz w:val="32"/>
          <w:szCs w:val="32"/>
        </w:rPr>
        <w:t>应当提供电气安全性、机械和环境保护以及电磁兼容性的研究资料，说明适用的标准以及开展的研究。</w:t>
      </w:r>
    </w:p>
    <w:p w:rsidR="00BC27CF" w:rsidRDefault="00307597">
      <w:pPr>
        <w:spacing w:line="520" w:lineRule="exact"/>
        <w:ind w:firstLineChars="200" w:firstLine="640"/>
        <w:outlineLvl w:val="3"/>
        <w:rPr>
          <w:rFonts w:eastAsia="仿宋_GB2312"/>
          <w:color w:val="000000"/>
          <w:sz w:val="32"/>
          <w:szCs w:val="32"/>
        </w:rPr>
      </w:pPr>
      <w:r>
        <w:rPr>
          <w:rFonts w:eastAsia="仿宋_GB2312"/>
          <w:color w:val="000000"/>
          <w:sz w:val="32"/>
          <w:szCs w:val="32"/>
        </w:rPr>
        <w:t>4.3</w:t>
      </w:r>
      <w:r>
        <w:rPr>
          <w:rFonts w:eastAsia="仿宋_GB2312"/>
          <w:color w:val="000000"/>
          <w:sz w:val="32"/>
          <w:szCs w:val="32"/>
        </w:rPr>
        <w:t>光辐射安全研究</w:t>
      </w:r>
    </w:p>
    <w:p w:rsidR="00BC27CF" w:rsidRDefault="00307597">
      <w:pPr>
        <w:spacing w:line="520" w:lineRule="exact"/>
        <w:ind w:firstLineChars="200" w:firstLine="640"/>
        <w:rPr>
          <w:rFonts w:eastAsia="仿宋_GB2312"/>
          <w:sz w:val="32"/>
          <w:szCs w:val="20"/>
        </w:rPr>
      </w:pPr>
      <w:r>
        <w:rPr>
          <w:rFonts w:eastAsia="仿宋_GB2312"/>
          <w:sz w:val="32"/>
          <w:szCs w:val="20"/>
        </w:rPr>
        <w:t>应参考《医疗器械光辐射安全注册审查指导原则》</w:t>
      </w:r>
      <w:r>
        <w:rPr>
          <w:rFonts w:eastAsia="仿宋_GB2312"/>
          <w:sz w:val="32"/>
          <w:szCs w:val="32"/>
        </w:rPr>
        <w:t>相关规定</w:t>
      </w:r>
      <w:r>
        <w:rPr>
          <w:rFonts w:eastAsia="仿宋_GB2312"/>
          <w:sz w:val="32"/>
          <w:szCs w:val="20"/>
        </w:rPr>
        <w:lastRenderedPageBreak/>
        <w:t>提交光辐射安全研究资料。</w:t>
      </w:r>
      <w:r>
        <w:rPr>
          <w:rFonts w:eastAsia="仿宋_GB2312"/>
          <w:bCs/>
          <w:sz w:val="32"/>
          <w:szCs w:val="32"/>
        </w:rPr>
        <w:t>对于非激光照明光源，需在研究资料中明确其光辐射安全等级分类并提供证明资料，可参考</w:t>
      </w:r>
      <w:r>
        <w:rPr>
          <w:rFonts w:eastAsia="仿宋_GB2312"/>
          <w:bCs/>
          <w:sz w:val="32"/>
          <w:szCs w:val="32"/>
        </w:rPr>
        <w:t>GB/T 20145</w:t>
      </w:r>
      <w:r>
        <w:rPr>
          <w:rFonts w:eastAsia="仿宋_GB2312"/>
          <w:bCs/>
          <w:sz w:val="32"/>
          <w:szCs w:val="32"/>
        </w:rPr>
        <w:t>标准进行分类。对于含有</w:t>
      </w:r>
      <w:r>
        <w:rPr>
          <w:rFonts w:eastAsia="仿宋_GB2312"/>
          <w:bCs/>
          <w:sz w:val="32"/>
          <w:szCs w:val="32"/>
        </w:rPr>
        <w:t>LED</w:t>
      </w:r>
      <w:r>
        <w:rPr>
          <w:rFonts w:eastAsia="仿宋_GB2312"/>
          <w:bCs/>
          <w:sz w:val="32"/>
          <w:szCs w:val="32"/>
        </w:rPr>
        <w:t>照明光源的，应同时考虑</w:t>
      </w:r>
      <w:r>
        <w:rPr>
          <w:rFonts w:eastAsia="仿宋_GB2312"/>
          <w:bCs/>
          <w:sz w:val="32"/>
          <w:szCs w:val="32"/>
        </w:rPr>
        <w:t>YY/T 1534</w:t>
      </w:r>
      <w:r>
        <w:rPr>
          <w:rFonts w:eastAsia="仿宋_GB2312"/>
          <w:bCs/>
          <w:sz w:val="32"/>
          <w:szCs w:val="32"/>
        </w:rPr>
        <w:t>标准。</w:t>
      </w:r>
    </w:p>
    <w:p w:rsidR="00BC27CF" w:rsidRDefault="00307597">
      <w:pPr>
        <w:pStyle w:val="aff5"/>
        <w:overflowPunct w:val="0"/>
        <w:autoSpaceDE w:val="0"/>
        <w:autoSpaceDN w:val="0"/>
        <w:spacing w:line="520" w:lineRule="exact"/>
        <w:ind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4.4</w:t>
      </w:r>
      <w:r>
        <w:rPr>
          <w:rFonts w:ascii="Times New Roman" w:eastAsia="仿宋_GB2312" w:hAnsi="Times New Roman"/>
          <w:snapToGrid w:val="0"/>
          <w:kern w:val="0"/>
          <w:sz w:val="32"/>
          <w:szCs w:val="32"/>
        </w:rPr>
        <w:t>可用性工程研究</w:t>
      </w:r>
    </w:p>
    <w:p w:rsidR="00BC27CF" w:rsidRDefault="00307597">
      <w:pPr>
        <w:spacing w:line="520" w:lineRule="exact"/>
        <w:ind w:firstLineChars="200" w:firstLine="640"/>
        <w:rPr>
          <w:rFonts w:eastAsia="仿宋_GB2312"/>
          <w:sz w:val="32"/>
          <w:szCs w:val="32"/>
        </w:rPr>
      </w:pPr>
      <w:r>
        <w:rPr>
          <w:rFonts w:eastAsia="仿宋_GB2312"/>
          <w:sz w:val="32"/>
          <w:szCs w:val="32"/>
        </w:rPr>
        <w:t>本指导原则中的舌诊设备一般为中低风险设备，可参照《医疗器械可用性工程注册审查指导原则》及其应用说明要求提交使用错误评估报告。</w:t>
      </w:r>
    </w:p>
    <w:p w:rsidR="00BC27CF" w:rsidRDefault="00307597">
      <w:pPr>
        <w:spacing w:line="520" w:lineRule="exact"/>
        <w:ind w:firstLineChars="200" w:firstLine="640"/>
        <w:outlineLvl w:val="3"/>
        <w:rPr>
          <w:rFonts w:eastAsia="仿宋_GB2312"/>
          <w:color w:val="000000"/>
          <w:sz w:val="32"/>
          <w:szCs w:val="32"/>
        </w:rPr>
      </w:pPr>
      <w:r>
        <w:rPr>
          <w:rFonts w:eastAsia="仿宋_GB2312"/>
          <w:color w:val="000000"/>
          <w:kern w:val="0"/>
          <w:sz w:val="32"/>
          <w:szCs w:val="32"/>
        </w:rPr>
        <w:t>4.5</w:t>
      </w:r>
      <w:r>
        <w:rPr>
          <w:rFonts w:eastAsia="仿宋_GB2312"/>
          <w:color w:val="000000"/>
          <w:sz w:val="32"/>
          <w:szCs w:val="32"/>
        </w:rPr>
        <w:t>软件研究</w:t>
      </w:r>
    </w:p>
    <w:p w:rsidR="00BC27CF" w:rsidRDefault="00307597">
      <w:pPr>
        <w:spacing w:line="520" w:lineRule="exact"/>
        <w:ind w:firstLineChars="200" w:firstLine="640"/>
        <w:rPr>
          <w:rFonts w:eastAsia="仿宋_GB2312"/>
          <w:sz w:val="32"/>
          <w:szCs w:val="20"/>
        </w:rPr>
      </w:pPr>
      <w:r>
        <w:rPr>
          <w:rFonts w:eastAsia="仿宋_GB2312"/>
          <w:sz w:val="32"/>
          <w:szCs w:val="20"/>
        </w:rPr>
        <w:t>对于包含软件组件的中医舌诊设备，注册申请人应依据《医疗器械软件注册审查指导原则》（</w:t>
      </w:r>
      <w:r>
        <w:rPr>
          <w:rFonts w:eastAsia="仿宋_GB2312"/>
          <w:sz w:val="32"/>
          <w:szCs w:val="20"/>
        </w:rPr>
        <w:t>2022</w:t>
      </w:r>
      <w:r>
        <w:rPr>
          <w:rFonts w:eastAsia="仿宋_GB2312"/>
          <w:sz w:val="32"/>
          <w:szCs w:val="20"/>
        </w:rPr>
        <w:t>年修订版）的要求，提交软件研究资料。</w:t>
      </w:r>
    </w:p>
    <w:p w:rsidR="00BC27CF" w:rsidRDefault="00307597">
      <w:pPr>
        <w:spacing w:line="520" w:lineRule="exact"/>
        <w:ind w:firstLineChars="200" w:firstLine="640"/>
        <w:rPr>
          <w:rFonts w:eastAsia="仿宋_GB2312"/>
          <w:sz w:val="32"/>
          <w:szCs w:val="20"/>
        </w:rPr>
      </w:pPr>
      <w:r>
        <w:rPr>
          <w:rFonts w:eastAsia="仿宋_GB2312"/>
          <w:sz w:val="32"/>
          <w:szCs w:val="20"/>
        </w:rPr>
        <w:t>若具备电子数据交换、远程访问与控制、用户访问三种功能当中一种及以上功能的中医舌诊设备，应依据《医疗器械网络安全注册审查指导原则》（</w:t>
      </w:r>
      <w:r>
        <w:rPr>
          <w:rFonts w:eastAsia="仿宋_GB2312"/>
          <w:sz w:val="32"/>
          <w:szCs w:val="20"/>
        </w:rPr>
        <w:t>2022</w:t>
      </w:r>
      <w:r>
        <w:rPr>
          <w:rFonts w:eastAsia="仿宋_GB2312"/>
          <w:sz w:val="32"/>
          <w:szCs w:val="20"/>
        </w:rPr>
        <w:t>年修订版）的要求，提交网络安全研究资料。</w:t>
      </w:r>
    </w:p>
    <w:p w:rsidR="00BC27CF" w:rsidRDefault="00307597">
      <w:pPr>
        <w:spacing w:line="520" w:lineRule="exact"/>
        <w:ind w:firstLineChars="200" w:firstLine="640"/>
        <w:outlineLvl w:val="4"/>
        <w:rPr>
          <w:rFonts w:eastAsia="仿宋_GB2312"/>
          <w:color w:val="000000"/>
          <w:sz w:val="32"/>
          <w:szCs w:val="32"/>
        </w:rPr>
      </w:pPr>
      <w:r>
        <w:rPr>
          <w:rFonts w:eastAsia="仿宋_GB2312"/>
          <w:color w:val="000000"/>
          <w:sz w:val="32"/>
          <w:szCs w:val="32"/>
        </w:rPr>
        <w:t>4.5.1</w:t>
      </w:r>
      <w:r>
        <w:rPr>
          <w:rFonts w:eastAsia="仿宋_GB2312"/>
          <w:color w:val="000000"/>
          <w:sz w:val="32"/>
          <w:szCs w:val="32"/>
        </w:rPr>
        <w:t>软件</w:t>
      </w:r>
    </w:p>
    <w:p w:rsidR="00BC27CF" w:rsidRDefault="00307597">
      <w:pPr>
        <w:spacing w:line="520" w:lineRule="exact"/>
        <w:ind w:firstLineChars="200" w:firstLine="640"/>
        <w:rPr>
          <w:rFonts w:eastAsia="仿宋_GB2312"/>
          <w:sz w:val="32"/>
          <w:szCs w:val="32"/>
        </w:rPr>
      </w:pPr>
      <w:r>
        <w:rPr>
          <w:rFonts w:eastAsia="仿宋_GB2312"/>
          <w:sz w:val="32"/>
          <w:szCs w:val="32"/>
        </w:rPr>
        <w:t>注册申请人在提交软件研究资料时应当提供自研软件研究报告、外部软件环境评估报告（若适用）以及</w:t>
      </w:r>
      <w:r>
        <w:rPr>
          <w:rFonts w:eastAsia="仿宋_GB2312"/>
          <w:sz w:val="32"/>
          <w:szCs w:val="32"/>
        </w:rPr>
        <w:t>GB/T 25000.51</w:t>
      </w:r>
      <w:r>
        <w:rPr>
          <w:rFonts w:eastAsia="仿宋_GB2312"/>
          <w:sz w:val="32"/>
          <w:szCs w:val="32"/>
        </w:rPr>
        <w:t>自测报告，亦可提交自检报告或检验报告代替自测报告。自研</w:t>
      </w:r>
      <w:r>
        <w:rPr>
          <w:rFonts w:eastAsia="仿宋_GB2312"/>
          <w:sz w:val="32"/>
          <w:szCs w:val="32"/>
        </w:rPr>
        <w:t>软件研究报告包括基本信息、实现过程、核心功能、结论等内容，详尽程度取决于软件安全性级别（严重、中等、轻微）。其中，基本信息包括软件标识、安全性级别、结构功能、物理拓扑、运行环境、注册历史，实现过程包括开发概况、风险管理、需求规范、</w:t>
      </w:r>
      <w:r>
        <w:rPr>
          <w:rFonts w:eastAsia="仿宋_GB2312"/>
          <w:sz w:val="32"/>
          <w:szCs w:val="32"/>
        </w:rPr>
        <w:lastRenderedPageBreak/>
        <w:t>生存周期、验证与确认、可追溯性分析、缺陷管理、更新历史，明确核心功能、核心算法、预期用途的对应关系。</w:t>
      </w:r>
    </w:p>
    <w:p w:rsidR="00BC27CF" w:rsidRDefault="00307597">
      <w:pPr>
        <w:spacing w:line="520" w:lineRule="exact"/>
        <w:ind w:firstLineChars="200" w:firstLine="640"/>
        <w:outlineLvl w:val="2"/>
        <w:rPr>
          <w:rFonts w:eastAsia="仿宋_GB2312"/>
          <w:color w:val="000000"/>
          <w:kern w:val="0"/>
          <w:sz w:val="32"/>
          <w:szCs w:val="32"/>
        </w:rPr>
      </w:pPr>
      <w:r>
        <w:rPr>
          <w:rFonts w:eastAsia="仿宋_GB2312"/>
          <w:sz w:val="32"/>
          <w:szCs w:val="32"/>
        </w:rPr>
        <w:t>4.5.2</w:t>
      </w:r>
      <w:r>
        <w:rPr>
          <w:rFonts w:eastAsia="仿宋_GB2312"/>
          <w:sz w:val="32"/>
          <w:szCs w:val="32"/>
        </w:rPr>
        <w:t>准确性</w:t>
      </w:r>
      <w:r>
        <w:rPr>
          <w:rFonts w:eastAsia="仿宋_GB2312"/>
          <w:color w:val="000000"/>
          <w:kern w:val="0"/>
          <w:sz w:val="32"/>
          <w:szCs w:val="32"/>
        </w:rPr>
        <w:t>研究资料</w:t>
      </w:r>
    </w:p>
    <w:p w:rsidR="00BC27CF" w:rsidRDefault="00307597">
      <w:pPr>
        <w:spacing w:line="520" w:lineRule="exact"/>
        <w:ind w:firstLineChars="200" w:firstLine="640"/>
        <w:jc w:val="left"/>
        <w:rPr>
          <w:rFonts w:eastAsia="仿宋_GB2312"/>
          <w:color w:val="000000"/>
          <w:kern w:val="0"/>
          <w:sz w:val="32"/>
          <w:szCs w:val="32"/>
        </w:rPr>
      </w:pPr>
      <w:r>
        <w:rPr>
          <w:rFonts w:eastAsia="仿宋_GB2312"/>
          <w:color w:val="000000"/>
          <w:kern w:val="0"/>
          <w:sz w:val="32"/>
          <w:szCs w:val="32"/>
        </w:rPr>
        <w:t>除根据申报产品适用范围和技术特征提供非临床研究综述外，还应针对中医舌诊设备产品的具体特点，提供产品准确性的研究资料，如：舌象图像</w:t>
      </w:r>
      <w:r>
        <w:rPr>
          <w:rFonts w:eastAsia="仿宋_GB2312"/>
          <w:color w:val="000000"/>
          <w:sz w:val="32"/>
          <w:szCs w:val="32"/>
        </w:rPr>
        <w:t>颜色数值</w:t>
      </w:r>
      <w:r>
        <w:rPr>
          <w:rFonts w:eastAsia="仿宋_GB2312"/>
          <w:color w:val="000000"/>
          <w:kern w:val="0"/>
          <w:sz w:val="32"/>
          <w:szCs w:val="32"/>
        </w:rPr>
        <w:t>采集准确性研究资料</w:t>
      </w:r>
      <w:r>
        <w:rPr>
          <w:rFonts w:eastAsia="仿宋_GB2312"/>
          <w:color w:val="000000"/>
          <w:kern w:val="0"/>
          <w:sz w:val="32"/>
          <w:szCs w:val="32"/>
        </w:rPr>
        <w:t>（如适用）</w:t>
      </w:r>
      <w:r>
        <w:rPr>
          <w:rFonts w:eastAsia="仿宋_GB2312"/>
          <w:color w:val="000000"/>
          <w:sz w:val="32"/>
          <w:szCs w:val="32"/>
        </w:rPr>
        <w:t>、点刺</w:t>
      </w:r>
      <w:r>
        <w:rPr>
          <w:rFonts w:eastAsia="仿宋_GB2312"/>
          <w:color w:val="000000"/>
          <w:sz w:val="32"/>
          <w:szCs w:val="32"/>
        </w:rPr>
        <w:t>/</w:t>
      </w:r>
      <w:r>
        <w:rPr>
          <w:rFonts w:eastAsia="仿宋_GB2312"/>
          <w:color w:val="000000"/>
          <w:sz w:val="32"/>
          <w:szCs w:val="32"/>
        </w:rPr>
        <w:t>裂纹等舌象特征判断准确性研究资料</w:t>
      </w:r>
      <w:r>
        <w:rPr>
          <w:rFonts w:eastAsia="仿宋_GB2312"/>
          <w:color w:val="000000"/>
          <w:kern w:val="0"/>
          <w:sz w:val="32"/>
          <w:szCs w:val="32"/>
        </w:rPr>
        <w:t>（如适用）等。</w:t>
      </w:r>
    </w:p>
    <w:p w:rsidR="00BC27CF" w:rsidRDefault="00307597">
      <w:pPr>
        <w:spacing w:line="520" w:lineRule="exact"/>
        <w:ind w:firstLineChars="200" w:firstLine="640"/>
        <w:jc w:val="left"/>
        <w:rPr>
          <w:rFonts w:eastAsia="仿宋_GB2312"/>
          <w:color w:val="000000"/>
          <w:kern w:val="0"/>
          <w:sz w:val="32"/>
          <w:szCs w:val="32"/>
        </w:rPr>
      </w:pPr>
      <w:r>
        <w:rPr>
          <w:rFonts w:eastAsia="仿宋_GB2312"/>
          <w:color w:val="000000"/>
          <w:kern w:val="0"/>
          <w:sz w:val="32"/>
          <w:szCs w:val="32"/>
        </w:rPr>
        <w:t>常见的舌象特征举例：</w:t>
      </w:r>
    </w:p>
    <w:p w:rsidR="00BC27CF" w:rsidRDefault="00307597">
      <w:pPr>
        <w:numPr>
          <w:ilvl w:val="0"/>
          <w:numId w:val="2"/>
        </w:numPr>
        <w:spacing w:line="520" w:lineRule="exact"/>
        <w:ind w:left="14" w:firstLine="626"/>
        <w:jc w:val="left"/>
        <w:rPr>
          <w:rFonts w:eastAsia="仿宋_GB2312"/>
          <w:color w:val="000000"/>
          <w:kern w:val="0"/>
          <w:sz w:val="32"/>
          <w:szCs w:val="32"/>
        </w:rPr>
      </w:pPr>
      <w:r>
        <w:rPr>
          <w:rFonts w:eastAsia="仿宋_GB2312"/>
          <w:color w:val="000000"/>
          <w:kern w:val="0"/>
          <w:sz w:val="32"/>
          <w:szCs w:val="32"/>
        </w:rPr>
        <w:t>舌色：淡白舌、淡红舌、红舌、绛舌、青紫舌等；</w:t>
      </w:r>
    </w:p>
    <w:p w:rsidR="00BC27CF" w:rsidRDefault="00307597">
      <w:pPr>
        <w:numPr>
          <w:ilvl w:val="0"/>
          <w:numId w:val="2"/>
        </w:numPr>
        <w:spacing w:line="520" w:lineRule="exact"/>
        <w:ind w:left="14" w:firstLine="626"/>
        <w:jc w:val="left"/>
        <w:rPr>
          <w:rFonts w:eastAsia="仿宋_GB2312"/>
          <w:color w:val="000000"/>
          <w:kern w:val="0"/>
          <w:sz w:val="32"/>
          <w:szCs w:val="32"/>
        </w:rPr>
      </w:pPr>
      <w:r>
        <w:rPr>
          <w:rFonts w:eastAsia="仿宋_GB2312"/>
          <w:color w:val="000000"/>
          <w:kern w:val="0"/>
          <w:sz w:val="32"/>
          <w:szCs w:val="32"/>
        </w:rPr>
        <w:t>苔色：白苔、黄苔、灰黑苔等；</w:t>
      </w:r>
    </w:p>
    <w:p w:rsidR="00BC27CF" w:rsidRDefault="00307597">
      <w:pPr>
        <w:numPr>
          <w:ilvl w:val="0"/>
          <w:numId w:val="2"/>
        </w:numPr>
        <w:spacing w:line="520" w:lineRule="exact"/>
        <w:ind w:left="14" w:firstLine="626"/>
        <w:jc w:val="left"/>
        <w:rPr>
          <w:rFonts w:eastAsia="仿宋_GB2312"/>
          <w:color w:val="000000"/>
          <w:kern w:val="0"/>
          <w:sz w:val="32"/>
          <w:szCs w:val="32"/>
        </w:rPr>
      </w:pPr>
      <w:r>
        <w:rPr>
          <w:rFonts w:eastAsia="仿宋_GB2312"/>
          <w:color w:val="000000"/>
          <w:kern w:val="0"/>
          <w:sz w:val="32"/>
          <w:szCs w:val="32"/>
        </w:rPr>
        <w:t>苔质：薄苔、厚苔、少苔、腻苔、腐苔、剥落苔等；</w:t>
      </w:r>
    </w:p>
    <w:p w:rsidR="00BC27CF" w:rsidRDefault="00307597">
      <w:pPr>
        <w:numPr>
          <w:ilvl w:val="0"/>
          <w:numId w:val="2"/>
        </w:numPr>
        <w:spacing w:line="520" w:lineRule="exact"/>
        <w:ind w:left="14" w:firstLine="626"/>
        <w:jc w:val="left"/>
        <w:rPr>
          <w:rFonts w:eastAsia="仿宋_GB2312"/>
          <w:color w:val="000000"/>
          <w:kern w:val="0"/>
          <w:sz w:val="32"/>
          <w:szCs w:val="32"/>
        </w:rPr>
      </w:pPr>
      <w:r>
        <w:rPr>
          <w:rFonts w:eastAsia="仿宋_GB2312"/>
          <w:color w:val="000000"/>
          <w:kern w:val="0"/>
          <w:sz w:val="32"/>
          <w:szCs w:val="32"/>
        </w:rPr>
        <w:t>干湿度：干燥、湿润、正常等；</w:t>
      </w:r>
    </w:p>
    <w:p w:rsidR="00BC27CF" w:rsidRDefault="00307597">
      <w:pPr>
        <w:numPr>
          <w:ilvl w:val="0"/>
          <w:numId w:val="2"/>
        </w:numPr>
        <w:spacing w:line="520" w:lineRule="exact"/>
        <w:ind w:left="14" w:firstLine="626"/>
        <w:jc w:val="left"/>
        <w:rPr>
          <w:rFonts w:eastAsia="仿宋_GB2312"/>
          <w:color w:val="000000"/>
          <w:kern w:val="0"/>
          <w:sz w:val="32"/>
          <w:szCs w:val="32"/>
        </w:rPr>
      </w:pPr>
      <w:r>
        <w:rPr>
          <w:rFonts w:eastAsia="仿宋_GB2312"/>
          <w:color w:val="000000"/>
          <w:kern w:val="0"/>
          <w:sz w:val="32"/>
          <w:szCs w:val="32"/>
        </w:rPr>
        <w:t>舌形：胖大舌、瘦薄舌、裂纹舌、齿痕舌、点刺舌、正常等；</w:t>
      </w:r>
    </w:p>
    <w:p w:rsidR="00BC27CF" w:rsidRDefault="00307597">
      <w:pPr>
        <w:numPr>
          <w:ilvl w:val="0"/>
          <w:numId w:val="2"/>
        </w:numPr>
        <w:spacing w:line="520" w:lineRule="exact"/>
        <w:ind w:left="14" w:firstLine="626"/>
        <w:jc w:val="left"/>
        <w:rPr>
          <w:rFonts w:eastAsia="仿宋_GB2312"/>
          <w:color w:val="000000"/>
          <w:kern w:val="0"/>
          <w:sz w:val="32"/>
          <w:szCs w:val="32"/>
        </w:rPr>
      </w:pPr>
      <w:r>
        <w:rPr>
          <w:rFonts w:eastAsia="仿宋_GB2312"/>
          <w:color w:val="000000"/>
          <w:kern w:val="0"/>
          <w:sz w:val="32"/>
          <w:szCs w:val="32"/>
        </w:rPr>
        <w:t>瘀斑瘀点：有瘀斑瘀点、无瘀斑瘀点等。</w:t>
      </w:r>
    </w:p>
    <w:p w:rsidR="00BC27CF" w:rsidRDefault="00BC27CF">
      <w:pPr>
        <w:spacing w:line="520" w:lineRule="exact"/>
        <w:ind w:firstLineChars="200" w:firstLine="640"/>
        <w:jc w:val="left"/>
        <w:rPr>
          <w:rFonts w:eastAsia="仿宋_GB2312"/>
          <w:color w:val="000000"/>
          <w:kern w:val="0"/>
          <w:sz w:val="32"/>
          <w:szCs w:val="32"/>
        </w:rPr>
      </w:pPr>
    </w:p>
    <w:p w:rsidR="00BC27CF" w:rsidRDefault="00307597">
      <w:pPr>
        <w:jc w:val="center"/>
        <w:rPr>
          <w:rFonts w:eastAsia="仿宋_GB2312"/>
          <w:color w:val="000000"/>
          <w:kern w:val="0"/>
          <w:sz w:val="32"/>
          <w:szCs w:val="32"/>
        </w:rPr>
      </w:pPr>
      <w:r>
        <w:rPr>
          <w:rFonts w:eastAsia="仿宋_GB2312"/>
          <w:noProof/>
          <w:color w:val="000000"/>
          <w:kern w:val="0"/>
          <w:sz w:val="32"/>
          <w:szCs w:val="32"/>
        </w:rPr>
        <w:drawing>
          <wp:inline distT="0" distB="0" distL="0" distR="0">
            <wp:extent cx="1671955" cy="2494915"/>
            <wp:effectExtent l="0" t="0" r="4445"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cstate="print"/>
                    <a:srcRect/>
                    <a:stretch>
                      <a:fillRect/>
                    </a:stretch>
                  </pic:blipFill>
                  <pic:spPr>
                    <a:xfrm>
                      <a:off x="0" y="0"/>
                      <a:ext cx="1671955" cy="2494915"/>
                    </a:xfrm>
                    <a:prstGeom prst="rect">
                      <a:avLst/>
                    </a:prstGeom>
                    <a:noFill/>
                    <a:ln w="9525" cmpd="sng">
                      <a:noFill/>
                      <a:miter lim="800000"/>
                      <a:headEnd/>
                      <a:tailEnd/>
                    </a:ln>
                  </pic:spPr>
                </pic:pic>
              </a:graphicData>
            </a:graphic>
          </wp:inline>
        </w:drawing>
      </w:r>
    </w:p>
    <w:p w:rsidR="00BC27CF" w:rsidRDefault="00307597">
      <w:pPr>
        <w:pStyle w:val="a0"/>
        <w:jc w:val="center"/>
        <w:rPr>
          <w:rFonts w:ascii="Times New Roman" w:eastAsia="黑体" w:hAnsi="Times New Roman"/>
          <w:color w:val="000000"/>
          <w:sz w:val="28"/>
          <w:szCs w:val="28"/>
        </w:rPr>
      </w:pPr>
      <w:r>
        <w:rPr>
          <w:rFonts w:ascii="Times New Roman" w:eastAsia="黑体" w:hAnsi="Times New Roman"/>
          <w:color w:val="000000"/>
          <w:sz w:val="28"/>
          <w:szCs w:val="28"/>
        </w:rPr>
        <w:t>图</w:t>
      </w:r>
      <w:r>
        <w:rPr>
          <w:rFonts w:ascii="Times New Roman" w:eastAsia="黑体" w:hAnsi="Times New Roman"/>
          <w:color w:val="000000"/>
          <w:sz w:val="28"/>
          <w:szCs w:val="28"/>
        </w:rPr>
        <w:t xml:space="preserve">3 </w:t>
      </w:r>
      <w:r>
        <w:rPr>
          <w:rFonts w:ascii="Times New Roman" w:eastAsia="黑体" w:hAnsi="Times New Roman"/>
          <w:color w:val="000000"/>
          <w:sz w:val="28"/>
          <w:szCs w:val="28"/>
        </w:rPr>
        <w:t>舌象图像特征示意图</w:t>
      </w:r>
    </w:p>
    <w:p w:rsidR="00BC27CF" w:rsidRDefault="00BC27CF">
      <w:pPr>
        <w:pStyle w:val="a0"/>
        <w:ind w:firstLineChars="200" w:firstLine="640"/>
        <w:jc w:val="both"/>
        <w:rPr>
          <w:rFonts w:ascii="Times New Roman" w:eastAsia="仿宋_GB2312" w:hAnsi="Times New Roman"/>
          <w:sz w:val="32"/>
          <w:szCs w:val="32"/>
        </w:rPr>
      </w:pPr>
    </w:p>
    <w:p w:rsidR="00BC27CF" w:rsidRDefault="00307597">
      <w:pPr>
        <w:spacing w:line="520" w:lineRule="exact"/>
        <w:ind w:firstLineChars="200" w:firstLine="640"/>
        <w:outlineLvl w:val="4"/>
        <w:rPr>
          <w:rFonts w:eastAsia="仿宋_GB2312"/>
          <w:sz w:val="32"/>
          <w:szCs w:val="32"/>
        </w:rPr>
      </w:pPr>
      <w:r>
        <w:rPr>
          <w:rFonts w:eastAsia="仿宋_GB2312"/>
          <w:sz w:val="32"/>
          <w:szCs w:val="32"/>
        </w:rPr>
        <w:t>准确性研究资料可采用但不限于以下方法：与已取得医疗器械注册证的上市产品开展对比。开展时应保证试验条件一致性，精准提取申报产品声称的舌部关键区域的色彩或特征数据，并采用适宜的统计学方法进行对比分析，综合评估申报产品与对比产品在舌部各区域颜色数值或舌部特征数据采集结果上的一致性与等效性。</w:t>
      </w:r>
    </w:p>
    <w:p w:rsidR="00BC27CF" w:rsidRDefault="00307597">
      <w:pPr>
        <w:spacing w:line="520" w:lineRule="exact"/>
        <w:ind w:firstLineChars="200" w:firstLine="640"/>
        <w:outlineLvl w:val="4"/>
        <w:rPr>
          <w:rFonts w:eastAsia="仿宋_GB2312"/>
          <w:color w:val="000000"/>
          <w:sz w:val="32"/>
          <w:szCs w:val="32"/>
        </w:rPr>
      </w:pPr>
      <w:r>
        <w:rPr>
          <w:rFonts w:eastAsia="仿宋_GB2312"/>
          <w:color w:val="000000"/>
          <w:sz w:val="32"/>
          <w:szCs w:val="32"/>
        </w:rPr>
        <w:t>4.5.3</w:t>
      </w:r>
      <w:r>
        <w:rPr>
          <w:rFonts w:eastAsia="仿宋_GB2312"/>
          <w:color w:val="000000"/>
          <w:sz w:val="32"/>
          <w:szCs w:val="32"/>
        </w:rPr>
        <w:t>网络安全</w:t>
      </w:r>
    </w:p>
    <w:p w:rsidR="00BC27CF" w:rsidRDefault="00307597">
      <w:pPr>
        <w:spacing w:line="520" w:lineRule="exact"/>
        <w:ind w:firstLineChars="200" w:firstLine="640"/>
        <w:jc w:val="left"/>
        <w:rPr>
          <w:rFonts w:eastAsia="仿宋_GB2312"/>
          <w:color w:val="000000"/>
          <w:sz w:val="32"/>
          <w:szCs w:val="32"/>
        </w:rPr>
      </w:pPr>
      <w:r>
        <w:rPr>
          <w:rFonts w:eastAsia="仿宋_GB2312"/>
          <w:sz w:val="32"/>
          <w:szCs w:val="32"/>
        </w:rPr>
        <w:t>若申报产品具备电子数据交换、远程控制或用户访问功能，应当提供自研软件网络安全研究报告，包括基本信息、实现过程、漏洞评估、结论等内容，详尽程度取决于软件安全性级别。其中，基本信息包括软件信息、数据架构、网络安</w:t>
      </w:r>
      <w:r>
        <w:rPr>
          <w:rFonts w:eastAsia="仿宋_GB2312"/>
          <w:sz w:val="32"/>
          <w:szCs w:val="32"/>
        </w:rPr>
        <w:t>全能力、网络安全补丁、安全软件，实现过程包括风险管理、需求规范、验证与确认、可追溯性分析、更新维护计划，漏洞评估明确已知漏洞相关信息。</w:t>
      </w:r>
    </w:p>
    <w:p w:rsidR="00BC27CF" w:rsidRDefault="00307597">
      <w:pPr>
        <w:spacing w:line="520" w:lineRule="exact"/>
        <w:ind w:firstLineChars="200" w:firstLine="640"/>
        <w:outlineLvl w:val="3"/>
        <w:rPr>
          <w:rFonts w:eastAsia="仿宋_GB2312"/>
          <w:color w:val="000000"/>
          <w:kern w:val="0"/>
          <w:sz w:val="32"/>
          <w:szCs w:val="32"/>
        </w:rPr>
      </w:pPr>
      <w:r>
        <w:rPr>
          <w:rFonts w:eastAsia="仿宋_GB2312"/>
          <w:color w:val="000000"/>
          <w:kern w:val="0"/>
          <w:sz w:val="32"/>
          <w:szCs w:val="32"/>
        </w:rPr>
        <w:t>4.6</w:t>
      </w:r>
      <w:r>
        <w:rPr>
          <w:rFonts w:eastAsia="仿宋_GB2312"/>
          <w:color w:val="000000"/>
          <w:kern w:val="0"/>
          <w:sz w:val="32"/>
          <w:szCs w:val="32"/>
        </w:rPr>
        <w:t>生物学特性研究</w:t>
      </w:r>
    </w:p>
    <w:p w:rsidR="00BC27CF" w:rsidRDefault="00307597">
      <w:pPr>
        <w:spacing w:line="520" w:lineRule="exact"/>
        <w:ind w:firstLineChars="200" w:firstLine="640"/>
        <w:rPr>
          <w:rFonts w:eastAsia="仿宋_GB2312"/>
          <w:color w:val="000000"/>
          <w:sz w:val="32"/>
          <w:szCs w:val="32"/>
        </w:rPr>
      </w:pPr>
      <w:r>
        <w:rPr>
          <w:rFonts w:eastAsia="仿宋_GB2312"/>
          <w:color w:val="000000"/>
          <w:sz w:val="32"/>
          <w:szCs w:val="32"/>
        </w:rPr>
        <w:t>依据</w:t>
      </w:r>
      <w:r>
        <w:rPr>
          <w:rFonts w:eastAsia="仿宋_GB2312"/>
          <w:color w:val="000000"/>
          <w:sz w:val="32"/>
          <w:szCs w:val="32"/>
        </w:rPr>
        <w:t xml:space="preserve"> GB /T 16886.1</w:t>
      </w:r>
      <w:r>
        <w:rPr>
          <w:rFonts w:eastAsia="仿宋_GB2312"/>
          <w:color w:val="000000"/>
          <w:sz w:val="32"/>
          <w:szCs w:val="32"/>
        </w:rPr>
        <w:t>标准要求开展生物学评价。按照患者直接接触具体部件进行相应的评价。</w:t>
      </w:r>
      <w:r>
        <w:rPr>
          <w:rFonts w:eastAsia="仿宋_GB2312"/>
          <w:color w:val="000000"/>
          <w:kern w:val="0"/>
          <w:sz w:val="32"/>
          <w:szCs w:val="32"/>
        </w:rPr>
        <w:t>设备一般与人体皮肤接触的部件有封闭光源结构部件。</w:t>
      </w:r>
      <w:r>
        <w:rPr>
          <w:rFonts w:eastAsia="仿宋_GB2312"/>
          <w:color w:val="000000"/>
          <w:sz w:val="32"/>
          <w:szCs w:val="32"/>
        </w:rPr>
        <w:t>例如，封闭光源结构放置下巴位置与人体面部皮肤短期接触</w:t>
      </w:r>
      <w:r>
        <w:rPr>
          <w:rFonts w:eastAsia="仿宋_GB2312"/>
          <w:bCs/>
          <w:color w:val="000000"/>
          <w:sz w:val="32"/>
          <w:szCs w:val="32"/>
        </w:rPr>
        <w:t>，按照</w:t>
      </w:r>
      <w:r>
        <w:rPr>
          <w:rFonts w:eastAsia="仿宋_GB2312"/>
          <w:color w:val="000000"/>
          <w:sz w:val="32"/>
          <w:szCs w:val="32"/>
        </w:rPr>
        <w:t>GB /T 16886.1</w:t>
      </w:r>
      <w:r>
        <w:rPr>
          <w:rFonts w:eastAsia="仿宋_GB2312"/>
          <w:color w:val="000000"/>
          <w:sz w:val="32"/>
          <w:szCs w:val="32"/>
        </w:rPr>
        <w:t>标准的要求，生物相容性评价至少应考虑以下方面的要求：细胞毒性、致敏、刺激或皮内反应。</w:t>
      </w:r>
      <w:r>
        <w:rPr>
          <w:rFonts w:eastAsia="仿宋_GB2312"/>
          <w:bCs/>
          <w:color w:val="000000"/>
          <w:sz w:val="32"/>
          <w:szCs w:val="32"/>
        </w:rPr>
        <w:t>对不同接触类型的部件应分别进行评价。豁免进行试验的项目宜给出充分理由和论证。</w:t>
      </w:r>
    </w:p>
    <w:p w:rsidR="00BC27CF" w:rsidRDefault="00307597">
      <w:pPr>
        <w:spacing w:line="520" w:lineRule="exact"/>
        <w:ind w:firstLineChars="200" w:firstLine="640"/>
        <w:jc w:val="left"/>
        <w:outlineLvl w:val="3"/>
        <w:rPr>
          <w:rFonts w:eastAsia="仿宋_GB2312"/>
          <w:color w:val="000000"/>
          <w:kern w:val="0"/>
          <w:sz w:val="32"/>
          <w:szCs w:val="32"/>
          <w:highlight w:val="yellow"/>
        </w:rPr>
      </w:pPr>
      <w:r>
        <w:rPr>
          <w:rFonts w:eastAsia="仿宋_GB2312"/>
          <w:color w:val="000000"/>
          <w:kern w:val="0"/>
          <w:sz w:val="32"/>
          <w:szCs w:val="32"/>
        </w:rPr>
        <w:t>4.7</w:t>
      </w:r>
      <w:r>
        <w:rPr>
          <w:rFonts w:eastAsia="仿宋_GB2312"/>
          <w:color w:val="000000"/>
          <w:kern w:val="0"/>
          <w:sz w:val="32"/>
          <w:szCs w:val="32"/>
        </w:rPr>
        <w:t>清洁消毒研究</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申请人应开展清洁消毒研究。申报产品在使用前应对与患者</w:t>
      </w:r>
      <w:r>
        <w:rPr>
          <w:rFonts w:eastAsia="仿宋_GB2312"/>
          <w:color w:val="000000"/>
          <w:kern w:val="0"/>
          <w:sz w:val="32"/>
          <w:szCs w:val="32"/>
        </w:rPr>
        <w:lastRenderedPageBreak/>
        <w:t>接触部件进行清洁消毒处理。应当明确推荐的清洗和消毒工艺（方法和参数）、工艺的确定依据以及验证的相关研究资料。</w:t>
      </w:r>
    </w:p>
    <w:p w:rsidR="00BC27CF" w:rsidRDefault="00307597">
      <w:pPr>
        <w:spacing w:line="520" w:lineRule="exact"/>
        <w:ind w:firstLineChars="200" w:firstLine="640"/>
        <w:outlineLvl w:val="2"/>
        <w:rPr>
          <w:rFonts w:eastAsia="仿宋_GB2312"/>
          <w:color w:val="000000"/>
          <w:kern w:val="0"/>
          <w:sz w:val="32"/>
          <w:szCs w:val="32"/>
        </w:rPr>
      </w:pPr>
      <w:r>
        <w:rPr>
          <w:rFonts w:eastAsia="仿宋_GB2312"/>
          <w:color w:val="000000"/>
          <w:kern w:val="0"/>
          <w:sz w:val="32"/>
          <w:szCs w:val="32"/>
        </w:rPr>
        <w:t>5.</w:t>
      </w:r>
      <w:r>
        <w:rPr>
          <w:rFonts w:eastAsia="仿宋_GB2312"/>
          <w:color w:val="000000"/>
          <w:kern w:val="0"/>
          <w:sz w:val="32"/>
          <w:szCs w:val="32"/>
        </w:rPr>
        <w:t>稳定性研究</w:t>
      </w:r>
    </w:p>
    <w:p w:rsidR="00BC27CF" w:rsidRDefault="00307597">
      <w:pPr>
        <w:spacing w:line="520" w:lineRule="exact"/>
        <w:ind w:firstLineChars="200" w:firstLine="640"/>
        <w:jc w:val="left"/>
        <w:rPr>
          <w:rFonts w:eastAsia="仿宋_GB2312"/>
          <w:color w:val="000000"/>
          <w:sz w:val="32"/>
          <w:szCs w:val="32"/>
        </w:rPr>
      </w:pPr>
      <w:r>
        <w:rPr>
          <w:rFonts w:eastAsia="仿宋_GB2312"/>
          <w:color w:val="000000"/>
          <w:sz w:val="32"/>
          <w:szCs w:val="32"/>
        </w:rPr>
        <w:t>5.1</w:t>
      </w:r>
      <w:r>
        <w:rPr>
          <w:rFonts w:eastAsia="仿宋_GB2312"/>
          <w:color w:val="000000"/>
          <w:sz w:val="32"/>
          <w:szCs w:val="32"/>
        </w:rPr>
        <w:t>使用期限一般主要取决于使用过程中部件、元器件的损耗、老化等，注册申请人应按照声称的使用期限对设备进行老化</w:t>
      </w:r>
      <w:r>
        <w:rPr>
          <w:rFonts w:eastAsia="仿宋_GB2312"/>
          <w:color w:val="000000"/>
          <w:sz w:val="32"/>
          <w:szCs w:val="32"/>
        </w:rPr>
        <w:t>/</w:t>
      </w:r>
      <w:r>
        <w:rPr>
          <w:rFonts w:eastAsia="仿宋_GB2312"/>
          <w:color w:val="000000"/>
          <w:sz w:val="32"/>
          <w:szCs w:val="32"/>
        </w:rPr>
        <w:t>疲劳试验，也可对影响设备使用期限的关键部件进行老化</w:t>
      </w:r>
      <w:r>
        <w:rPr>
          <w:rFonts w:eastAsia="仿宋_GB2312"/>
          <w:color w:val="000000"/>
          <w:sz w:val="32"/>
          <w:szCs w:val="32"/>
        </w:rPr>
        <w:t>/</w:t>
      </w:r>
      <w:r>
        <w:rPr>
          <w:rFonts w:eastAsia="仿宋_GB2312"/>
          <w:color w:val="000000"/>
          <w:sz w:val="32"/>
          <w:szCs w:val="32"/>
        </w:rPr>
        <w:t>疲劳试验，例如设备中不可更换（或更换成本高）的部件，并提供相应的研究资料。研究资料应能证明上述部件按照所声称的使用期限，经过老化</w:t>
      </w:r>
      <w:r>
        <w:rPr>
          <w:rFonts w:eastAsia="仿宋_GB2312"/>
          <w:color w:val="000000"/>
          <w:sz w:val="32"/>
          <w:szCs w:val="32"/>
        </w:rPr>
        <w:t>/</w:t>
      </w:r>
      <w:r>
        <w:rPr>
          <w:rFonts w:eastAsia="仿宋_GB2312"/>
          <w:color w:val="000000"/>
          <w:sz w:val="32"/>
          <w:szCs w:val="32"/>
        </w:rPr>
        <w:t>疲劳试验后，产品性能和安全仍符合预期的要求。使用期限也可基于已有数据进行合理的推断、分析、计算得出，但应提供详细的说明及支持性资料。可参考《有源医疗器械使用期限技术审查指导原则》的要求。</w:t>
      </w:r>
    </w:p>
    <w:p w:rsidR="00BC27CF" w:rsidRDefault="00307597">
      <w:pPr>
        <w:spacing w:line="520" w:lineRule="exact"/>
        <w:ind w:firstLineChars="200" w:firstLine="640"/>
        <w:jc w:val="left"/>
        <w:rPr>
          <w:rFonts w:eastAsia="黑体"/>
          <w:color w:val="000000"/>
          <w:sz w:val="28"/>
          <w:szCs w:val="28"/>
        </w:rPr>
      </w:pPr>
      <w:r>
        <w:rPr>
          <w:rFonts w:eastAsia="仿宋_GB2312"/>
          <w:color w:val="000000"/>
          <w:sz w:val="32"/>
          <w:szCs w:val="32"/>
        </w:rPr>
        <w:t>5.2</w:t>
      </w:r>
      <w:r>
        <w:rPr>
          <w:rFonts w:eastAsia="仿宋_GB2312"/>
          <w:color w:val="000000"/>
          <w:sz w:val="32"/>
          <w:szCs w:val="32"/>
        </w:rPr>
        <w:t>注册申请人对包装和产品进行模拟</w:t>
      </w:r>
      <w:r>
        <w:rPr>
          <w:rFonts w:eastAsia="仿宋_GB2312"/>
          <w:color w:val="000000"/>
          <w:sz w:val="32"/>
          <w:szCs w:val="32"/>
        </w:rPr>
        <w:t>试验，模拟在贮存和运输过程中，遇到极端情况时，例如环境（温湿度、气压等）变化、跌落、振动、加速度等，产品不会发生性能、功能改变，包装系统具有保护产品的能力。经过模拟试验后，观察包装外观是否有不可接受的异常现象，对产品进行性能测试，证明运输和环境测试后产品能够保持其完整性和功能性。环境试验可参考</w:t>
      </w:r>
      <w:r>
        <w:rPr>
          <w:rFonts w:eastAsia="仿宋_GB2312"/>
          <w:color w:val="000000"/>
          <w:sz w:val="32"/>
          <w:szCs w:val="32"/>
        </w:rPr>
        <w:t>GB/T 14710</w:t>
      </w:r>
      <w:r>
        <w:rPr>
          <w:rFonts w:eastAsia="仿宋_GB2312"/>
          <w:color w:val="000000"/>
          <w:sz w:val="32"/>
          <w:szCs w:val="32"/>
        </w:rPr>
        <w:t>的要求。</w:t>
      </w:r>
    </w:p>
    <w:p w:rsidR="00BC27CF" w:rsidRDefault="00307597">
      <w:pPr>
        <w:spacing w:line="520" w:lineRule="exact"/>
        <w:ind w:firstLineChars="200" w:firstLine="640"/>
        <w:jc w:val="left"/>
        <w:outlineLvl w:val="1"/>
        <w:rPr>
          <w:rFonts w:eastAsia="楷体_GB2312"/>
          <w:color w:val="000000"/>
          <w:sz w:val="32"/>
          <w:szCs w:val="32"/>
        </w:rPr>
      </w:pPr>
      <w:r>
        <w:rPr>
          <w:rFonts w:eastAsia="楷体_GB2312"/>
          <w:color w:val="000000"/>
          <w:sz w:val="32"/>
          <w:szCs w:val="32"/>
        </w:rPr>
        <w:t>（四）临床评价资料</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中医舌诊设备的临床评价应遵循该类产品研发的基本规律以及中医理论和实践，通过科学的过程来评估产品临床效果和潜在风险，最终确定产品在预期用途下的安全性和有效性。</w:t>
      </w:r>
    </w:p>
    <w:p w:rsidR="00BC27CF" w:rsidRDefault="00307597">
      <w:pPr>
        <w:spacing w:line="520" w:lineRule="exact"/>
        <w:ind w:firstLineChars="200" w:firstLine="636"/>
        <w:rPr>
          <w:rFonts w:eastAsia="仿宋_GB2312"/>
          <w:color w:val="000000"/>
          <w:kern w:val="0"/>
          <w:sz w:val="32"/>
          <w:szCs w:val="32"/>
        </w:rPr>
      </w:pPr>
      <w:r>
        <w:rPr>
          <w:rFonts w:eastAsia="仿宋_GB2312"/>
          <w:color w:val="000000"/>
          <w:spacing w:val="-1"/>
          <w:sz w:val="32"/>
          <w:szCs w:val="32"/>
        </w:rPr>
        <w:t>中医舌诊仪</w:t>
      </w:r>
      <w:r>
        <w:rPr>
          <w:rFonts w:eastAsia="仿宋_GB2312"/>
          <w:color w:val="000000"/>
          <w:spacing w:val="-1"/>
          <w:sz w:val="32"/>
          <w:szCs w:val="32"/>
        </w:rPr>
        <w:t>不属于免于进行临床评价医疗器械目录中的产</w:t>
      </w:r>
      <w:r>
        <w:rPr>
          <w:rFonts w:eastAsia="仿宋_GB2312"/>
          <w:color w:val="000000"/>
          <w:spacing w:val="-1"/>
          <w:sz w:val="32"/>
          <w:szCs w:val="32"/>
        </w:rPr>
        <w:lastRenderedPageBreak/>
        <w:t>品，</w:t>
      </w:r>
      <w:r>
        <w:rPr>
          <w:rFonts w:eastAsia="仿宋_GB2312"/>
          <w:sz w:val="32"/>
          <w:szCs w:val="32"/>
        </w:rPr>
        <w:t>申请人应按照《医疗器械临床评价技术指导原则》及相关文件要求提交临床评价资料。注册申请人可参考《决策是否开展医疗器械临床试验技术指导原则》选择临床评价路径。若注册申请人采用同品种对比路径，可参考《医疗器械临床评价等同性论证技术指导原则》开展临床评价。若开展临床试验，则需严格按照《医疗器械临床试验质量管理规范》进行临床试验，并提交完整的临床试验资料。</w:t>
      </w:r>
    </w:p>
    <w:p w:rsidR="00BC27CF" w:rsidRDefault="00307597">
      <w:pPr>
        <w:spacing w:line="520" w:lineRule="exact"/>
        <w:ind w:firstLineChars="200" w:firstLine="640"/>
        <w:jc w:val="left"/>
        <w:outlineLvl w:val="1"/>
        <w:rPr>
          <w:rFonts w:eastAsia="楷体_GB2312"/>
          <w:color w:val="000000"/>
          <w:sz w:val="32"/>
          <w:szCs w:val="32"/>
        </w:rPr>
      </w:pPr>
      <w:r>
        <w:rPr>
          <w:rFonts w:eastAsia="楷体_GB2312"/>
          <w:color w:val="000000"/>
          <w:sz w:val="32"/>
          <w:szCs w:val="32"/>
        </w:rPr>
        <w:t>（五）产品说明书和标签样稿</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rPr>
        <w:t>申报产品的说明书、标签样稿应当符合《</w:t>
      </w:r>
      <w:r>
        <w:rPr>
          <w:rFonts w:eastAsia="仿宋_GB2312"/>
          <w:bCs/>
          <w:color w:val="000000"/>
          <w:sz w:val="32"/>
          <w:szCs w:val="28"/>
        </w:rPr>
        <w:t>医疗器械说明书和标签管理规定</w:t>
      </w:r>
      <w:r>
        <w:rPr>
          <w:rFonts w:eastAsia="仿宋_GB2312"/>
          <w:color w:val="000000"/>
          <w:kern w:val="0"/>
          <w:sz w:val="32"/>
          <w:szCs w:val="32"/>
        </w:rPr>
        <w:t>》</w:t>
      </w:r>
      <w:r>
        <w:rPr>
          <w:rFonts w:eastAsia="仿宋_GB2312"/>
          <w:color w:val="000000"/>
          <w:kern w:val="0"/>
          <w:sz w:val="32"/>
          <w:szCs w:val="32"/>
        </w:rPr>
        <w:t>、《医疗器械光辐射安全注册审查指导原则》、《医疗器械软件注册审查指导原则（</w:t>
      </w:r>
      <w:r>
        <w:rPr>
          <w:rFonts w:eastAsia="仿宋_GB2312"/>
          <w:color w:val="000000"/>
          <w:kern w:val="0"/>
          <w:sz w:val="32"/>
          <w:szCs w:val="32"/>
        </w:rPr>
        <w:t>2022</w:t>
      </w:r>
      <w:r>
        <w:rPr>
          <w:rFonts w:eastAsia="仿宋_GB2312"/>
          <w:color w:val="000000"/>
          <w:kern w:val="0"/>
          <w:sz w:val="32"/>
          <w:szCs w:val="32"/>
        </w:rPr>
        <w:t>年修订版）》以及</w:t>
      </w:r>
      <w:r>
        <w:rPr>
          <w:rFonts w:eastAsia="仿宋_GB2312"/>
          <w:color w:val="000000"/>
          <w:kern w:val="0"/>
          <w:sz w:val="32"/>
          <w:szCs w:val="32"/>
        </w:rPr>
        <w:t>GB 9706.1</w:t>
      </w:r>
      <w:r>
        <w:rPr>
          <w:rFonts w:eastAsia="仿宋_GB2312"/>
          <w:color w:val="000000"/>
          <w:kern w:val="0"/>
          <w:sz w:val="32"/>
          <w:szCs w:val="32"/>
        </w:rPr>
        <w:t>、</w:t>
      </w:r>
      <w:r>
        <w:rPr>
          <w:rFonts w:eastAsia="仿宋_GB2312"/>
          <w:color w:val="000000"/>
          <w:kern w:val="0"/>
          <w:sz w:val="32"/>
          <w:szCs w:val="32"/>
        </w:rPr>
        <w:t>YY 9706.102</w:t>
      </w:r>
      <w:r>
        <w:rPr>
          <w:rFonts w:eastAsia="仿宋_GB2312"/>
          <w:color w:val="000000"/>
          <w:kern w:val="0"/>
          <w:sz w:val="32"/>
          <w:szCs w:val="32"/>
        </w:rPr>
        <w:t>中有关要求，除此之外，说明书中还应包含以下内容：</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1.1</w:t>
      </w:r>
      <w:r>
        <w:rPr>
          <w:rFonts w:eastAsia="仿宋_GB2312"/>
          <w:color w:val="000000"/>
          <w:kern w:val="0"/>
          <w:sz w:val="32"/>
          <w:szCs w:val="32"/>
        </w:rPr>
        <w:t>明确舌诊设备出具的报告模板及内容。</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1.2</w:t>
      </w:r>
      <w:r>
        <w:rPr>
          <w:rFonts w:eastAsia="仿宋_GB2312"/>
          <w:color w:val="000000"/>
          <w:kern w:val="0"/>
          <w:sz w:val="32"/>
          <w:szCs w:val="32"/>
        </w:rPr>
        <w:t>应说明产品可分析的全部参数及对应的定义信息。</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1.3</w:t>
      </w:r>
      <w:r>
        <w:rPr>
          <w:rFonts w:eastAsia="仿宋_GB2312"/>
          <w:color w:val="000000"/>
          <w:kern w:val="0"/>
          <w:sz w:val="32"/>
          <w:szCs w:val="32"/>
        </w:rPr>
        <w:t>应明确发生意外情况时（如患者对光照过敏），操作者可以快速安全地将患者脱离光照范围的操作步骤及方法。</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1.4</w:t>
      </w:r>
      <w:r>
        <w:rPr>
          <w:rFonts w:eastAsia="仿宋_GB2312"/>
          <w:color w:val="000000"/>
          <w:kern w:val="0"/>
          <w:sz w:val="32"/>
          <w:szCs w:val="32"/>
        </w:rPr>
        <w:t>使用舌诊设备前请勿进食可能会导致舌苔染色的食品或药品。</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rPr>
        <w:t>产品说明书还需结合产品特点明确以下内容：</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2.1</w:t>
      </w:r>
      <w:r>
        <w:rPr>
          <w:rFonts w:eastAsia="仿宋_GB2312"/>
          <w:color w:val="000000"/>
          <w:kern w:val="0"/>
          <w:sz w:val="32"/>
          <w:szCs w:val="32"/>
        </w:rPr>
        <w:t>设备的注</w:t>
      </w:r>
      <w:r>
        <w:rPr>
          <w:rFonts w:eastAsia="仿宋_GB2312"/>
          <w:color w:val="000000"/>
          <w:kern w:val="0"/>
          <w:sz w:val="32"/>
          <w:szCs w:val="32"/>
        </w:rPr>
        <w:t>意事项及警告信息。</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2.2</w:t>
      </w:r>
      <w:r>
        <w:rPr>
          <w:rFonts w:eastAsia="仿宋_GB2312"/>
          <w:bCs/>
          <w:color w:val="000000"/>
          <w:sz w:val="32"/>
          <w:szCs w:val="32"/>
        </w:rPr>
        <w:t>操作者应当具备相关专业资质</w:t>
      </w:r>
      <w:r>
        <w:rPr>
          <w:rFonts w:eastAsia="仿宋_GB2312"/>
          <w:color w:val="000000"/>
          <w:kern w:val="0"/>
          <w:sz w:val="32"/>
          <w:szCs w:val="32"/>
        </w:rPr>
        <w:t>，并在使用前请务必详细阅读使用说明书。</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2.3</w:t>
      </w:r>
      <w:r>
        <w:rPr>
          <w:rFonts w:eastAsia="仿宋_GB2312"/>
          <w:color w:val="000000"/>
          <w:kern w:val="0"/>
          <w:sz w:val="32"/>
          <w:szCs w:val="32"/>
        </w:rPr>
        <w:t>设备电磁兼容的相关信息。应给出设备电磁兼容信息的</w:t>
      </w:r>
      <w:r>
        <w:rPr>
          <w:rFonts w:eastAsia="仿宋_GB2312"/>
          <w:color w:val="000000"/>
          <w:kern w:val="0"/>
          <w:sz w:val="32"/>
          <w:szCs w:val="32"/>
        </w:rPr>
        <w:lastRenderedPageBreak/>
        <w:t>相关说明及工作环境。</w:t>
      </w:r>
    </w:p>
    <w:p w:rsidR="00BC27CF" w:rsidRDefault="00307597">
      <w:pPr>
        <w:spacing w:line="520" w:lineRule="exact"/>
        <w:ind w:firstLineChars="200" w:firstLine="640"/>
        <w:jc w:val="left"/>
        <w:outlineLvl w:val="1"/>
        <w:rPr>
          <w:rFonts w:eastAsia="楷体_GB2312"/>
          <w:color w:val="000000"/>
          <w:sz w:val="32"/>
          <w:szCs w:val="32"/>
        </w:rPr>
      </w:pPr>
      <w:r>
        <w:rPr>
          <w:rFonts w:eastAsia="楷体_GB2312"/>
          <w:color w:val="000000"/>
          <w:sz w:val="32"/>
          <w:szCs w:val="32"/>
        </w:rPr>
        <w:t>（六）质量管理体系文件</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产品的质量管理体系文件应符合《医疗器械生产质量管理规范》的要求，并按《医疗器械注册申报资料要求及说明》提交资料。</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应明确产品生产工艺过程，可采用流程图的形式，并说明其过程控制点，且应结合产品实际生产过程细化产品生产工艺介绍，应能体现出外协加工部分（如有）、半成品加工过程，工艺流程图中应明示关键工序、特殊过程（如有）、过</w:t>
      </w:r>
      <w:r>
        <w:rPr>
          <w:rFonts w:eastAsia="仿宋_GB2312"/>
          <w:color w:val="000000"/>
          <w:kern w:val="0"/>
          <w:sz w:val="32"/>
          <w:szCs w:val="32"/>
        </w:rPr>
        <w:t>程控制点、各生产检验工序对环境的要求、使用的相关设备及对设备精度的要求等相关信息。</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应详细介绍研制场地、生产场地情况，并应结合前面介绍的产品加工工艺，以及工序和工位的划分、预计产量、生产线划分等实际需求细化研发、生产、检验、库房场地面积、环境控制等相关情况说明。</w:t>
      </w:r>
      <w:r>
        <w:rPr>
          <w:rFonts w:eastAsia="仿宋_GB2312"/>
          <w:color w:val="000000"/>
          <w:kern w:val="0"/>
          <w:sz w:val="32"/>
          <w:szCs w:val="32"/>
        </w:rPr>
        <w:t xml:space="preserve"> </w:t>
      </w:r>
    </w:p>
    <w:p w:rsidR="00BC27CF" w:rsidRDefault="00307597">
      <w:pPr>
        <w:spacing w:line="520" w:lineRule="exact"/>
        <w:ind w:firstLineChars="200" w:firstLine="640"/>
        <w:rPr>
          <w:rFonts w:eastAsia="仿宋_GB2312"/>
          <w:color w:val="000000"/>
          <w:kern w:val="0"/>
          <w:sz w:val="32"/>
          <w:szCs w:val="32"/>
        </w:rPr>
      </w:pPr>
      <w:r>
        <w:rPr>
          <w:rFonts w:eastAsia="仿宋_GB2312"/>
          <w:color w:val="000000"/>
          <w:kern w:val="0"/>
          <w:sz w:val="32"/>
          <w:szCs w:val="32"/>
        </w:rPr>
        <w:t>若产品有多个研制、生产场地，应概述每个研制、生产场地的实际情况。</w:t>
      </w:r>
    </w:p>
    <w:p w:rsidR="00BC27CF" w:rsidRDefault="00307597">
      <w:pPr>
        <w:pStyle w:val="a0"/>
        <w:spacing w:line="520" w:lineRule="exact"/>
        <w:ind w:firstLineChars="200" w:firstLine="640"/>
        <w:outlineLvl w:val="0"/>
        <w:rPr>
          <w:rFonts w:ascii="Times New Roman" w:eastAsia="黑体" w:hAnsi="Times New Roman"/>
          <w:snapToGrid w:val="0"/>
          <w:color w:val="000000"/>
          <w:sz w:val="32"/>
          <w:szCs w:val="32"/>
        </w:rPr>
      </w:pPr>
      <w:r>
        <w:rPr>
          <w:rFonts w:ascii="Times New Roman" w:eastAsia="黑体" w:hAnsi="Times New Roman"/>
          <w:snapToGrid w:val="0"/>
          <w:color w:val="000000"/>
          <w:sz w:val="32"/>
          <w:szCs w:val="32"/>
        </w:rPr>
        <w:t>三、参考文献</w:t>
      </w:r>
    </w:p>
    <w:p w:rsidR="00BC27CF" w:rsidRDefault="00307597">
      <w:pPr>
        <w:spacing w:line="520" w:lineRule="exact"/>
        <w:ind w:firstLineChars="200" w:firstLine="640"/>
        <w:rPr>
          <w:rFonts w:eastAsia="仿宋_GB2312"/>
          <w:snapToGrid w:val="0"/>
          <w:color w:val="000000"/>
          <w:kern w:val="0"/>
          <w:sz w:val="32"/>
          <w:szCs w:val="32"/>
        </w:rPr>
      </w:pPr>
      <w:bookmarkStart w:id="2" w:name="_Ref455122128"/>
      <w:r>
        <w:rPr>
          <w:rFonts w:eastAsia="仿宋_GB2312"/>
          <w:snapToGrid w:val="0"/>
          <w:color w:val="000000"/>
          <w:kern w:val="0"/>
          <w:sz w:val="32"/>
          <w:szCs w:val="32"/>
        </w:rPr>
        <w:t>[1]</w:t>
      </w:r>
      <w:bookmarkStart w:id="3" w:name="_Ref455122141"/>
      <w:bookmarkEnd w:id="2"/>
      <w:r>
        <w:rPr>
          <w:rFonts w:eastAsia="仿宋_GB2312"/>
          <w:snapToGrid w:val="0"/>
          <w:color w:val="000000"/>
          <w:kern w:val="0"/>
          <w:sz w:val="32"/>
          <w:szCs w:val="32"/>
        </w:rPr>
        <w:t>中华人民共和国国务院</w:t>
      </w:r>
      <w:r>
        <w:rPr>
          <w:rFonts w:eastAsia="仿宋_GB2312"/>
          <w:snapToGrid w:val="0"/>
          <w:color w:val="000000"/>
          <w:kern w:val="0"/>
          <w:sz w:val="32"/>
          <w:szCs w:val="32"/>
        </w:rPr>
        <w:t>.</w:t>
      </w:r>
      <w:r>
        <w:rPr>
          <w:rFonts w:eastAsia="仿宋_GB2312"/>
          <w:snapToGrid w:val="0"/>
          <w:color w:val="000000"/>
          <w:kern w:val="0"/>
          <w:sz w:val="32"/>
          <w:szCs w:val="32"/>
        </w:rPr>
        <w:t>医疗器械监督管理条例</w:t>
      </w:r>
      <w:r>
        <w:rPr>
          <w:rFonts w:eastAsia="仿宋_GB2312"/>
          <w:snapToGrid w:val="0"/>
          <w:color w:val="000000"/>
          <w:kern w:val="0"/>
          <w:sz w:val="32"/>
          <w:szCs w:val="32"/>
        </w:rPr>
        <w:t>:</w:t>
      </w:r>
      <w:r>
        <w:rPr>
          <w:rFonts w:eastAsia="仿宋_GB2312"/>
          <w:snapToGrid w:val="0"/>
          <w:color w:val="000000"/>
          <w:kern w:val="0"/>
          <w:sz w:val="32"/>
          <w:szCs w:val="32"/>
        </w:rPr>
        <w:t>中华人民共和国国务院令第</w:t>
      </w:r>
      <w:r>
        <w:rPr>
          <w:rFonts w:eastAsia="仿宋_GB2312"/>
          <w:snapToGrid w:val="0"/>
          <w:color w:val="000000"/>
          <w:kern w:val="0"/>
          <w:sz w:val="32"/>
          <w:szCs w:val="32"/>
        </w:rPr>
        <w:t>739</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[2]</w:t>
      </w:r>
      <w:bookmarkEnd w:id="3"/>
      <w:r>
        <w:rPr>
          <w:rFonts w:eastAsia="仿宋_GB2312"/>
          <w:snapToGrid w:val="0"/>
          <w:color w:val="000000"/>
          <w:kern w:val="0"/>
          <w:sz w:val="32"/>
          <w:szCs w:val="32"/>
        </w:rPr>
        <w:t>国家市场监督管理总局</w:t>
      </w:r>
      <w:r>
        <w:rPr>
          <w:rFonts w:eastAsia="仿宋_GB2312"/>
          <w:snapToGrid w:val="0"/>
          <w:color w:val="000000"/>
          <w:kern w:val="0"/>
          <w:sz w:val="32"/>
          <w:szCs w:val="32"/>
        </w:rPr>
        <w:t>.</w:t>
      </w:r>
      <w:r>
        <w:rPr>
          <w:rFonts w:eastAsia="仿宋_GB2312"/>
          <w:snapToGrid w:val="0"/>
          <w:color w:val="000000"/>
          <w:kern w:val="0"/>
          <w:sz w:val="32"/>
          <w:szCs w:val="32"/>
        </w:rPr>
        <w:t>医疗器械注册与备案管理办法</w:t>
      </w:r>
      <w:r>
        <w:rPr>
          <w:rFonts w:eastAsia="仿宋_GB2312"/>
          <w:snapToGrid w:val="0"/>
          <w:color w:val="000000"/>
          <w:kern w:val="0"/>
          <w:sz w:val="32"/>
          <w:szCs w:val="32"/>
        </w:rPr>
        <w:t>:</w:t>
      </w:r>
      <w:r>
        <w:rPr>
          <w:rFonts w:eastAsia="仿宋_GB2312"/>
          <w:snapToGrid w:val="0"/>
          <w:color w:val="000000"/>
          <w:kern w:val="0"/>
          <w:sz w:val="32"/>
          <w:szCs w:val="32"/>
        </w:rPr>
        <w:t>国家市场监督管理总局令第</w:t>
      </w:r>
      <w:r>
        <w:rPr>
          <w:rFonts w:eastAsia="仿宋_GB2312"/>
          <w:snapToGrid w:val="0"/>
          <w:color w:val="000000"/>
          <w:kern w:val="0"/>
          <w:sz w:val="32"/>
          <w:szCs w:val="32"/>
        </w:rPr>
        <w:t>47</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[3]</w:t>
      </w:r>
      <w:r>
        <w:rPr>
          <w:rFonts w:eastAsia="仿宋_GB2312"/>
          <w:snapToGrid w:val="0"/>
          <w:color w:val="000000"/>
          <w:kern w:val="0"/>
          <w:sz w:val="32"/>
          <w:szCs w:val="32"/>
        </w:rPr>
        <w:t>国家食品药品监督管理局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医疗器械说明书和标签管理规定</w:t>
      </w:r>
      <w:r>
        <w:rPr>
          <w:rFonts w:eastAsia="仿宋_GB2312"/>
          <w:snapToGrid w:val="0"/>
          <w:color w:val="000000"/>
          <w:kern w:val="0"/>
          <w:sz w:val="32"/>
          <w:szCs w:val="32"/>
        </w:rPr>
        <w:t>:</w:t>
      </w:r>
      <w:r>
        <w:rPr>
          <w:rFonts w:eastAsia="仿宋_GB2312"/>
          <w:snapToGrid w:val="0"/>
          <w:color w:val="000000"/>
          <w:kern w:val="0"/>
          <w:sz w:val="32"/>
          <w:szCs w:val="32"/>
        </w:rPr>
        <w:t>国家食品药品监督管理总局令第</w:t>
      </w:r>
      <w:r>
        <w:rPr>
          <w:rFonts w:eastAsia="仿宋_GB2312"/>
          <w:snapToGrid w:val="0"/>
          <w:color w:val="000000"/>
          <w:kern w:val="0"/>
          <w:sz w:val="32"/>
          <w:szCs w:val="32"/>
        </w:rPr>
        <w:t>6</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lastRenderedPageBreak/>
        <w:t>[4]</w:t>
      </w:r>
      <w:bookmarkStart w:id="4" w:name="_Ref455123912"/>
      <w:r>
        <w:rPr>
          <w:rFonts w:eastAsia="仿宋_GB2312"/>
          <w:snapToGrid w:val="0"/>
          <w:color w:val="000000"/>
          <w:kern w:val="0"/>
          <w:sz w:val="32"/>
          <w:szCs w:val="32"/>
        </w:rPr>
        <w:t>国家食品药品监督管理局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医疗器械分类规则</w:t>
      </w:r>
      <w:r>
        <w:rPr>
          <w:rFonts w:eastAsia="仿宋_GB2312"/>
          <w:snapToGrid w:val="0"/>
          <w:color w:val="000000"/>
          <w:kern w:val="0"/>
          <w:sz w:val="32"/>
          <w:szCs w:val="32"/>
        </w:rPr>
        <w:t>:</w:t>
      </w:r>
      <w:r>
        <w:rPr>
          <w:rFonts w:eastAsia="仿宋_GB2312"/>
          <w:snapToGrid w:val="0"/>
          <w:color w:val="000000"/>
          <w:kern w:val="0"/>
          <w:sz w:val="32"/>
          <w:szCs w:val="32"/>
        </w:rPr>
        <w:t>国家食品药品监督管理总局令第</w:t>
      </w:r>
      <w:r>
        <w:rPr>
          <w:rFonts w:eastAsia="仿宋_GB2312"/>
          <w:snapToGrid w:val="0"/>
          <w:color w:val="000000"/>
          <w:kern w:val="0"/>
          <w:sz w:val="32"/>
          <w:szCs w:val="32"/>
        </w:rPr>
        <w:t>15</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[5]</w:t>
      </w:r>
      <w:bookmarkEnd w:id="4"/>
      <w:r>
        <w:rPr>
          <w:rFonts w:eastAsia="仿宋_GB2312"/>
          <w:snapToGrid w:val="0"/>
          <w:color w:val="000000"/>
          <w:kern w:val="0"/>
          <w:sz w:val="32"/>
          <w:szCs w:val="32"/>
        </w:rPr>
        <w:t>国家食品药品监督管理局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医疗器械通用名称命名规则：国家食品药品监督管理总局令第</w:t>
      </w:r>
      <w:r>
        <w:rPr>
          <w:rFonts w:eastAsia="仿宋_GB2312"/>
          <w:snapToGrid w:val="0"/>
          <w:color w:val="000000"/>
          <w:kern w:val="0"/>
          <w:sz w:val="32"/>
          <w:szCs w:val="32"/>
        </w:rPr>
        <w:t>19</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[6]</w:t>
      </w:r>
      <w:r>
        <w:rPr>
          <w:rFonts w:eastAsia="仿宋_GB2312"/>
          <w:snapToGrid w:val="0"/>
          <w:color w:val="000000"/>
          <w:kern w:val="0"/>
          <w:sz w:val="32"/>
          <w:szCs w:val="32"/>
        </w:rPr>
        <w:t>国家药品监督管理局</w:t>
      </w:r>
      <w:r>
        <w:rPr>
          <w:rFonts w:eastAsia="仿宋_GB2312"/>
          <w:snapToGrid w:val="0"/>
          <w:color w:val="000000"/>
          <w:kern w:val="0"/>
          <w:sz w:val="32"/>
          <w:szCs w:val="32"/>
        </w:rPr>
        <w:t>.</w:t>
      </w:r>
      <w:r>
        <w:rPr>
          <w:rFonts w:eastAsia="仿宋_GB2312"/>
          <w:snapToGrid w:val="0"/>
          <w:color w:val="000000"/>
          <w:kern w:val="0"/>
          <w:sz w:val="32"/>
          <w:szCs w:val="32"/>
        </w:rPr>
        <w:t>中医器械通用名称命名指导原则</w:t>
      </w:r>
      <w:r>
        <w:rPr>
          <w:rFonts w:eastAsia="仿宋_GB2312"/>
          <w:snapToGrid w:val="0"/>
          <w:color w:val="000000"/>
          <w:kern w:val="0"/>
          <w:sz w:val="32"/>
          <w:szCs w:val="32"/>
        </w:rPr>
        <w:t>:</w:t>
      </w:r>
      <w:r>
        <w:rPr>
          <w:rFonts w:eastAsia="仿宋_GB2312"/>
          <w:snapToGrid w:val="0"/>
          <w:color w:val="000000"/>
          <w:kern w:val="0"/>
          <w:sz w:val="32"/>
          <w:szCs w:val="32"/>
        </w:rPr>
        <w:t>国家药监局关于发布医用康复器械通用名称命名指导原则等</w:t>
      </w:r>
      <w:r>
        <w:rPr>
          <w:rFonts w:eastAsia="仿宋_GB2312"/>
          <w:snapToGrid w:val="0"/>
          <w:color w:val="000000"/>
          <w:kern w:val="0"/>
          <w:sz w:val="32"/>
          <w:szCs w:val="32"/>
        </w:rPr>
        <w:t>6</w:t>
      </w:r>
      <w:r>
        <w:rPr>
          <w:rFonts w:eastAsia="仿宋_GB2312"/>
          <w:snapToGrid w:val="0"/>
          <w:color w:val="000000"/>
          <w:kern w:val="0"/>
          <w:sz w:val="32"/>
          <w:szCs w:val="32"/>
        </w:rPr>
        <w:t>项指导原则的通告</w:t>
      </w:r>
      <w:r>
        <w:rPr>
          <w:rFonts w:eastAsia="仿宋_GB2312"/>
          <w:snapToGrid w:val="0"/>
          <w:color w:val="000000"/>
          <w:kern w:val="0"/>
          <w:sz w:val="32"/>
          <w:szCs w:val="32"/>
        </w:rPr>
        <w:t>2</w:t>
      </w:r>
      <w:r>
        <w:rPr>
          <w:rFonts w:eastAsia="仿宋_GB2312"/>
          <w:snapToGrid w:val="0"/>
          <w:color w:val="000000"/>
          <w:kern w:val="0"/>
          <w:sz w:val="32"/>
          <w:szCs w:val="32"/>
        </w:rPr>
        <w:t>021</w:t>
      </w:r>
      <w:r>
        <w:rPr>
          <w:rFonts w:eastAsia="仿宋_GB2312"/>
          <w:snapToGrid w:val="0"/>
          <w:color w:val="000000"/>
          <w:kern w:val="0"/>
          <w:sz w:val="32"/>
          <w:szCs w:val="32"/>
        </w:rPr>
        <w:t>年第</w:t>
      </w:r>
      <w:r>
        <w:rPr>
          <w:rFonts w:eastAsia="仿宋_GB2312"/>
          <w:snapToGrid w:val="0"/>
          <w:color w:val="000000"/>
          <w:kern w:val="0"/>
          <w:sz w:val="32"/>
          <w:szCs w:val="32"/>
        </w:rPr>
        <w:t>48</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[7]</w:t>
      </w:r>
      <w:r>
        <w:rPr>
          <w:rFonts w:eastAsia="仿宋_GB2312"/>
          <w:snapToGrid w:val="0"/>
          <w:color w:val="000000"/>
          <w:kern w:val="0"/>
          <w:sz w:val="32"/>
          <w:szCs w:val="32"/>
        </w:rPr>
        <w:t>国家食品药品监督管理局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医疗器械分类目录</w:t>
      </w:r>
      <w:r>
        <w:rPr>
          <w:rFonts w:eastAsia="仿宋_GB2312"/>
          <w:snapToGrid w:val="0"/>
          <w:color w:val="000000"/>
          <w:kern w:val="0"/>
          <w:sz w:val="32"/>
          <w:szCs w:val="32"/>
        </w:rPr>
        <w:t>:</w:t>
      </w:r>
      <w:r>
        <w:rPr>
          <w:rFonts w:eastAsia="仿宋_GB2312"/>
          <w:snapToGrid w:val="0"/>
          <w:color w:val="000000"/>
          <w:kern w:val="0"/>
          <w:sz w:val="32"/>
          <w:szCs w:val="32"/>
        </w:rPr>
        <w:t>国家食品药品监督管理总局关于发布医疗器械分类目录的公告</w:t>
      </w:r>
      <w:r>
        <w:rPr>
          <w:rFonts w:eastAsia="仿宋_GB2312"/>
          <w:snapToGrid w:val="0"/>
          <w:color w:val="000000"/>
          <w:kern w:val="0"/>
          <w:sz w:val="32"/>
          <w:szCs w:val="32"/>
        </w:rPr>
        <w:t>2017</w:t>
      </w:r>
      <w:r>
        <w:rPr>
          <w:rFonts w:eastAsia="仿宋_GB2312"/>
          <w:snapToGrid w:val="0"/>
          <w:color w:val="000000"/>
          <w:kern w:val="0"/>
          <w:sz w:val="32"/>
          <w:szCs w:val="32"/>
        </w:rPr>
        <w:t>年第</w:t>
      </w:r>
      <w:r>
        <w:rPr>
          <w:rFonts w:eastAsia="仿宋_GB2312"/>
          <w:snapToGrid w:val="0"/>
          <w:color w:val="000000"/>
          <w:kern w:val="0"/>
          <w:sz w:val="32"/>
          <w:szCs w:val="32"/>
        </w:rPr>
        <w:t>104</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[8]</w:t>
      </w:r>
      <w:r>
        <w:rPr>
          <w:rFonts w:eastAsia="仿宋_GB2312"/>
          <w:snapToGrid w:val="0"/>
          <w:color w:val="000000"/>
          <w:kern w:val="0"/>
          <w:sz w:val="32"/>
          <w:szCs w:val="32"/>
        </w:rPr>
        <w:t>国家食品药品监督管理局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医疗器械注册单元划分指导原则</w:t>
      </w:r>
      <w:r>
        <w:rPr>
          <w:rFonts w:eastAsia="仿宋_GB2312"/>
          <w:snapToGrid w:val="0"/>
          <w:color w:val="000000"/>
          <w:kern w:val="0"/>
          <w:sz w:val="32"/>
          <w:szCs w:val="32"/>
        </w:rPr>
        <w:t>:</w:t>
      </w:r>
      <w:r>
        <w:rPr>
          <w:rFonts w:eastAsia="仿宋_GB2312"/>
          <w:snapToGrid w:val="0"/>
          <w:color w:val="000000"/>
          <w:kern w:val="0"/>
          <w:sz w:val="32"/>
          <w:szCs w:val="32"/>
        </w:rPr>
        <w:t>总局关于发布医疗器械注册单元划分指导原则的通告</w:t>
      </w:r>
      <w:r>
        <w:rPr>
          <w:rFonts w:eastAsia="仿宋_GB2312"/>
          <w:snapToGrid w:val="0"/>
          <w:color w:val="000000"/>
          <w:kern w:val="0"/>
          <w:sz w:val="32"/>
          <w:szCs w:val="32"/>
        </w:rPr>
        <w:t>2017</w:t>
      </w:r>
      <w:r>
        <w:rPr>
          <w:rFonts w:eastAsia="仿宋_GB2312"/>
          <w:snapToGrid w:val="0"/>
          <w:color w:val="000000"/>
          <w:kern w:val="0"/>
          <w:sz w:val="32"/>
          <w:szCs w:val="32"/>
        </w:rPr>
        <w:t>年第</w:t>
      </w:r>
      <w:r>
        <w:rPr>
          <w:rFonts w:eastAsia="仿宋_GB2312"/>
          <w:snapToGrid w:val="0"/>
          <w:color w:val="000000"/>
          <w:kern w:val="0"/>
          <w:sz w:val="32"/>
          <w:szCs w:val="32"/>
        </w:rPr>
        <w:t>187</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[9]</w:t>
      </w:r>
      <w:r>
        <w:rPr>
          <w:rFonts w:eastAsia="仿宋_GB2312"/>
          <w:snapToGrid w:val="0"/>
          <w:color w:val="000000"/>
          <w:kern w:val="0"/>
          <w:sz w:val="32"/>
          <w:szCs w:val="32"/>
        </w:rPr>
        <w:t>国家药品监督管理局</w:t>
      </w:r>
      <w:r>
        <w:rPr>
          <w:rFonts w:eastAsia="仿宋_GB2312"/>
          <w:snapToGrid w:val="0"/>
          <w:color w:val="000000"/>
          <w:kern w:val="0"/>
          <w:sz w:val="32"/>
          <w:szCs w:val="32"/>
        </w:rPr>
        <w:t>.</w:t>
      </w:r>
      <w:r>
        <w:rPr>
          <w:rFonts w:eastAsia="仿宋_GB2312"/>
          <w:snapToGrid w:val="0"/>
          <w:color w:val="000000"/>
          <w:kern w:val="0"/>
          <w:sz w:val="32"/>
          <w:szCs w:val="32"/>
        </w:rPr>
        <w:t>有源医疗器械使用期限注册技术审查指导原则</w:t>
      </w:r>
      <w:r>
        <w:rPr>
          <w:rFonts w:eastAsia="仿宋_GB2312"/>
          <w:snapToGrid w:val="0"/>
          <w:color w:val="000000"/>
          <w:kern w:val="0"/>
          <w:sz w:val="32"/>
          <w:szCs w:val="32"/>
        </w:rPr>
        <w:t>:</w:t>
      </w:r>
      <w:r>
        <w:rPr>
          <w:rFonts w:eastAsia="仿宋_GB2312"/>
          <w:snapToGrid w:val="0"/>
          <w:color w:val="000000"/>
          <w:kern w:val="0"/>
          <w:sz w:val="32"/>
          <w:szCs w:val="32"/>
        </w:rPr>
        <w:t>国家药品监督管理局关于发布有源医疗器械使用期限注册技术审查指导原则的通告</w:t>
      </w:r>
      <w:r>
        <w:rPr>
          <w:rFonts w:eastAsia="仿宋_GB2312"/>
          <w:snapToGrid w:val="0"/>
          <w:color w:val="000000"/>
          <w:kern w:val="0"/>
          <w:sz w:val="32"/>
          <w:szCs w:val="32"/>
        </w:rPr>
        <w:t>2019</w:t>
      </w:r>
      <w:r>
        <w:rPr>
          <w:rFonts w:eastAsia="仿宋_GB2312"/>
          <w:snapToGrid w:val="0"/>
          <w:color w:val="000000"/>
          <w:kern w:val="0"/>
          <w:sz w:val="32"/>
          <w:szCs w:val="32"/>
        </w:rPr>
        <w:t>年第</w:t>
      </w:r>
      <w:r>
        <w:rPr>
          <w:rFonts w:eastAsia="仿宋_GB2312"/>
          <w:snapToGrid w:val="0"/>
          <w:color w:val="000000"/>
          <w:kern w:val="0"/>
          <w:sz w:val="32"/>
          <w:szCs w:val="32"/>
        </w:rPr>
        <w:t>23</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[10]</w:t>
      </w:r>
      <w:r>
        <w:rPr>
          <w:rFonts w:eastAsia="仿宋_GB2312"/>
          <w:snapToGrid w:val="0"/>
          <w:color w:val="000000"/>
          <w:kern w:val="0"/>
          <w:sz w:val="32"/>
          <w:szCs w:val="32"/>
        </w:rPr>
        <w:t>国家药品监督管理局医疗器械审评中心</w:t>
      </w:r>
      <w:r>
        <w:rPr>
          <w:rFonts w:eastAsia="仿宋_GB2312"/>
          <w:snapToGrid w:val="0"/>
          <w:color w:val="000000"/>
          <w:kern w:val="0"/>
          <w:sz w:val="32"/>
          <w:szCs w:val="32"/>
        </w:rPr>
        <w:t>.</w:t>
      </w:r>
      <w:r>
        <w:rPr>
          <w:rFonts w:eastAsia="仿宋_GB2312"/>
          <w:snapToGrid w:val="0"/>
          <w:color w:val="000000"/>
          <w:kern w:val="0"/>
          <w:sz w:val="32"/>
          <w:szCs w:val="32"/>
        </w:rPr>
        <w:t>医疗器</w:t>
      </w:r>
      <w:r>
        <w:rPr>
          <w:rFonts w:eastAsia="仿宋_GB2312"/>
          <w:snapToGrid w:val="0"/>
          <w:color w:val="000000"/>
          <w:kern w:val="0"/>
          <w:sz w:val="32"/>
          <w:szCs w:val="32"/>
        </w:rPr>
        <w:t>械软件注册审查指导原则（</w:t>
      </w:r>
      <w:r>
        <w:rPr>
          <w:rFonts w:eastAsia="仿宋_GB2312"/>
          <w:snapToGrid w:val="0"/>
          <w:color w:val="000000"/>
          <w:kern w:val="0"/>
          <w:sz w:val="32"/>
          <w:szCs w:val="32"/>
        </w:rPr>
        <w:t>2022</w:t>
      </w:r>
      <w:r>
        <w:rPr>
          <w:rFonts w:eastAsia="仿宋_GB2312"/>
          <w:snapToGrid w:val="0"/>
          <w:color w:val="000000"/>
          <w:kern w:val="0"/>
          <w:sz w:val="32"/>
          <w:szCs w:val="32"/>
        </w:rPr>
        <w:t>年修订版）</w:t>
      </w:r>
      <w:r>
        <w:rPr>
          <w:rFonts w:eastAsia="仿宋_GB2312"/>
          <w:snapToGrid w:val="0"/>
          <w:color w:val="000000"/>
          <w:kern w:val="0"/>
          <w:sz w:val="32"/>
          <w:szCs w:val="32"/>
        </w:rPr>
        <w:t>:</w:t>
      </w:r>
      <w:r>
        <w:rPr>
          <w:rFonts w:eastAsia="仿宋_GB2312"/>
          <w:snapToGrid w:val="0"/>
          <w:color w:val="000000"/>
          <w:kern w:val="0"/>
          <w:sz w:val="32"/>
          <w:szCs w:val="32"/>
        </w:rPr>
        <w:t>国家药监局器审中心关于发布医疗器械软件注册审查指导原则（</w:t>
      </w:r>
      <w:r>
        <w:rPr>
          <w:rFonts w:eastAsia="仿宋_GB2312"/>
          <w:snapToGrid w:val="0"/>
          <w:color w:val="000000"/>
          <w:kern w:val="0"/>
          <w:sz w:val="32"/>
          <w:szCs w:val="32"/>
        </w:rPr>
        <w:t>2022</w:t>
      </w:r>
      <w:r>
        <w:rPr>
          <w:rFonts w:eastAsia="仿宋_GB2312"/>
          <w:snapToGrid w:val="0"/>
          <w:color w:val="000000"/>
          <w:kern w:val="0"/>
          <w:sz w:val="32"/>
          <w:szCs w:val="32"/>
        </w:rPr>
        <w:t>年修订版）的通告</w:t>
      </w:r>
      <w:r>
        <w:rPr>
          <w:rFonts w:eastAsia="仿宋_GB2312"/>
          <w:snapToGrid w:val="0"/>
          <w:color w:val="000000"/>
          <w:kern w:val="0"/>
          <w:sz w:val="32"/>
          <w:szCs w:val="32"/>
        </w:rPr>
        <w:t>2022</w:t>
      </w:r>
      <w:r>
        <w:rPr>
          <w:rFonts w:eastAsia="仿宋_GB2312"/>
          <w:snapToGrid w:val="0"/>
          <w:color w:val="000000"/>
          <w:kern w:val="0"/>
          <w:sz w:val="32"/>
          <w:szCs w:val="32"/>
        </w:rPr>
        <w:t>年第</w:t>
      </w:r>
      <w:r>
        <w:rPr>
          <w:rFonts w:eastAsia="仿宋_GB2312"/>
          <w:snapToGrid w:val="0"/>
          <w:color w:val="000000"/>
          <w:kern w:val="0"/>
          <w:sz w:val="32"/>
          <w:szCs w:val="32"/>
        </w:rPr>
        <w:t>9</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[11]</w:t>
      </w:r>
      <w:r>
        <w:rPr>
          <w:rFonts w:eastAsia="仿宋_GB2312"/>
          <w:snapToGrid w:val="0"/>
          <w:color w:val="000000"/>
          <w:kern w:val="0"/>
          <w:sz w:val="32"/>
          <w:szCs w:val="32"/>
        </w:rPr>
        <w:t>国家药品监督管理局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医疗器械临床评价技术指导原则</w:t>
      </w:r>
      <w:r>
        <w:rPr>
          <w:rFonts w:eastAsia="仿宋_GB2312"/>
          <w:snapToGrid w:val="0"/>
          <w:color w:val="000000"/>
          <w:kern w:val="0"/>
          <w:sz w:val="32"/>
          <w:szCs w:val="32"/>
        </w:rPr>
        <w:t>:</w:t>
      </w:r>
      <w:r>
        <w:rPr>
          <w:rFonts w:eastAsia="仿宋_GB2312"/>
          <w:snapToGrid w:val="0"/>
          <w:color w:val="000000"/>
          <w:kern w:val="0"/>
          <w:sz w:val="32"/>
          <w:szCs w:val="32"/>
        </w:rPr>
        <w:t>国家药监局关于发布医疗器械临床评价技术指导原则等</w:t>
      </w:r>
      <w:r>
        <w:rPr>
          <w:rFonts w:eastAsia="仿宋_GB2312"/>
          <w:snapToGrid w:val="0"/>
          <w:color w:val="000000"/>
          <w:kern w:val="0"/>
          <w:sz w:val="32"/>
          <w:szCs w:val="32"/>
        </w:rPr>
        <w:t>5</w:t>
      </w:r>
      <w:r>
        <w:rPr>
          <w:rFonts w:eastAsia="仿宋_GB2312"/>
          <w:snapToGrid w:val="0"/>
          <w:color w:val="000000"/>
          <w:kern w:val="0"/>
          <w:sz w:val="32"/>
          <w:szCs w:val="32"/>
        </w:rPr>
        <w:t>项技术指导原则的通告</w:t>
      </w:r>
      <w:r>
        <w:rPr>
          <w:rFonts w:eastAsia="仿宋_GB2312"/>
          <w:snapToGrid w:val="0"/>
          <w:color w:val="000000"/>
          <w:kern w:val="0"/>
          <w:sz w:val="32"/>
          <w:szCs w:val="32"/>
        </w:rPr>
        <w:t>2021</w:t>
      </w:r>
      <w:r>
        <w:rPr>
          <w:rFonts w:eastAsia="仿宋_GB2312"/>
          <w:snapToGrid w:val="0"/>
          <w:color w:val="000000"/>
          <w:kern w:val="0"/>
          <w:sz w:val="32"/>
          <w:szCs w:val="32"/>
        </w:rPr>
        <w:t>年第</w:t>
      </w:r>
      <w:r>
        <w:rPr>
          <w:rFonts w:eastAsia="仿宋_GB2312"/>
          <w:snapToGrid w:val="0"/>
          <w:color w:val="000000"/>
          <w:kern w:val="0"/>
          <w:sz w:val="32"/>
          <w:szCs w:val="32"/>
        </w:rPr>
        <w:t>73</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[12]</w:t>
      </w:r>
      <w:r>
        <w:rPr>
          <w:rFonts w:eastAsia="仿宋_GB2312"/>
          <w:snapToGrid w:val="0"/>
          <w:color w:val="000000"/>
          <w:kern w:val="0"/>
          <w:sz w:val="32"/>
          <w:szCs w:val="32"/>
        </w:rPr>
        <w:t>国家食品药品监督管理局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医疗器械生物学评价和审查</w:t>
      </w:r>
      <w:r>
        <w:rPr>
          <w:rFonts w:eastAsia="仿宋_GB2312"/>
          <w:snapToGrid w:val="0"/>
          <w:color w:val="000000"/>
          <w:kern w:val="0"/>
          <w:sz w:val="32"/>
          <w:szCs w:val="32"/>
        </w:rPr>
        <w:lastRenderedPageBreak/>
        <w:t>指南</w:t>
      </w:r>
      <w:r>
        <w:rPr>
          <w:rFonts w:eastAsia="仿宋_GB2312"/>
          <w:snapToGrid w:val="0"/>
          <w:color w:val="000000"/>
          <w:kern w:val="0"/>
          <w:sz w:val="32"/>
          <w:szCs w:val="32"/>
        </w:rPr>
        <w:t>:</w:t>
      </w:r>
      <w:r>
        <w:rPr>
          <w:rFonts w:eastAsia="仿宋_GB2312"/>
          <w:snapToGrid w:val="0"/>
          <w:color w:val="000000"/>
          <w:kern w:val="0"/>
          <w:sz w:val="32"/>
          <w:szCs w:val="32"/>
        </w:rPr>
        <w:t>关于印发医疗器械生物学评价和审查指南的通知</w:t>
      </w:r>
      <w:r>
        <w:rPr>
          <w:rFonts w:eastAsia="仿宋_GB2312"/>
          <w:snapToGrid w:val="0"/>
          <w:color w:val="000000"/>
          <w:kern w:val="0"/>
          <w:sz w:val="32"/>
          <w:szCs w:val="32"/>
        </w:rPr>
        <w:t>2007</w:t>
      </w:r>
      <w:r>
        <w:rPr>
          <w:rFonts w:eastAsia="仿宋_GB2312"/>
          <w:snapToGrid w:val="0"/>
          <w:color w:val="000000"/>
          <w:kern w:val="0"/>
          <w:sz w:val="32"/>
          <w:szCs w:val="32"/>
        </w:rPr>
        <w:t>年</w:t>
      </w:r>
      <w:r>
        <w:rPr>
          <w:rFonts w:eastAsia="仿宋_GB2312"/>
          <w:snapToGrid w:val="0"/>
          <w:color w:val="000000"/>
          <w:kern w:val="0"/>
          <w:sz w:val="32"/>
          <w:szCs w:val="32"/>
        </w:rPr>
        <w:t>345</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[13]</w:t>
      </w:r>
      <w:r>
        <w:rPr>
          <w:rFonts w:eastAsia="仿宋_GB2312"/>
          <w:snapToGrid w:val="0"/>
          <w:color w:val="000000"/>
          <w:kern w:val="0"/>
          <w:sz w:val="32"/>
          <w:szCs w:val="32"/>
        </w:rPr>
        <w:t>国家药品监督管理局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医疗器械产品技术要求编写指导原则</w:t>
      </w:r>
      <w:r>
        <w:rPr>
          <w:rFonts w:eastAsia="仿宋_GB2312"/>
          <w:snapToGrid w:val="0"/>
          <w:color w:val="000000"/>
          <w:kern w:val="0"/>
          <w:sz w:val="32"/>
          <w:szCs w:val="32"/>
        </w:rPr>
        <w:t>:</w:t>
      </w:r>
      <w:r>
        <w:rPr>
          <w:rFonts w:eastAsia="仿宋_GB2312"/>
          <w:snapToGrid w:val="0"/>
          <w:color w:val="000000"/>
          <w:kern w:val="0"/>
          <w:sz w:val="32"/>
          <w:szCs w:val="32"/>
        </w:rPr>
        <w:t>国家药监局关</w:t>
      </w:r>
      <w:r>
        <w:rPr>
          <w:rFonts w:eastAsia="仿宋_GB2312"/>
          <w:snapToGrid w:val="0"/>
          <w:color w:val="000000"/>
          <w:kern w:val="0"/>
          <w:sz w:val="32"/>
          <w:szCs w:val="32"/>
        </w:rPr>
        <w:t>于发布医疗器械产品技术要求编写指导原则的通告</w:t>
      </w:r>
      <w:r>
        <w:rPr>
          <w:rFonts w:eastAsia="仿宋_GB2312"/>
          <w:snapToGrid w:val="0"/>
          <w:color w:val="000000"/>
          <w:kern w:val="0"/>
          <w:sz w:val="32"/>
          <w:szCs w:val="32"/>
        </w:rPr>
        <w:t>2022</w:t>
      </w:r>
      <w:r>
        <w:rPr>
          <w:rFonts w:eastAsia="仿宋_GB2312"/>
          <w:snapToGrid w:val="0"/>
          <w:color w:val="000000"/>
          <w:kern w:val="0"/>
          <w:sz w:val="32"/>
          <w:szCs w:val="32"/>
        </w:rPr>
        <w:t>年第</w:t>
      </w:r>
      <w:r>
        <w:rPr>
          <w:rFonts w:eastAsia="仿宋_GB2312"/>
          <w:snapToGrid w:val="0"/>
          <w:color w:val="000000"/>
          <w:kern w:val="0"/>
          <w:sz w:val="32"/>
          <w:szCs w:val="32"/>
        </w:rPr>
        <w:t>8</w:t>
      </w:r>
      <w:r>
        <w:rPr>
          <w:rFonts w:eastAsia="仿宋_GB2312"/>
          <w:snapToGrid w:val="0"/>
          <w:color w:val="000000"/>
          <w:kern w:val="0"/>
          <w:sz w:val="32"/>
          <w:szCs w:val="32"/>
        </w:rPr>
        <w:t>号</w:t>
      </w:r>
      <w:r>
        <w:rPr>
          <w:rFonts w:eastAsia="仿宋_GB2312"/>
          <w:snapToGrid w:val="0"/>
          <w:color w:val="000000"/>
          <w:kern w:val="0"/>
          <w:sz w:val="32"/>
          <w:szCs w:val="32"/>
        </w:rPr>
        <w:t>[Z].</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[14]</w:t>
      </w:r>
      <w:bookmarkStart w:id="5" w:name="_Ref455127285"/>
      <w:r>
        <w:rPr>
          <w:rFonts w:eastAsia="仿宋_GB2312"/>
          <w:snapToGrid w:val="0"/>
          <w:color w:val="000000"/>
          <w:kern w:val="0"/>
          <w:sz w:val="32"/>
          <w:szCs w:val="32"/>
        </w:rPr>
        <w:t>国家药品监督管理局</w:t>
      </w:r>
      <w:r>
        <w:rPr>
          <w:rFonts w:eastAsia="仿宋_GB2312"/>
          <w:snapToGrid w:val="0"/>
          <w:color w:val="000000"/>
          <w:kern w:val="0"/>
          <w:sz w:val="32"/>
          <w:szCs w:val="32"/>
        </w:rPr>
        <w:t>:</w:t>
      </w:r>
      <w:r>
        <w:rPr>
          <w:rFonts w:eastAsia="仿宋_GB2312"/>
          <w:snapToGrid w:val="0"/>
          <w:color w:val="000000"/>
          <w:kern w:val="0"/>
          <w:sz w:val="32"/>
          <w:szCs w:val="32"/>
        </w:rPr>
        <w:t>医疗器械注册申报资料要求和批准证明文件格式</w:t>
      </w:r>
      <w:r>
        <w:rPr>
          <w:rFonts w:eastAsia="仿宋_GB2312"/>
          <w:snapToGrid w:val="0"/>
          <w:color w:val="000000"/>
          <w:kern w:val="0"/>
          <w:sz w:val="32"/>
          <w:szCs w:val="32"/>
        </w:rPr>
        <w:t>:</w:t>
      </w:r>
      <w:r>
        <w:rPr>
          <w:rFonts w:eastAsia="仿宋_GB2312"/>
          <w:snapToGrid w:val="0"/>
          <w:color w:val="000000"/>
          <w:kern w:val="0"/>
          <w:sz w:val="32"/>
          <w:szCs w:val="32"/>
        </w:rPr>
        <w:t>关于公布医疗器械注册申报资料要求和批准证明文件格式的公告</w:t>
      </w:r>
      <w:r>
        <w:rPr>
          <w:rFonts w:eastAsia="仿宋_GB2312"/>
          <w:snapToGrid w:val="0"/>
          <w:color w:val="000000"/>
          <w:kern w:val="0"/>
          <w:sz w:val="32"/>
          <w:szCs w:val="32"/>
        </w:rPr>
        <w:t>2021</w:t>
      </w:r>
      <w:r>
        <w:rPr>
          <w:rFonts w:eastAsia="仿宋_GB2312"/>
          <w:snapToGrid w:val="0"/>
          <w:color w:val="000000"/>
          <w:kern w:val="0"/>
          <w:sz w:val="32"/>
          <w:szCs w:val="32"/>
        </w:rPr>
        <w:t>年第</w:t>
      </w:r>
      <w:r>
        <w:rPr>
          <w:rFonts w:eastAsia="仿宋_GB2312"/>
          <w:snapToGrid w:val="0"/>
          <w:color w:val="000000"/>
          <w:kern w:val="0"/>
          <w:sz w:val="32"/>
          <w:szCs w:val="32"/>
        </w:rPr>
        <w:t>121</w:t>
      </w:r>
      <w:r>
        <w:rPr>
          <w:rFonts w:eastAsia="仿宋_GB2312"/>
          <w:snapToGrid w:val="0"/>
          <w:color w:val="000000"/>
          <w:kern w:val="0"/>
          <w:sz w:val="32"/>
          <w:szCs w:val="32"/>
        </w:rPr>
        <w:t>号</w:t>
      </w:r>
      <w:r>
        <w:rPr>
          <w:rFonts w:eastAsia="仿宋_GB2312"/>
          <w:snapToGrid w:val="0"/>
          <w:color w:val="000000"/>
          <w:kern w:val="0"/>
          <w:sz w:val="32"/>
          <w:szCs w:val="32"/>
        </w:rPr>
        <w:t>[Z].</w:t>
      </w:r>
      <w:bookmarkEnd w:id="5"/>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[15]GB 9706.1-2020,</w:t>
      </w:r>
      <w:r>
        <w:rPr>
          <w:rFonts w:eastAsia="仿宋_GB2312"/>
          <w:snapToGrid w:val="0"/>
          <w:color w:val="000000"/>
          <w:kern w:val="0"/>
          <w:sz w:val="32"/>
          <w:szCs w:val="32"/>
        </w:rPr>
        <w:t>医用电气设备</w:t>
      </w:r>
      <w:r>
        <w:rPr>
          <w:rFonts w:eastAsia="仿宋_GB2312"/>
          <w:snapToGrid w:val="0"/>
          <w:color w:val="000000"/>
          <w:kern w:val="0"/>
          <w:sz w:val="32"/>
          <w:szCs w:val="32"/>
        </w:rPr>
        <w:t xml:space="preserve"> </w:t>
      </w:r>
      <w:r>
        <w:rPr>
          <w:rFonts w:eastAsia="仿宋_GB2312"/>
          <w:snapToGrid w:val="0"/>
          <w:color w:val="000000"/>
          <w:kern w:val="0"/>
          <w:sz w:val="32"/>
          <w:szCs w:val="32"/>
        </w:rPr>
        <w:t>第</w:t>
      </w:r>
      <w:r>
        <w:rPr>
          <w:rFonts w:eastAsia="仿宋_GB2312"/>
          <w:snapToGrid w:val="0"/>
          <w:color w:val="000000"/>
          <w:kern w:val="0"/>
          <w:sz w:val="32"/>
          <w:szCs w:val="32"/>
        </w:rPr>
        <w:t>1</w:t>
      </w:r>
      <w:r>
        <w:rPr>
          <w:rFonts w:eastAsia="仿宋_GB2312"/>
          <w:snapToGrid w:val="0"/>
          <w:color w:val="000000"/>
          <w:kern w:val="0"/>
          <w:sz w:val="32"/>
          <w:szCs w:val="32"/>
        </w:rPr>
        <w:t>部分：基本安全和基本性能的通用要求</w:t>
      </w:r>
      <w:r>
        <w:rPr>
          <w:rFonts w:eastAsia="仿宋_GB2312"/>
          <w:snapToGrid w:val="0"/>
          <w:color w:val="000000"/>
          <w:kern w:val="0"/>
          <w:sz w:val="32"/>
          <w:szCs w:val="32"/>
        </w:rPr>
        <w:t>[S].</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[16]YY 9706.102-2021,</w:t>
      </w:r>
      <w:r>
        <w:rPr>
          <w:rFonts w:eastAsia="仿宋_GB2312"/>
          <w:snapToGrid w:val="0"/>
          <w:color w:val="000000"/>
          <w:kern w:val="0"/>
          <w:sz w:val="32"/>
          <w:szCs w:val="32"/>
        </w:rPr>
        <w:t>医用电气设备　第</w:t>
      </w:r>
      <w:r>
        <w:rPr>
          <w:rFonts w:eastAsia="仿宋_GB2312"/>
          <w:snapToGrid w:val="0"/>
          <w:color w:val="000000"/>
          <w:kern w:val="0"/>
          <w:sz w:val="32"/>
          <w:szCs w:val="32"/>
        </w:rPr>
        <w:t>1-2</w:t>
      </w:r>
      <w:r>
        <w:rPr>
          <w:rFonts w:eastAsia="仿宋_GB2312"/>
          <w:snapToGrid w:val="0"/>
          <w:color w:val="000000"/>
          <w:kern w:val="0"/>
          <w:sz w:val="32"/>
          <w:szCs w:val="32"/>
        </w:rPr>
        <w:t>部分：基本安全和基本性能的通用要求　并列标准：电磁兼容要求和试验</w:t>
      </w:r>
      <w:r>
        <w:rPr>
          <w:rFonts w:eastAsia="仿宋_GB2312"/>
          <w:snapToGrid w:val="0"/>
          <w:color w:val="000000"/>
          <w:kern w:val="0"/>
          <w:sz w:val="32"/>
          <w:szCs w:val="32"/>
        </w:rPr>
        <w:t>[S].</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[17]YY/T 0466.1-2016,</w:t>
      </w:r>
      <w:r>
        <w:rPr>
          <w:rFonts w:eastAsia="仿宋_GB2312"/>
          <w:snapToGrid w:val="0"/>
          <w:color w:val="000000"/>
          <w:kern w:val="0"/>
          <w:sz w:val="32"/>
          <w:szCs w:val="32"/>
        </w:rPr>
        <w:t>医疗</w:t>
      </w:r>
      <w:r>
        <w:rPr>
          <w:rFonts w:eastAsia="仿宋_GB2312"/>
          <w:snapToGrid w:val="0"/>
          <w:color w:val="000000"/>
          <w:kern w:val="0"/>
          <w:sz w:val="32"/>
          <w:szCs w:val="32"/>
        </w:rPr>
        <w:t>器械用于医疗器械标签、标记和提供信息的符号第</w:t>
      </w:r>
      <w:r>
        <w:rPr>
          <w:rFonts w:eastAsia="仿宋_GB2312"/>
          <w:snapToGrid w:val="0"/>
          <w:color w:val="000000"/>
          <w:kern w:val="0"/>
          <w:sz w:val="32"/>
          <w:szCs w:val="32"/>
        </w:rPr>
        <w:t>1</w:t>
      </w:r>
      <w:r>
        <w:rPr>
          <w:rFonts w:eastAsia="仿宋_GB2312"/>
          <w:snapToGrid w:val="0"/>
          <w:color w:val="000000"/>
          <w:kern w:val="0"/>
          <w:sz w:val="32"/>
          <w:szCs w:val="32"/>
        </w:rPr>
        <w:t>部分：通用要求</w:t>
      </w:r>
      <w:r>
        <w:rPr>
          <w:rFonts w:eastAsia="仿宋_GB2312"/>
          <w:snapToGrid w:val="0"/>
          <w:color w:val="000000"/>
          <w:kern w:val="0"/>
          <w:sz w:val="32"/>
          <w:szCs w:val="32"/>
        </w:rPr>
        <w:t>[S].</w:t>
      </w:r>
    </w:p>
    <w:p w:rsidR="00BC27CF" w:rsidRDefault="00307597">
      <w:pPr>
        <w:spacing w:line="520" w:lineRule="exact"/>
        <w:ind w:firstLineChars="200" w:firstLine="640"/>
        <w:rPr>
          <w:rFonts w:eastAsia="仿宋_GB2312"/>
          <w:snapToGrid w:val="0"/>
          <w:color w:val="000000"/>
          <w:kern w:val="0"/>
          <w:sz w:val="32"/>
          <w:szCs w:val="32"/>
        </w:rPr>
      </w:pPr>
      <w:r>
        <w:rPr>
          <w:rFonts w:eastAsia="仿宋_GB2312"/>
          <w:snapToGrid w:val="0"/>
          <w:color w:val="000000"/>
          <w:kern w:val="0"/>
          <w:sz w:val="32"/>
          <w:szCs w:val="32"/>
        </w:rPr>
        <w:t>[18]YY/T 1488-2025,</w:t>
      </w:r>
      <w:r>
        <w:rPr>
          <w:rFonts w:eastAsia="仿宋_GB2312"/>
          <w:snapToGrid w:val="0"/>
          <w:color w:val="000000"/>
          <w:kern w:val="0"/>
          <w:sz w:val="32"/>
          <w:szCs w:val="32"/>
        </w:rPr>
        <w:t>中医器械</w:t>
      </w:r>
      <w:r>
        <w:rPr>
          <w:rFonts w:eastAsia="仿宋_GB2312"/>
          <w:snapToGrid w:val="0"/>
          <w:color w:val="000000"/>
          <w:kern w:val="0"/>
          <w:sz w:val="32"/>
          <w:szCs w:val="32"/>
        </w:rPr>
        <w:t xml:space="preserve"> </w:t>
      </w:r>
      <w:r>
        <w:rPr>
          <w:rFonts w:eastAsia="仿宋_GB2312"/>
          <w:snapToGrid w:val="0"/>
          <w:color w:val="000000"/>
          <w:kern w:val="0"/>
          <w:sz w:val="32"/>
          <w:szCs w:val="32"/>
        </w:rPr>
        <w:t>舌象信息采集设备</w:t>
      </w:r>
      <w:r>
        <w:rPr>
          <w:rFonts w:eastAsia="仿宋_GB2312"/>
          <w:snapToGrid w:val="0"/>
          <w:color w:val="000000"/>
          <w:kern w:val="0"/>
          <w:sz w:val="32"/>
          <w:szCs w:val="32"/>
        </w:rPr>
        <w:t>[S].</w:t>
      </w:r>
    </w:p>
    <w:p w:rsidR="00BC27CF" w:rsidRDefault="00307597">
      <w:pPr>
        <w:spacing w:line="520" w:lineRule="exact"/>
        <w:ind w:firstLineChars="200" w:firstLine="640"/>
      </w:pPr>
      <w:r>
        <w:rPr>
          <w:rFonts w:eastAsia="仿宋_GB2312"/>
          <w:snapToGrid w:val="0"/>
          <w:color w:val="000000"/>
          <w:kern w:val="0"/>
          <w:sz w:val="32"/>
          <w:szCs w:val="32"/>
        </w:rPr>
        <w:t>[19]GB/T 42062-2022,</w:t>
      </w:r>
      <w:r>
        <w:rPr>
          <w:rFonts w:eastAsia="仿宋_GB2312"/>
          <w:snapToGrid w:val="0"/>
          <w:color w:val="000000"/>
          <w:kern w:val="0"/>
          <w:sz w:val="32"/>
          <w:szCs w:val="32"/>
        </w:rPr>
        <w:t>医疗器械风险管理对医疗器械的应用</w:t>
      </w:r>
      <w:r>
        <w:rPr>
          <w:rFonts w:eastAsia="仿宋_GB2312"/>
          <w:snapToGrid w:val="0"/>
          <w:color w:val="000000"/>
          <w:kern w:val="0"/>
          <w:sz w:val="32"/>
          <w:szCs w:val="32"/>
        </w:rPr>
        <w:t>[S].</w:t>
      </w:r>
    </w:p>
    <w:sectPr w:rsidR="00BC27CF" w:rsidSect="00FF3548">
      <w:footerReference w:type="even" r:id="rId11"/>
      <w:footerReference w:type="default" r:id="rId12"/>
      <w:pgSz w:w="11906" w:h="16838"/>
      <w:pgMar w:top="2098" w:right="1474" w:bottom="1985" w:left="1588" w:header="851" w:footer="1191" w:gutter="0"/>
      <w:pgNumType w:start="1" w:chapStyle="1" w:chapSep="emDash"/>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597" w:rsidRDefault="00307597">
      <w:r>
        <w:separator/>
      </w:r>
    </w:p>
  </w:endnote>
  <w:endnote w:type="continuationSeparator" w:id="0">
    <w:p w:rsidR="00307597" w:rsidRDefault="0030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6"/>
    <w:family w:val="swiss"/>
    <w:pitch w:val="default"/>
    <w:sig w:usb0="00000000" w:usb1="00000000" w:usb2="0000003F" w:usb3="00000000" w:csb0="003F01FF"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rnoPro-Regular">
    <w:altName w:val="方正公文仿宋"/>
    <w:charset w:val="00"/>
    <w:family w:val="roman"/>
    <w:pitch w:val="default"/>
    <w:sig w:usb0="00000000" w:usb1="00000000" w:usb2="00000000" w:usb3="00000000" w:csb0="00040001" w:csb1="00000000"/>
  </w:font>
  <w:font w:name="ArnoPro-Italic">
    <w:altName w:val="方正公文仿宋"/>
    <w:charset w:val="00"/>
    <w:family w:val="roman"/>
    <w:pitch w:val="default"/>
    <w:sig w:usb0="00000000" w:usb1="00000000" w:usb2="00000000"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7CF" w:rsidRPr="00FF3548" w:rsidRDefault="00FF3548" w:rsidP="00FF3548">
    <w:pPr>
      <w:pStyle w:val="af1"/>
      <w:ind w:leftChars="100" w:left="210"/>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Pr>
        <w:noProof/>
        <w:sz w:val="28"/>
        <w:szCs w:val="28"/>
      </w:rPr>
      <w:t>2</w:t>
    </w:r>
    <w:r w:rsidRPr="001D6B0C">
      <w:rPr>
        <w:sz w:val="28"/>
        <w:szCs w:val="28"/>
      </w:rPr>
      <w:fldChar w:fldCharType="end"/>
    </w:r>
    <w:r w:rsidRPr="001D6B0C">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7CF" w:rsidRPr="00FF3548" w:rsidRDefault="00FF3548" w:rsidP="00FF3548">
    <w:pPr>
      <w:pStyle w:val="af1"/>
      <w:wordWrap w:val="0"/>
      <w:ind w:rightChars="100" w:right="210"/>
      <w:jc w:val="right"/>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Pr="00FF3548">
      <w:rPr>
        <w:noProof/>
        <w:sz w:val="28"/>
        <w:szCs w:val="28"/>
        <w:lang w:val="zh-CN"/>
      </w:rPr>
      <w:t>1</w:t>
    </w:r>
    <w:r w:rsidRPr="001D6B0C">
      <w:rPr>
        <w:sz w:val="28"/>
        <w:szCs w:val="28"/>
      </w:rPr>
      <w:fldChar w:fldCharType="end"/>
    </w:r>
    <w:r w:rsidRPr="001D6B0C">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597" w:rsidRDefault="00307597">
      <w:r>
        <w:separator/>
      </w:r>
    </w:p>
  </w:footnote>
  <w:footnote w:type="continuationSeparator" w:id="0">
    <w:p w:rsidR="00307597" w:rsidRDefault="003075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1BEF"/>
    <w:multiLevelType w:val="multilevel"/>
    <w:tmpl w:val="02F51BEF"/>
    <w:lvl w:ilvl="0">
      <w:start w:val="1"/>
      <w:numFmt w:val="bullet"/>
      <w:pStyle w:val="05Items"/>
      <w:lvlText w:val=""/>
      <w:lvlJc w:val="left"/>
      <w:pPr>
        <w:tabs>
          <w:tab w:val="left" w:pos="420"/>
        </w:tabs>
        <w:ind w:left="420" w:hanging="420"/>
      </w:pPr>
      <w:rPr>
        <w:rFonts w:ascii="Wingdings" w:hAnsi="Wingdings" w:hint="default"/>
        <w:sz w:val="20"/>
      </w:rPr>
    </w:lvl>
    <w:lvl w:ilvl="1">
      <w:start w:val="1"/>
      <w:numFmt w:val="bullet"/>
      <w:lvlText w:val=""/>
      <w:lvlJc w:val="left"/>
      <w:pPr>
        <w:tabs>
          <w:tab w:val="left" w:pos="620"/>
        </w:tabs>
        <w:ind w:left="620" w:hanging="420"/>
      </w:pPr>
      <w:rPr>
        <w:rFonts w:ascii="Wingdings" w:hAnsi="Wingdings" w:hint="default"/>
      </w:rPr>
    </w:lvl>
    <w:lvl w:ilvl="2">
      <w:start w:val="1"/>
      <w:numFmt w:val="bullet"/>
      <w:lvlText w:val=""/>
      <w:lvlJc w:val="left"/>
      <w:pPr>
        <w:tabs>
          <w:tab w:val="left" w:pos="1040"/>
        </w:tabs>
        <w:ind w:left="1040" w:hanging="420"/>
      </w:pPr>
      <w:rPr>
        <w:rFonts w:ascii="Wingdings" w:hAnsi="Wingdings" w:hint="default"/>
      </w:rPr>
    </w:lvl>
    <w:lvl w:ilvl="3">
      <w:start w:val="1"/>
      <w:numFmt w:val="bullet"/>
      <w:lvlText w:val=""/>
      <w:lvlJc w:val="left"/>
      <w:pPr>
        <w:tabs>
          <w:tab w:val="left" w:pos="1460"/>
        </w:tabs>
        <w:ind w:left="1460" w:hanging="420"/>
      </w:pPr>
      <w:rPr>
        <w:rFonts w:ascii="Wingdings" w:hAnsi="Wingdings" w:hint="default"/>
      </w:rPr>
    </w:lvl>
    <w:lvl w:ilvl="4">
      <w:start w:val="1"/>
      <w:numFmt w:val="bullet"/>
      <w:lvlText w:val=""/>
      <w:lvlJc w:val="left"/>
      <w:pPr>
        <w:tabs>
          <w:tab w:val="left" w:pos="1880"/>
        </w:tabs>
        <w:ind w:left="1880" w:hanging="420"/>
      </w:pPr>
      <w:rPr>
        <w:rFonts w:ascii="Wingdings" w:hAnsi="Wingdings" w:hint="default"/>
      </w:rPr>
    </w:lvl>
    <w:lvl w:ilvl="5">
      <w:start w:val="1"/>
      <w:numFmt w:val="bullet"/>
      <w:lvlText w:val=""/>
      <w:lvlJc w:val="left"/>
      <w:pPr>
        <w:tabs>
          <w:tab w:val="left" w:pos="2300"/>
        </w:tabs>
        <w:ind w:left="2300" w:hanging="420"/>
      </w:pPr>
      <w:rPr>
        <w:rFonts w:ascii="Wingdings" w:hAnsi="Wingdings" w:hint="default"/>
      </w:rPr>
    </w:lvl>
    <w:lvl w:ilvl="6">
      <w:start w:val="1"/>
      <w:numFmt w:val="bullet"/>
      <w:lvlText w:val=""/>
      <w:lvlJc w:val="left"/>
      <w:pPr>
        <w:tabs>
          <w:tab w:val="left" w:pos="2720"/>
        </w:tabs>
        <w:ind w:left="2720" w:hanging="420"/>
      </w:pPr>
      <w:rPr>
        <w:rFonts w:ascii="Wingdings" w:hAnsi="Wingdings" w:hint="default"/>
      </w:rPr>
    </w:lvl>
    <w:lvl w:ilvl="7">
      <w:start w:val="1"/>
      <w:numFmt w:val="bullet"/>
      <w:lvlText w:val=""/>
      <w:lvlJc w:val="left"/>
      <w:pPr>
        <w:tabs>
          <w:tab w:val="left" w:pos="3140"/>
        </w:tabs>
        <w:ind w:left="3140" w:hanging="420"/>
      </w:pPr>
      <w:rPr>
        <w:rFonts w:ascii="Wingdings" w:hAnsi="Wingdings" w:hint="default"/>
      </w:rPr>
    </w:lvl>
    <w:lvl w:ilvl="8">
      <w:start w:val="1"/>
      <w:numFmt w:val="bullet"/>
      <w:lvlText w:val=""/>
      <w:lvlJc w:val="left"/>
      <w:pPr>
        <w:tabs>
          <w:tab w:val="left" w:pos="3560"/>
        </w:tabs>
        <w:ind w:left="3560" w:hanging="420"/>
      </w:pPr>
      <w:rPr>
        <w:rFonts w:ascii="Wingdings" w:hAnsi="Wingdings" w:hint="default"/>
      </w:rPr>
    </w:lvl>
  </w:abstractNum>
  <w:abstractNum w:abstractNumId="1" w15:restartNumberingAfterBreak="0">
    <w:nsid w:val="65ECDD1A"/>
    <w:multiLevelType w:val="singleLevel"/>
    <w:tmpl w:val="65ECDD1A"/>
    <w:lvl w:ilvl="0">
      <w:start w:val="1"/>
      <w:numFmt w:val="decimal"/>
      <w:suff w:val="nothing"/>
      <w:lvlText w:val="(%1)"/>
      <w:lvlJc w:val="left"/>
      <w:pPr>
        <w:ind w:left="454" w:hanging="45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2533D4"/>
    <w:rsid w:val="8FBBD163"/>
    <w:rsid w:val="9FDF0A61"/>
    <w:rsid w:val="A9D5702B"/>
    <w:rsid w:val="AD97424F"/>
    <w:rsid w:val="B87CE2AF"/>
    <w:rsid w:val="B8DF9ECB"/>
    <w:rsid w:val="BF3B21B6"/>
    <w:rsid w:val="DFF7791D"/>
    <w:rsid w:val="DFFB8774"/>
    <w:rsid w:val="DFFF85DA"/>
    <w:rsid w:val="E6F79D0A"/>
    <w:rsid w:val="EFEE3D89"/>
    <w:rsid w:val="F7CDCA7A"/>
    <w:rsid w:val="FB17DB0A"/>
    <w:rsid w:val="FDDC5E4C"/>
    <w:rsid w:val="FEFFA06F"/>
    <w:rsid w:val="FF1FC5DE"/>
    <w:rsid w:val="FF7D6709"/>
    <w:rsid w:val="FFE747FE"/>
    <w:rsid w:val="FFFE033F"/>
    <w:rsid w:val="FFFF6F82"/>
    <w:rsid w:val="FFFFB26B"/>
    <w:rsid w:val="00003156"/>
    <w:rsid w:val="00003493"/>
    <w:rsid w:val="00005135"/>
    <w:rsid w:val="00005D32"/>
    <w:rsid w:val="0000618E"/>
    <w:rsid w:val="00006DBA"/>
    <w:rsid w:val="00006EEA"/>
    <w:rsid w:val="000073AA"/>
    <w:rsid w:val="000074A5"/>
    <w:rsid w:val="00010782"/>
    <w:rsid w:val="000110AA"/>
    <w:rsid w:val="00012A45"/>
    <w:rsid w:val="0001394C"/>
    <w:rsid w:val="000139EF"/>
    <w:rsid w:val="00013B03"/>
    <w:rsid w:val="000144F0"/>
    <w:rsid w:val="0001535B"/>
    <w:rsid w:val="00017CB3"/>
    <w:rsid w:val="00020571"/>
    <w:rsid w:val="00020B1E"/>
    <w:rsid w:val="0002174D"/>
    <w:rsid w:val="00022043"/>
    <w:rsid w:val="000223F4"/>
    <w:rsid w:val="0002254A"/>
    <w:rsid w:val="00022A1B"/>
    <w:rsid w:val="000233F3"/>
    <w:rsid w:val="00023DCB"/>
    <w:rsid w:val="00024713"/>
    <w:rsid w:val="00026670"/>
    <w:rsid w:val="0002670D"/>
    <w:rsid w:val="00027EDA"/>
    <w:rsid w:val="00030C95"/>
    <w:rsid w:val="0003125F"/>
    <w:rsid w:val="00031BD0"/>
    <w:rsid w:val="000322F4"/>
    <w:rsid w:val="00033BD7"/>
    <w:rsid w:val="00035B4E"/>
    <w:rsid w:val="00040824"/>
    <w:rsid w:val="00040DA8"/>
    <w:rsid w:val="000433B9"/>
    <w:rsid w:val="00044235"/>
    <w:rsid w:val="00044EDB"/>
    <w:rsid w:val="000470D5"/>
    <w:rsid w:val="00047726"/>
    <w:rsid w:val="00053F52"/>
    <w:rsid w:val="00055297"/>
    <w:rsid w:val="000577CB"/>
    <w:rsid w:val="000579EB"/>
    <w:rsid w:val="0006169D"/>
    <w:rsid w:val="0006185F"/>
    <w:rsid w:val="00062B75"/>
    <w:rsid w:val="00062FED"/>
    <w:rsid w:val="00063739"/>
    <w:rsid w:val="000650E8"/>
    <w:rsid w:val="00065B62"/>
    <w:rsid w:val="00065D4E"/>
    <w:rsid w:val="00065EBA"/>
    <w:rsid w:val="000660E2"/>
    <w:rsid w:val="00067526"/>
    <w:rsid w:val="000676AA"/>
    <w:rsid w:val="00070374"/>
    <w:rsid w:val="00071A37"/>
    <w:rsid w:val="00071CD7"/>
    <w:rsid w:val="000723C6"/>
    <w:rsid w:val="00073E31"/>
    <w:rsid w:val="00074890"/>
    <w:rsid w:val="00075704"/>
    <w:rsid w:val="0007690B"/>
    <w:rsid w:val="00076B84"/>
    <w:rsid w:val="0007712E"/>
    <w:rsid w:val="000801E2"/>
    <w:rsid w:val="00081A69"/>
    <w:rsid w:val="00082288"/>
    <w:rsid w:val="00087FDA"/>
    <w:rsid w:val="00090439"/>
    <w:rsid w:val="00091C84"/>
    <w:rsid w:val="00092F19"/>
    <w:rsid w:val="00093CF6"/>
    <w:rsid w:val="00095042"/>
    <w:rsid w:val="0009523A"/>
    <w:rsid w:val="00096A16"/>
    <w:rsid w:val="000970EA"/>
    <w:rsid w:val="000A04FC"/>
    <w:rsid w:val="000A116A"/>
    <w:rsid w:val="000A2C01"/>
    <w:rsid w:val="000A3004"/>
    <w:rsid w:val="000A32FF"/>
    <w:rsid w:val="000A7604"/>
    <w:rsid w:val="000B0595"/>
    <w:rsid w:val="000B0751"/>
    <w:rsid w:val="000B15E3"/>
    <w:rsid w:val="000B1E8D"/>
    <w:rsid w:val="000B3AB8"/>
    <w:rsid w:val="000B4405"/>
    <w:rsid w:val="000B44A0"/>
    <w:rsid w:val="000B5035"/>
    <w:rsid w:val="000B6EB1"/>
    <w:rsid w:val="000C2025"/>
    <w:rsid w:val="000C2A23"/>
    <w:rsid w:val="000C42DB"/>
    <w:rsid w:val="000C46D4"/>
    <w:rsid w:val="000C5E42"/>
    <w:rsid w:val="000C6B4C"/>
    <w:rsid w:val="000C746B"/>
    <w:rsid w:val="000D07B7"/>
    <w:rsid w:val="000D1382"/>
    <w:rsid w:val="000D2817"/>
    <w:rsid w:val="000D39D7"/>
    <w:rsid w:val="000E3175"/>
    <w:rsid w:val="000E396F"/>
    <w:rsid w:val="000E4C5B"/>
    <w:rsid w:val="000E6245"/>
    <w:rsid w:val="000E6D00"/>
    <w:rsid w:val="000F38EB"/>
    <w:rsid w:val="000F4588"/>
    <w:rsid w:val="000F4C9F"/>
    <w:rsid w:val="000F507B"/>
    <w:rsid w:val="000F730A"/>
    <w:rsid w:val="001010CC"/>
    <w:rsid w:val="0010164F"/>
    <w:rsid w:val="00101981"/>
    <w:rsid w:val="00102456"/>
    <w:rsid w:val="00103210"/>
    <w:rsid w:val="0010397B"/>
    <w:rsid w:val="00103AE3"/>
    <w:rsid w:val="0010444E"/>
    <w:rsid w:val="00104659"/>
    <w:rsid w:val="00104F47"/>
    <w:rsid w:val="00104F8C"/>
    <w:rsid w:val="001051DB"/>
    <w:rsid w:val="0010666D"/>
    <w:rsid w:val="00107934"/>
    <w:rsid w:val="001145BD"/>
    <w:rsid w:val="00114ADB"/>
    <w:rsid w:val="001155C6"/>
    <w:rsid w:val="00115DC2"/>
    <w:rsid w:val="00116145"/>
    <w:rsid w:val="00116677"/>
    <w:rsid w:val="00120745"/>
    <w:rsid w:val="001208A0"/>
    <w:rsid w:val="00120AFE"/>
    <w:rsid w:val="00123540"/>
    <w:rsid w:val="00126E7F"/>
    <w:rsid w:val="00127F61"/>
    <w:rsid w:val="00131B46"/>
    <w:rsid w:val="0013290E"/>
    <w:rsid w:val="0013589A"/>
    <w:rsid w:val="001370B3"/>
    <w:rsid w:val="001457CD"/>
    <w:rsid w:val="00145EA5"/>
    <w:rsid w:val="00145F20"/>
    <w:rsid w:val="00146430"/>
    <w:rsid w:val="0014736E"/>
    <w:rsid w:val="00150068"/>
    <w:rsid w:val="0015016E"/>
    <w:rsid w:val="001509F0"/>
    <w:rsid w:val="00150D5B"/>
    <w:rsid w:val="00153A6C"/>
    <w:rsid w:val="00155976"/>
    <w:rsid w:val="00156EE9"/>
    <w:rsid w:val="00157D35"/>
    <w:rsid w:val="00160066"/>
    <w:rsid w:val="0016247C"/>
    <w:rsid w:val="00162739"/>
    <w:rsid w:val="00163660"/>
    <w:rsid w:val="0016389B"/>
    <w:rsid w:val="00163A12"/>
    <w:rsid w:val="00163D1F"/>
    <w:rsid w:val="001671D8"/>
    <w:rsid w:val="001672B9"/>
    <w:rsid w:val="00167452"/>
    <w:rsid w:val="00167686"/>
    <w:rsid w:val="0016772E"/>
    <w:rsid w:val="00171545"/>
    <w:rsid w:val="0017216F"/>
    <w:rsid w:val="0017420D"/>
    <w:rsid w:val="0017439D"/>
    <w:rsid w:val="0017566C"/>
    <w:rsid w:val="00176DDC"/>
    <w:rsid w:val="00176FAD"/>
    <w:rsid w:val="0017756E"/>
    <w:rsid w:val="00177592"/>
    <w:rsid w:val="00177CB9"/>
    <w:rsid w:val="00177CD1"/>
    <w:rsid w:val="0018094D"/>
    <w:rsid w:val="00181708"/>
    <w:rsid w:val="00181869"/>
    <w:rsid w:val="00181893"/>
    <w:rsid w:val="00183315"/>
    <w:rsid w:val="001834CB"/>
    <w:rsid w:val="00183DE1"/>
    <w:rsid w:val="00184713"/>
    <w:rsid w:val="00186D76"/>
    <w:rsid w:val="00187EA0"/>
    <w:rsid w:val="00190CC2"/>
    <w:rsid w:val="00194D93"/>
    <w:rsid w:val="00195058"/>
    <w:rsid w:val="001953C7"/>
    <w:rsid w:val="00195425"/>
    <w:rsid w:val="00196F89"/>
    <w:rsid w:val="001A18EF"/>
    <w:rsid w:val="001A1DB0"/>
    <w:rsid w:val="001A1DBC"/>
    <w:rsid w:val="001A1FAF"/>
    <w:rsid w:val="001A2D1F"/>
    <w:rsid w:val="001A30FE"/>
    <w:rsid w:val="001A3907"/>
    <w:rsid w:val="001A6630"/>
    <w:rsid w:val="001A6B82"/>
    <w:rsid w:val="001B0392"/>
    <w:rsid w:val="001B07CE"/>
    <w:rsid w:val="001B3501"/>
    <w:rsid w:val="001B3AA8"/>
    <w:rsid w:val="001B43E6"/>
    <w:rsid w:val="001B4F61"/>
    <w:rsid w:val="001B53B8"/>
    <w:rsid w:val="001B7F6C"/>
    <w:rsid w:val="001C0143"/>
    <w:rsid w:val="001C066A"/>
    <w:rsid w:val="001C083D"/>
    <w:rsid w:val="001C0EA9"/>
    <w:rsid w:val="001C19D1"/>
    <w:rsid w:val="001C3926"/>
    <w:rsid w:val="001C5713"/>
    <w:rsid w:val="001C610B"/>
    <w:rsid w:val="001D45CE"/>
    <w:rsid w:val="001D4674"/>
    <w:rsid w:val="001D5B87"/>
    <w:rsid w:val="001D5F3C"/>
    <w:rsid w:val="001D701E"/>
    <w:rsid w:val="001D7218"/>
    <w:rsid w:val="001D7AAF"/>
    <w:rsid w:val="001D7D5C"/>
    <w:rsid w:val="001E0851"/>
    <w:rsid w:val="001E089F"/>
    <w:rsid w:val="001E2A7A"/>
    <w:rsid w:val="001E2DA4"/>
    <w:rsid w:val="001E2F73"/>
    <w:rsid w:val="001E33F8"/>
    <w:rsid w:val="001E3C29"/>
    <w:rsid w:val="001E5DDE"/>
    <w:rsid w:val="001E74D2"/>
    <w:rsid w:val="001F09D2"/>
    <w:rsid w:val="001F1D76"/>
    <w:rsid w:val="001F1DED"/>
    <w:rsid w:val="001F2C17"/>
    <w:rsid w:val="001F3838"/>
    <w:rsid w:val="001F6A77"/>
    <w:rsid w:val="001F7039"/>
    <w:rsid w:val="00201BA6"/>
    <w:rsid w:val="002025BC"/>
    <w:rsid w:val="00202B82"/>
    <w:rsid w:val="002031E7"/>
    <w:rsid w:val="00205D8A"/>
    <w:rsid w:val="00205F25"/>
    <w:rsid w:val="00206C44"/>
    <w:rsid w:val="002115C3"/>
    <w:rsid w:val="002128AB"/>
    <w:rsid w:val="00213DCE"/>
    <w:rsid w:val="0021417B"/>
    <w:rsid w:val="00214B47"/>
    <w:rsid w:val="00215C9D"/>
    <w:rsid w:val="00217025"/>
    <w:rsid w:val="0021713A"/>
    <w:rsid w:val="002215E1"/>
    <w:rsid w:val="00221885"/>
    <w:rsid w:val="002220FE"/>
    <w:rsid w:val="00222C17"/>
    <w:rsid w:val="00222DE9"/>
    <w:rsid w:val="00224D7F"/>
    <w:rsid w:val="00226CC0"/>
    <w:rsid w:val="0022765B"/>
    <w:rsid w:val="00227F09"/>
    <w:rsid w:val="00231147"/>
    <w:rsid w:val="00231F9D"/>
    <w:rsid w:val="0023226D"/>
    <w:rsid w:val="00232D5F"/>
    <w:rsid w:val="002338F7"/>
    <w:rsid w:val="00235EBA"/>
    <w:rsid w:val="0024002C"/>
    <w:rsid w:val="00242231"/>
    <w:rsid w:val="002433F6"/>
    <w:rsid w:val="00243AAE"/>
    <w:rsid w:val="00245320"/>
    <w:rsid w:val="00246002"/>
    <w:rsid w:val="00246B04"/>
    <w:rsid w:val="00250D74"/>
    <w:rsid w:val="002519CB"/>
    <w:rsid w:val="0025296D"/>
    <w:rsid w:val="00252B65"/>
    <w:rsid w:val="00252DAC"/>
    <w:rsid w:val="002533D4"/>
    <w:rsid w:val="00253704"/>
    <w:rsid w:val="0025655C"/>
    <w:rsid w:val="00257FF0"/>
    <w:rsid w:val="00260055"/>
    <w:rsid w:val="0026056D"/>
    <w:rsid w:val="00261734"/>
    <w:rsid w:val="002617BE"/>
    <w:rsid w:val="00263D5B"/>
    <w:rsid w:val="00264FA9"/>
    <w:rsid w:val="00266A37"/>
    <w:rsid w:val="002703B7"/>
    <w:rsid w:val="00270BEF"/>
    <w:rsid w:val="0027520A"/>
    <w:rsid w:val="00275503"/>
    <w:rsid w:val="002774FB"/>
    <w:rsid w:val="002777E2"/>
    <w:rsid w:val="00277868"/>
    <w:rsid w:val="0028122C"/>
    <w:rsid w:val="0028192F"/>
    <w:rsid w:val="00283DCD"/>
    <w:rsid w:val="00283FD5"/>
    <w:rsid w:val="0028413F"/>
    <w:rsid w:val="00284B5E"/>
    <w:rsid w:val="00285154"/>
    <w:rsid w:val="0028686D"/>
    <w:rsid w:val="002914AC"/>
    <w:rsid w:val="00294741"/>
    <w:rsid w:val="00296044"/>
    <w:rsid w:val="002A3287"/>
    <w:rsid w:val="002A3578"/>
    <w:rsid w:val="002A45B5"/>
    <w:rsid w:val="002A5BF2"/>
    <w:rsid w:val="002A5F53"/>
    <w:rsid w:val="002A6478"/>
    <w:rsid w:val="002A6CEF"/>
    <w:rsid w:val="002A721E"/>
    <w:rsid w:val="002A7744"/>
    <w:rsid w:val="002B0A01"/>
    <w:rsid w:val="002B3A27"/>
    <w:rsid w:val="002B432A"/>
    <w:rsid w:val="002B4589"/>
    <w:rsid w:val="002B46A5"/>
    <w:rsid w:val="002B5FDB"/>
    <w:rsid w:val="002B6076"/>
    <w:rsid w:val="002B60E4"/>
    <w:rsid w:val="002C028F"/>
    <w:rsid w:val="002C10C9"/>
    <w:rsid w:val="002C5CBE"/>
    <w:rsid w:val="002C683E"/>
    <w:rsid w:val="002C6851"/>
    <w:rsid w:val="002C7363"/>
    <w:rsid w:val="002D05BF"/>
    <w:rsid w:val="002D07BF"/>
    <w:rsid w:val="002D1913"/>
    <w:rsid w:val="002D2367"/>
    <w:rsid w:val="002D42FA"/>
    <w:rsid w:val="002D55C5"/>
    <w:rsid w:val="002D7054"/>
    <w:rsid w:val="002D7AA4"/>
    <w:rsid w:val="002E219A"/>
    <w:rsid w:val="002E5D1F"/>
    <w:rsid w:val="002F04E6"/>
    <w:rsid w:val="002F3CDC"/>
    <w:rsid w:val="002F50F3"/>
    <w:rsid w:val="002F60C7"/>
    <w:rsid w:val="002F7366"/>
    <w:rsid w:val="002F7CF7"/>
    <w:rsid w:val="00301326"/>
    <w:rsid w:val="003028D2"/>
    <w:rsid w:val="00303231"/>
    <w:rsid w:val="0030366E"/>
    <w:rsid w:val="00304F07"/>
    <w:rsid w:val="00304FA4"/>
    <w:rsid w:val="00306436"/>
    <w:rsid w:val="00306757"/>
    <w:rsid w:val="003069DD"/>
    <w:rsid w:val="00307597"/>
    <w:rsid w:val="00310276"/>
    <w:rsid w:val="00310741"/>
    <w:rsid w:val="00310938"/>
    <w:rsid w:val="00312D12"/>
    <w:rsid w:val="00314D68"/>
    <w:rsid w:val="00316B61"/>
    <w:rsid w:val="00317E5E"/>
    <w:rsid w:val="0032168D"/>
    <w:rsid w:val="003219FD"/>
    <w:rsid w:val="00322945"/>
    <w:rsid w:val="00324C52"/>
    <w:rsid w:val="0032700B"/>
    <w:rsid w:val="00327431"/>
    <w:rsid w:val="00327859"/>
    <w:rsid w:val="00327DE4"/>
    <w:rsid w:val="00331B8D"/>
    <w:rsid w:val="003332B8"/>
    <w:rsid w:val="003356F5"/>
    <w:rsid w:val="003378B9"/>
    <w:rsid w:val="00340495"/>
    <w:rsid w:val="00340EA8"/>
    <w:rsid w:val="0034155E"/>
    <w:rsid w:val="003423FC"/>
    <w:rsid w:val="003435B3"/>
    <w:rsid w:val="00343B05"/>
    <w:rsid w:val="00344960"/>
    <w:rsid w:val="00345381"/>
    <w:rsid w:val="00345747"/>
    <w:rsid w:val="0034638B"/>
    <w:rsid w:val="00346A69"/>
    <w:rsid w:val="003479DB"/>
    <w:rsid w:val="003500BD"/>
    <w:rsid w:val="00350D88"/>
    <w:rsid w:val="00352C65"/>
    <w:rsid w:val="00352E69"/>
    <w:rsid w:val="0035392D"/>
    <w:rsid w:val="00353F69"/>
    <w:rsid w:val="003541F0"/>
    <w:rsid w:val="00354C8A"/>
    <w:rsid w:val="00355BFF"/>
    <w:rsid w:val="00356C22"/>
    <w:rsid w:val="00361303"/>
    <w:rsid w:val="0036181B"/>
    <w:rsid w:val="0036339B"/>
    <w:rsid w:val="0036394E"/>
    <w:rsid w:val="00364091"/>
    <w:rsid w:val="00364476"/>
    <w:rsid w:val="00364D9F"/>
    <w:rsid w:val="00364EB8"/>
    <w:rsid w:val="0036660D"/>
    <w:rsid w:val="00371649"/>
    <w:rsid w:val="00372398"/>
    <w:rsid w:val="00372F59"/>
    <w:rsid w:val="00373F69"/>
    <w:rsid w:val="0037448C"/>
    <w:rsid w:val="00374FE2"/>
    <w:rsid w:val="00375616"/>
    <w:rsid w:val="00375DCC"/>
    <w:rsid w:val="00376932"/>
    <w:rsid w:val="003775FD"/>
    <w:rsid w:val="003803CD"/>
    <w:rsid w:val="00381719"/>
    <w:rsid w:val="00381C8B"/>
    <w:rsid w:val="003822B6"/>
    <w:rsid w:val="003833EF"/>
    <w:rsid w:val="0038409D"/>
    <w:rsid w:val="003848FF"/>
    <w:rsid w:val="00384A6C"/>
    <w:rsid w:val="00385A86"/>
    <w:rsid w:val="00385DD9"/>
    <w:rsid w:val="00386331"/>
    <w:rsid w:val="003869C3"/>
    <w:rsid w:val="00386E4F"/>
    <w:rsid w:val="00390D3E"/>
    <w:rsid w:val="003925C6"/>
    <w:rsid w:val="003926B7"/>
    <w:rsid w:val="003926DA"/>
    <w:rsid w:val="003935B7"/>
    <w:rsid w:val="00394582"/>
    <w:rsid w:val="003953AE"/>
    <w:rsid w:val="0039587E"/>
    <w:rsid w:val="003965B3"/>
    <w:rsid w:val="003975A5"/>
    <w:rsid w:val="003A08F1"/>
    <w:rsid w:val="003A0B58"/>
    <w:rsid w:val="003A2524"/>
    <w:rsid w:val="003A37AA"/>
    <w:rsid w:val="003A4F00"/>
    <w:rsid w:val="003A5063"/>
    <w:rsid w:val="003A63EA"/>
    <w:rsid w:val="003A7B58"/>
    <w:rsid w:val="003B077E"/>
    <w:rsid w:val="003B0AD1"/>
    <w:rsid w:val="003B0E5C"/>
    <w:rsid w:val="003B222C"/>
    <w:rsid w:val="003B2775"/>
    <w:rsid w:val="003B361C"/>
    <w:rsid w:val="003B37AD"/>
    <w:rsid w:val="003B44C2"/>
    <w:rsid w:val="003B5792"/>
    <w:rsid w:val="003C1106"/>
    <w:rsid w:val="003C1333"/>
    <w:rsid w:val="003C1FAE"/>
    <w:rsid w:val="003C273B"/>
    <w:rsid w:val="003C3586"/>
    <w:rsid w:val="003C3EE0"/>
    <w:rsid w:val="003C4EED"/>
    <w:rsid w:val="003C6E42"/>
    <w:rsid w:val="003C7EA9"/>
    <w:rsid w:val="003D086F"/>
    <w:rsid w:val="003D0BE0"/>
    <w:rsid w:val="003D139B"/>
    <w:rsid w:val="003D42AB"/>
    <w:rsid w:val="003D503E"/>
    <w:rsid w:val="003D7C92"/>
    <w:rsid w:val="003E0502"/>
    <w:rsid w:val="003E063B"/>
    <w:rsid w:val="003E0B20"/>
    <w:rsid w:val="003E0B38"/>
    <w:rsid w:val="003E1838"/>
    <w:rsid w:val="003E2B70"/>
    <w:rsid w:val="003E3665"/>
    <w:rsid w:val="003E3B8D"/>
    <w:rsid w:val="003E3C82"/>
    <w:rsid w:val="003E49E0"/>
    <w:rsid w:val="003E4B88"/>
    <w:rsid w:val="003E577C"/>
    <w:rsid w:val="003E5E52"/>
    <w:rsid w:val="003E77CD"/>
    <w:rsid w:val="003E7C81"/>
    <w:rsid w:val="003F02F0"/>
    <w:rsid w:val="003F5B6A"/>
    <w:rsid w:val="003F6555"/>
    <w:rsid w:val="003F6942"/>
    <w:rsid w:val="003F6B2F"/>
    <w:rsid w:val="00400B5E"/>
    <w:rsid w:val="00403909"/>
    <w:rsid w:val="00404735"/>
    <w:rsid w:val="00405A53"/>
    <w:rsid w:val="00406D03"/>
    <w:rsid w:val="00410039"/>
    <w:rsid w:val="0041056A"/>
    <w:rsid w:val="00411223"/>
    <w:rsid w:val="00412BD3"/>
    <w:rsid w:val="00414FFE"/>
    <w:rsid w:val="004152B4"/>
    <w:rsid w:val="00415F23"/>
    <w:rsid w:val="004164BF"/>
    <w:rsid w:val="00420D75"/>
    <w:rsid w:val="004211E3"/>
    <w:rsid w:val="0042378D"/>
    <w:rsid w:val="00423F63"/>
    <w:rsid w:val="004253BE"/>
    <w:rsid w:val="00427A01"/>
    <w:rsid w:val="00427DC0"/>
    <w:rsid w:val="00427E33"/>
    <w:rsid w:val="004303F7"/>
    <w:rsid w:val="004316BD"/>
    <w:rsid w:val="00431E5A"/>
    <w:rsid w:val="00433130"/>
    <w:rsid w:val="00433806"/>
    <w:rsid w:val="0043785A"/>
    <w:rsid w:val="00437FE7"/>
    <w:rsid w:val="00440151"/>
    <w:rsid w:val="00441345"/>
    <w:rsid w:val="00441DDA"/>
    <w:rsid w:val="004466AA"/>
    <w:rsid w:val="00446B7B"/>
    <w:rsid w:val="00446DE3"/>
    <w:rsid w:val="00450BB7"/>
    <w:rsid w:val="0045143D"/>
    <w:rsid w:val="004514CF"/>
    <w:rsid w:val="004515F7"/>
    <w:rsid w:val="00451A05"/>
    <w:rsid w:val="00453550"/>
    <w:rsid w:val="00453B46"/>
    <w:rsid w:val="00454840"/>
    <w:rsid w:val="00455339"/>
    <w:rsid w:val="00455B98"/>
    <w:rsid w:val="00455FDD"/>
    <w:rsid w:val="004560F6"/>
    <w:rsid w:val="00457267"/>
    <w:rsid w:val="0045787E"/>
    <w:rsid w:val="00460316"/>
    <w:rsid w:val="0046218F"/>
    <w:rsid w:val="00463ACA"/>
    <w:rsid w:val="00464420"/>
    <w:rsid w:val="00465702"/>
    <w:rsid w:val="004705E9"/>
    <w:rsid w:val="00471377"/>
    <w:rsid w:val="00471948"/>
    <w:rsid w:val="00472890"/>
    <w:rsid w:val="00473F75"/>
    <w:rsid w:val="0047483B"/>
    <w:rsid w:val="00474ACD"/>
    <w:rsid w:val="0048115B"/>
    <w:rsid w:val="00485F8C"/>
    <w:rsid w:val="0048636E"/>
    <w:rsid w:val="00486B4C"/>
    <w:rsid w:val="00490A86"/>
    <w:rsid w:val="0049103F"/>
    <w:rsid w:val="0049269C"/>
    <w:rsid w:val="0049552E"/>
    <w:rsid w:val="00496B2A"/>
    <w:rsid w:val="00497DA4"/>
    <w:rsid w:val="00497F38"/>
    <w:rsid w:val="004A2499"/>
    <w:rsid w:val="004A30EE"/>
    <w:rsid w:val="004A4A8D"/>
    <w:rsid w:val="004A57E7"/>
    <w:rsid w:val="004A59B4"/>
    <w:rsid w:val="004A6F56"/>
    <w:rsid w:val="004B1055"/>
    <w:rsid w:val="004B2660"/>
    <w:rsid w:val="004B3855"/>
    <w:rsid w:val="004B52F9"/>
    <w:rsid w:val="004B5FAA"/>
    <w:rsid w:val="004B608E"/>
    <w:rsid w:val="004B669D"/>
    <w:rsid w:val="004C034F"/>
    <w:rsid w:val="004C0BB0"/>
    <w:rsid w:val="004C1396"/>
    <w:rsid w:val="004C197D"/>
    <w:rsid w:val="004C1BF6"/>
    <w:rsid w:val="004C3998"/>
    <w:rsid w:val="004C3CFD"/>
    <w:rsid w:val="004C4813"/>
    <w:rsid w:val="004C4A27"/>
    <w:rsid w:val="004C4A9D"/>
    <w:rsid w:val="004C5F83"/>
    <w:rsid w:val="004C7A88"/>
    <w:rsid w:val="004D0FFE"/>
    <w:rsid w:val="004D1F54"/>
    <w:rsid w:val="004D2100"/>
    <w:rsid w:val="004D3C22"/>
    <w:rsid w:val="004D636D"/>
    <w:rsid w:val="004E1DF0"/>
    <w:rsid w:val="004E5770"/>
    <w:rsid w:val="004E5FF0"/>
    <w:rsid w:val="004E604E"/>
    <w:rsid w:val="004E6AA1"/>
    <w:rsid w:val="004E7E22"/>
    <w:rsid w:val="004F0897"/>
    <w:rsid w:val="004F166F"/>
    <w:rsid w:val="004F20F8"/>
    <w:rsid w:val="004F2835"/>
    <w:rsid w:val="004F4C65"/>
    <w:rsid w:val="004F4D92"/>
    <w:rsid w:val="004F582A"/>
    <w:rsid w:val="004F60B3"/>
    <w:rsid w:val="004F71DE"/>
    <w:rsid w:val="004F7EF9"/>
    <w:rsid w:val="00500B70"/>
    <w:rsid w:val="005010AA"/>
    <w:rsid w:val="005021B3"/>
    <w:rsid w:val="005024FA"/>
    <w:rsid w:val="0050259C"/>
    <w:rsid w:val="005028CD"/>
    <w:rsid w:val="00502CF0"/>
    <w:rsid w:val="0050306A"/>
    <w:rsid w:val="005031F5"/>
    <w:rsid w:val="00505992"/>
    <w:rsid w:val="00506564"/>
    <w:rsid w:val="0050687F"/>
    <w:rsid w:val="00506D11"/>
    <w:rsid w:val="00510FB8"/>
    <w:rsid w:val="00514CB8"/>
    <w:rsid w:val="005200C2"/>
    <w:rsid w:val="005219C0"/>
    <w:rsid w:val="00521CEB"/>
    <w:rsid w:val="00521E34"/>
    <w:rsid w:val="005235C7"/>
    <w:rsid w:val="00523B2C"/>
    <w:rsid w:val="0052469F"/>
    <w:rsid w:val="0052558E"/>
    <w:rsid w:val="005262E7"/>
    <w:rsid w:val="0053092F"/>
    <w:rsid w:val="00530F55"/>
    <w:rsid w:val="00531080"/>
    <w:rsid w:val="00531AED"/>
    <w:rsid w:val="00532001"/>
    <w:rsid w:val="00532193"/>
    <w:rsid w:val="005350EF"/>
    <w:rsid w:val="005351D1"/>
    <w:rsid w:val="0053599C"/>
    <w:rsid w:val="00535E2F"/>
    <w:rsid w:val="00536BB0"/>
    <w:rsid w:val="0053709E"/>
    <w:rsid w:val="00537976"/>
    <w:rsid w:val="00540693"/>
    <w:rsid w:val="005426EE"/>
    <w:rsid w:val="00543A78"/>
    <w:rsid w:val="00545705"/>
    <w:rsid w:val="0054571A"/>
    <w:rsid w:val="00546545"/>
    <w:rsid w:val="0054684B"/>
    <w:rsid w:val="00546EC2"/>
    <w:rsid w:val="00547042"/>
    <w:rsid w:val="00547B77"/>
    <w:rsid w:val="005510D8"/>
    <w:rsid w:val="00552286"/>
    <w:rsid w:val="00552FA8"/>
    <w:rsid w:val="005539C7"/>
    <w:rsid w:val="00553E97"/>
    <w:rsid w:val="005546BF"/>
    <w:rsid w:val="005555BF"/>
    <w:rsid w:val="00555930"/>
    <w:rsid w:val="00556F63"/>
    <w:rsid w:val="0055763B"/>
    <w:rsid w:val="005576CD"/>
    <w:rsid w:val="00560199"/>
    <w:rsid w:val="00560D81"/>
    <w:rsid w:val="00561F07"/>
    <w:rsid w:val="00562314"/>
    <w:rsid w:val="005632FA"/>
    <w:rsid w:val="005638A5"/>
    <w:rsid w:val="00563946"/>
    <w:rsid w:val="00563E34"/>
    <w:rsid w:val="00564042"/>
    <w:rsid w:val="00564175"/>
    <w:rsid w:val="005660C3"/>
    <w:rsid w:val="00566A5B"/>
    <w:rsid w:val="005675C7"/>
    <w:rsid w:val="00572003"/>
    <w:rsid w:val="00572151"/>
    <w:rsid w:val="0057254F"/>
    <w:rsid w:val="005742C5"/>
    <w:rsid w:val="00574C49"/>
    <w:rsid w:val="00574E92"/>
    <w:rsid w:val="0057519D"/>
    <w:rsid w:val="00576706"/>
    <w:rsid w:val="00577A97"/>
    <w:rsid w:val="00581AB7"/>
    <w:rsid w:val="00582C24"/>
    <w:rsid w:val="00582FDF"/>
    <w:rsid w:val="00584C30"/>
    <w:rsid w:val="005852C5"/>
    <w:rsid w:val="00585CEC"/>
    <w:rsid w:val="0058662B"/>
    <w:rsid w:val="005869F0"/>
    <w:rsid w:val="00586D3B"/>
    <w:rsid w:val="00587CBC"/>
    <w:rsid w:val="00587CC3"/>
    <w:rsid w:val="00587E36"/>
    <w:rsid w:val="00594BD6"/>
    <w:rsid w:val="00595826"/>
    <w:rsid w:val="0059759D"/>
    <w:rsid w:val="005A021C"/>
    <w:rsid w:val="005A02AB"/>
    <w:rsid w:val="005A1665"/>
    <w:rsid w:val="005A27C4"/>
    <w:rsid w:val="005A34F6"/>
    <w:rsid w:val="005A3C97"/>
    <w:rsid w:val="005A410D"/>
    <w:rsid w:val="005A49B0"/>
    <w:rsid w:val="005A5099"/>
    <w:rsid w:val="005A5EB0"/>
    <w:rsid w:val="005A6A02"/>
    <w:rsid w:val="005A7776"/>
    <w:rsid w:val="005B1652"/>
    <w:rsid w:val="005B1B07"/>
    <w:rsid w:val="005B4DF6"/>
    <w:rsid w:val="005B7145"/>
    <w:rsid w:val="005B7DE4"/>
    <w:rsid w:val="005C0BD3"/>
    <w:rsid w:val="005C0ED1"/>
    <w:rsid w:val="005C150C"/>
    <w:rsid w:val="005C1B87"/>
    <w:rsid w:val="005C1BFB"/>
    <w:rsid w:val="005C1D32"/>
    <w:rsid w:val="005C2BB7"/>
    <w:rsid w:val="005C3273"/>
    <w:rsid w:val="005C4497"/>
    <w:rsid w:val="005C4B0A"/>
    <w:rsid w:val="005C51FC"/>
    <w:rsid w:val="005C5442"/>
    <w:rsid w:val="005C563C"/>
    <w:rsid w:val="005C692E"/>
    <w:rsid w:val="005C6AD0"/>
    <w:rsid w:val="005D0421"/>
    <w:rsid w:val="005D1C49"/>
    <w:rsid w:val="005D2D58"/>
    <w:rsid w:val="005D3BDC"/>
    <w:rsid w:val="005D40E3"/>
    <w:rsid w:val="005D71B3"/>
    <w:rsid w:val="005D7722"/>
    <w:rsid w:val="005D7828"/>
    <w:rsid w:val="005D7A7B"/>
    <w:rsid w:val="005E238F"/>
    <w:rsid w:val="005E3A33"/>
    <w:rsid w:val="005E598E"/>
    <w:rsid w:val="005E6227"/>
    <w:rsid w:val="005E71B7"/>
    <w:rsid w:val="005F201E"/>
    <w:rsid w:val="005F3DC1"/>
    <w:rsid w:val="005F44BD"/>
    <w:rsid w:val="005F4667"/>
    <w:rsid w:val="0060059F"/>
    <w:rsid w:val="00600B43"/>
    <w:rsid w:val="006012A9"/>
    <w:rsid w:val="00602AED"/>
    <w:rsid w:val="006037B0"/>
    <w:rsid w:val="0060408F"/>
    <w:rsid w:val="0060536E"/>
    <w:rsid w:val="00607359"/>
    <w:rsid w:val="006078DD"/>
    <w:rsid w:val="00611919"/>
    <w:rsid w:val="00613725"/>
    <w:rsid w:val="00615D25"/>
    <w:rsid w:val="00620CEE"/>
    <w:rsid w:val="00621758"/>
    <w:rsid w:val="00621EC6"/>
    <w:rsid w:val="006239BA"/>
    <w:rsid w:val="00623D51"/>
    <w:rsid w:val="00623EBA"/>
    <w:rsid w:val="00624D92"/>
    <w:rsid w:val="0062539A"/>
    <w:rsid w:val="006254DA"/>
    <w:rsid w:val="006268FB"/>
    <w:rsid w:val="00627310"/>
    <w:rsid w:val="00627606"/>
    <w:rsid w:val="00631010"/>
    <w:rsid w:val="00633135"/>
    <w:rsid w:val="00633D8D"/>
    <w:rsid w:val="00633E6D"/>
    <w:rsid w:val="006340BD"/>
    <w:rsid w:val="006349A0"/>
    <w:rsid w:val="00634CF6"/>
    <w:rsid w:val="00635B7E"/>
    <w:rsid w:val="00636329"/>
    <w:rsid w:val="00636B72"/>
    <w:rsid w:val="00637986"/>
    <w:rsid w:val="00641D83"/>
    <w:rsid w:val="0064388C"/>
    <w:rsid w:val="00643AB4"/>
    <w:rsid w:val="00650790"/>
    <w:rsid w:val="00650BE4"/>
    <w:rsid w:val="00650D24"/>
    <w:rsid w:val="00652E20"/>
    <w:rsid w:val="006557CC"/>
    <w:rsid w:val="00655A5A"/>
    <w:rsid w:val="0065655F"/>
    <w:rsid w:val="006600AA"/>
    <w:rsid w:val="00664A00"/>
    <w:rsid w:val="00666E23"/>
    <w:rsid w:val="006702FC"/>
    <w:rsid w:val="00670733"/>
    <w:rsid w:val="00670E24"/>
    <w:rsid w:val="00671186"/>
    <w:rsid w:val="006714B7"/>
    <w:rsid w:val="0067270A"/>
    <w:rsid w:val="006733C9"/>
    <w:rsid w:val="00673505"/>
    <w:rsid w:val="00673F2A"/>
    <w:rsid w:val="006748AC"/>
    <w:rsid w:val="006769DE"/>
    <w:rsid w:val="00677E7C"/>
    <w:rsid w:val="00680AB2"/>
    <w:rsid w:val="00680C42"/>
    <w:rsid w:val="00681546"/>
    <w:rsid w:val="006815E1"/>
    <w:rsid w:val="00681D77"/>
    <w:rsid w:val="0068246D"/>
    <w:rsid w:val="00682FB7"/>
    <w:rsid w:val="0068341F"/>
    <w:rsid w:val="00685A22"/>
    <w:rsid w:val="006868BE"/>
    <w:rsid w:val="00687540"/>
    <w:rsid w:val="00692531"/>
    <w:rsid w:val="006925F8"/>
    <w:rsid w:val="00695177"/>
    <w:rsid w:val="0069633C"/>
    <w:rsid w:val="00696C84"/>
    <w:rsid w:val="006973A0"/>
    <w:rsid w:val="006A0C00"/>
    <w:rsid w:val="006A1BAF"/>
    <w:rsid w:val="006A2D61"/>
    <w:rsid w:val="006A30E5"/>
    <w:rsid w:val="006A3CF5"/>
    <w:rsid w:val="006A441D"/>
    <w:rsid w:val="006A4864"/>
    <w:rsid w:val="006A7EC8"/>
    <w:rsid w:val="006B4B61"/>
    <w:rsid w:val="006B5C00"/>
    <w:rsid w:val="006B668B"/>
    <w:rsid w:val="006B784F"/>
    <w:rsid w:val="006B7BBB"/>
    <w:rsid w:val="006B7EB1"/>
    <w:rsid w:val="006B7F2D"/>
    <w:rsid w:val="006C0F8D"/>
    <w:rsid w:val="006C242B"/>
    <w:rsid w:val="006C4F4D"/>
    <w:rsid w:val="006C5389"/>
    <w:rsid w:val="006C58E2"/>
    <w:rsid w:val="006C599E"/>
    <w:rsid w:val="006C6621"/>
    <w:rsid w:val="006D0C70"/>
    <w:rsid w:val="006D218B"/>
    <w:rsid w:val="006D22B9"/>
    <w:rsid w:val="006D2F07"/>
    <w:rsid w:val="006D4FFB"/>
    <w:rsid w:val="006D547D"/>
    <w:rsid w:val="006D6CC6"/>
    <w:rsid w:val="006D7109"/>
    <w:rsid w:val="006D77D2"/>
    <w:rsid w:val="006E129D"/>
    <w:rsid w:val="006E226B"/>
    <w:rsid w:val="006E256D"/>
    <w:rsid w:val="006E2922"/>
    <w:rsid w:val="006E2998"/>
    <w:rsid w:val="006E3587"/>
    <w:rsid w:val="006E4924"/>
    <w:rsid w:val="006E51D9"/>
    <w:rsid w:val="006E6DBB"/>
    <w:rsid w:val="006F15E5"/>
    <w:rsid w:val="006F2588"/>
    <w:rsid w:val="006F358A"/>
    <w:rsid w:val="006F4AAB"/>
    <w:rsid w:val="006F4C26"/>
    <w:rsid w:val="006F634B"/>
    <w:rsid w:val="00700B19"/>
    <w:rsid w:val="00701008"/>
    <w:rsid w:val="0070125A"/>
    <w:rsid w:val="00702007"/>
    <w:rsid w:val="0070578D"/>
    <w:rsid w:val="00706405"/>
    <w:rsid w:val="00707908"/>
    <w:rsid w:val="007101E5"/>
    <w:rsid w:val="0071124E"/>
    <w:rsid w:val="007122DA"/>
    <w:rsid w:val="00712F35"/>
    <w:rsid w:val="007143CD"/>
    <w:rsid w:val="00714C1F"/>
    <w:rsid w:val="00720241"/>
    <w:rsid w:val="0072184E"/>
    <w:rsid w:val="00721E22"/>
    <w:rsid w:val="00723AB6"/>
    <w:rsid w:val="007311E0"/>
    <w:rsid w:val="00732729"/>
    <w:rsid w:val="00732FD7"/>
    <w:rsid w:val="00734015"/>
    <w:rsid w:val="007341A8"/>
    <w:rsid w:val="00735091"/>
    <w:rsid w:val="00736440"/>
    <w:rsid w:val="007365C2"/>
    <w:rsid w:val="00736B05"/>
    <w:rsid w:val="0073716D"/>
    <w:rsid w:val="00740389"/>
    <w:rsid w:val="00740C08"/>
    <w:rsid w:val="00743465"/>
    <w:rsid w:val="007507A4"/>
    <w:rsid w:val="00752CF7"/>
    <w:rsid w:val="007536D1"/>
    <w:rsid w:val="00753B4A"/>
    <w:rsid w:val="00753CCF"/>
    <w:rsid w:val="00753E3E"/>
    <w:rsid w:val="00754B24"/>
    <w:rsid w:val="007570DF"/>
    <w:rsid w:val="00761119"/>
    <w:rsid w:val="007616C9"/>
    <w:rsid w:val="0076174A"/>
    <w:rsid w:val="00761E9D"/>
    <w:rsid w:val="007629B4"/>
    <w:rsid w:val="00763991"/>
    <w:rsid w:val="007648A2"/>
    <w:rsid w:val="007649C4"/>
    <w:rsid w:val="007674A7"/>
    <w:rsid w:val="0077087C"/>
    <w:rsid w:val="00770B36"/>
    <w:rsid w:val="007751A1"/>
    <w:rsid w:val="00775F79"/>
    <w:rsid w:val="00776FDC"/>
    <w:rsid w:val="0078053D"/>
    <w:rsid w:val="007811BF"/>
    <w:rsid w:val="00781C09"/>
    <w:rsid w:val="007820BB"/>
    <w:rsid w:val="0078293F"/>
    <w:rsid w:val="00783DCD"/>
    <w:rsid w:val="00783F7B"/>
    <w:rsid w:val="00784285"/>
    <w:rsid w:val="007849B5"/>
    <w:rsid w:val="00785C8F"/>
    <w:rsid w:val="0078675C"/>
    <w:rsid w:val="00790927"/>
    <w:rsid w:val="00790DC7"/>
    <w:rsid w:val="00790EB6"/>
    <w:rsid w:val="007910A0"/>
    <w:rsid w:val="00791E02"/>
    <w:rsid w:val="007924E2"/>
    <w:rsid w:val="00793921"/>
    <w:rsid w:val="00793EBF"/>
    <w:rsid w:val="00794A42"/>
    <w:rsid w:val="00794DB7"/>
    <w:rsid w:val="007958A4"/>
    <w:rsid w:val="00795E34"/>
    <w:rsid w:val="00797BE6"/>
    <w:rsid w:val="007A06E7"/>
    <w:rsid w:val="007A3586"/>
    <w:rsid w:val="007A3622"/>
    <w:rsid w:val="007A3A84"/>
    <w:rsid w:val="007A545B"/>
    <w:rsid w:val="007A5A9E"/>
    <w:rsid w:val="007B10D5"/>
    <w:rsid w:val="007B1C37"/>
    <w:rsid w:val="007B204D"/>
    <w:rsid w:val="007B2262"/>
    <w:rsid w:val="007B48CB"/>
    <w:rsid w:val="007B4A4F"/>
    <w:rsid w:val="007B53FE"/>
    <w:rsid w:val="007B5FF0"/>
    <w:rsid w:val="007B6BD9"/>
    <w:rsid w:val="007C4ECF"/>
    <w:rsid w:val="007C5FC4"/>
    <w:rsid w:val="007C6DDE"/>
    <w:rsid w:val="007D0FF3"/>
    <w:rsid w:val="007D1170"/>
    <w:rsid w:val="007D1BB9"/>
    <w:rsid w:val="007D2C2F"/>
    <w:rsid w:val="007D4321"/>
    <w:rsid w:val="007D600B"/>
    <w:rsid w:val="007E0E06"/>
    <w:rsid w:val="007E3714"/>
    <w:rsid w:val="007E4D89"/>
    <w:rsid w:val="007E607A"/>
    <w:rsid w:val="007E60A2"/>
    <w:rsid w:val="007E77BA"/>
    <w:rsid w:val="007E7ECC"/>
    <w:rsid w:val="007F06F2"/>
    <w:rsid w:val="007F080D"/>
    <w:rsid w:val="007F211F"/>
    <w:rsid w:val="007F2F50"/>
    <w:rsid w:val="007F3A04"/>
    <w:rsid w:val="007F4D3F"/>
    <w:rsid w:val="007F4DE2"/>
    <w:rsid w:val="007F5D28"/>
    <w:rsid w:val="007F63CF"/>
    <w:rsid w:val="007F6DC4"/>
    <w:rsid w:val="00800419"/>
    <w:rsid w:val="0080048D"/>
    <w:rsid w:val="00800E21"/>
    <w:rsid w:val="0080275D"/>
    <w:rsid w:val="008032F2"/>
    <w:rsid w:val="00803833"/>
    <w:rsid w:val="008057C6"/>
    <w:rsid w:val="00805869"/>
    <w:rsid w:val="00805ED5"/>
    <w:rsid w:val="0080733E"/>
    <w:rsid w:val="0081005D"/>
    <w:rsid w:val="00810EAA"/>
    <w:rsid w:val="00811D80"/>
    <w:rsid w:val="0081203A"/>
    <w:rsid w:val="0081433E"/>
    <w:rsid w:val="008145F2"/>
    <w:rsid w:val="0081478F"/>
    <w:rsid w:val="00814DA0"/>
    <w:rsid w:val="00815397"/>
    <w:rsid w:val="008153B4"/>
    <w:rsid w:val="00816A8C"/>
    <w:rsid w:val="00816F5C"/>
    <w:rsid w:val="00820134"/>
    <w:rsid w:val="0082063F"/>
    <w:rsid w:val="00821F9E"/>
    <w:rsid w:val="008233A9"/>
    <w:rsid w:val="00823CBC"/>
    <w:rsid w:val="00824E4D"/>
    <w:rsid w:val="00825C5D"/>
    <w:rsid w:val="00825CB0"/>
    <w:rsid w:val="00826354"/>
    <w:rsid w:val="0083001B"/>
    <w:rsid w:val="0083227F"/>
    <w:rsid w:val="00832A40"/>
    <w:rsid w:val="00832DDF"/>
    <w:rsid w:val="00834C57"/>
    <w:rsid w:val="00835A65"/>
    <w:rsid w:val="00837725"/>
    <w:rsid w:val="0084055A"/>
    <w:rsid w:val="00840A4D"/>
    <w:rsid w:val="00841077"/>
    <w:rsid w:val="00841D5F"/>
    <w:rsid w:val="00842DFB"/>
    <w:rsid w:val="008445EC"/>
    <w:rsid w:val="00844727"/>
    <w:rsid w:val="008456F4"/>
    <w:rsid w:val="00845CEC"/>
    <w:rsid w:val="00846048"/>
    <w:rsid w:val="008472C5"/>
    <w:rsid w:val="008478A2"/>
    <w:rsid w:val="00850206"/>
    <w:rsid w:val="00850D83"/>
    <w:rsid w:val="0085507B"/>
    <w:rsid w:val="00856F11"/>
    <w:rsid w:val="00857036"/>
    <w:rsid w:val="0085728E"/>
    <w:rsid w:val="00857BFD"/>
    <w:rsid w:val="00862771"/>
    <w:rsid w:val="0086375E"/>
    <w:rsid w:val="00864168"/>
    <w:rsid w:val="00864CAF"/>
    <w:rsid w:val="0086590D"/>
    <w:rsid w:val="00865AEE"/>
    <w:rsid w:val="00865C6F"/>
    <w:rsid w:val="0086658F"/>
    <w:rsid w:val="00866F2F"/>
    <w:rsid w:val="00867178"/>
    <w:rsid w:val="00867961"/>
    <w:rsid w:val="00867ECB"/>
    <w:rsid w:val="008708BE"/>
    <w:rsid w:val="0087129E"/>
    <w:rsid w:val="00872B68"/>
    <w:rsid w:val="00874F9C"/>
    <w:rsid w:val="008755D3"/>
    <w:rsid w:val="008759B3"/>
    <w:rsid w:val="008762C4"/>
    <w:rsid w:val="008772E8"/>
    <w:rsid w:val="00880A53"/>
    <w:rsid w:val="00881AD1"/>
    <w:rsid w:val="0088424A"/>
    <w:rsid w:val="0088473A"/>
    <w:rsid w:val="00884971"/>
    <w:rsid w:val="008871E4"/>
    <w:rsid w:val="00890963"/>
    <w:rsid w:val="00890D8F"/>
    <w:rsid w:val="00892C65"/>
    <w:rsid w:val="00892E8D"/>
    <w:rsid w:val="0089374C"/>
    <w:rsid w:val="00893C70"/>
    <w:rsid w:val="00894328"/>
    <w:rsid w:val="008945B5"/>
    <w:rsid w:val="00894F1C"/>
    <w:rsid w:val="00896CE1"/>
    <w:rsid w:val="008A21C5"/>
    <w:rsid w:val="008A287F"/>
    <w:rsid w:val="008A37CF"/>
    <w:rsid w:val="008A4521"/>
    <w:rsid w:val="008A560D"/>
    <w:rsid w:val="008A5DD5"/>
    <w:rsid w:val="008B0C54"/>
    <w:rsid w:val="008B210F"/>
    <w:rsid w:val="008B2E2C"/>
    <w:rsid w:val="008B533E"/>
    <w:rsid w:val="008B5AEE"/>
    <w:rsid w:val="008B63E7"/>
    <w:rsid w:val="008B65A0"/>
    <w:rsid w:val="008B6732"/>
    <w:rsid w:val="008B6C96"/>
    <w:rsid w:val="008B7545"/>
    <w:rsid w:val="008B78FB"/>
    <w:rsid w:val="008C2F3C"/>
    <w:rsid w:val="008C4C6E"/>
    <w:rsid w:val="008C5B7B"/>
    <w:rsid w:val="008C5EDA"/>
    <w:rsid w:val="008C6771"/>
    <w:rsid w:val="008C6F1F"/>
    <w:rsid w:val="008C7657"/>
    <w:rsid w:val="008D01DA"/>
    <w:rsid w:val="008D08CE"/>
    <w:rsid w:val="008D2989"/>
    <w:rsid w:val="008D3783"/>
    <w:rsid w:val="008D42C3"/>
    <w:rsid w:val="008D5155"/>
    <w:rsid w:val="008D5277"/>
    <w:rsid w:val="008D6A75"/>
    <w:rsid w:val="008D6C52"/>
    <w:rsid w:val="008D7472"/>
    <w:rsid w:val="008D7727"/>
    <w:rsid w:val="008E0076"/>
    <w:rsid w:val="008E0736"/>
    <w:rsid w:val="008E0B97"/>
    <w:rsid w:val="008E190D"/>
    <w:rsid w:val="008E4286"/>
    <w:rsid w:val="008E5A11"/>
    <w:rsid w:val="008E6439"/>
    <w:rsid w:val="008E6FA5"/>
    <w:rsid w:val="008E73C5"/>
    <w:rsid w:val="008F007B"/>
    <w:rsid w:val="008F0961"/>
    <w:rsid w:val="008F0C96"/>
    <w:rsid w:val="008F1539"/>
    <w:rsid w:val="008F1644"/>
    <w:rsid w:val="008F16F3"/>
    <w:rsid w:val="008F23D7"/>
    <w:rsid w:val="008F322B"/>
    <w:rsid w:val="008F39E0"/>
    <w:rsid w:val="008F4582"/>
    <w:rsid w:val="008F4F27"/>
    <w:rsid w:val="008F53B7"/>
    <w:rsid w:val="008F5A2C"/>
    <w:rsid w:val="008F5B9A"/>
    <w:rsid w:val="008F6545"/>
    <w:rsid w:val="008F6B8F"/>
    <w:rsid w:val="008F6CE0"/>
    <w:rsid w:val="008F74B1"/>
    <w:rsid w:val="008F786B"/>
    <w:rsid w:val="00901E71"/>
    <w:rsid w:val="00903695"/>
    <w:rsid w:val="00904168"/>
    <w:rsid w:val="00905E71"/>
    <w:rsid w:val="0091062C"/>
    <w:rsid w:val="0091182E"/>
    <w:rsid w:val="00912343"/>
    <w:rsid w:val="009123C8"/>
    <w:rsid w:val="009132D0"/>
    <w:rsid w:val="009160AB"/>
    <w:rsid w:val="00916568"/>
    <w:rsid w:val="009171E4"/>
    <w:rsid w:val="00917E57"/>
    <w:rsid w:val="00920331"/>
    <w:rsid w:val="00921858"/>
    <w:rsid w:val="00921C96"/>
    <w:rsid w:val="00921DC6"/>
    <w:rsid w:val="00923555"/>
    <w:rsid w:val="00924356"/>
    <w:rsid w:val="00924433"/>
    <w:rsid w:val="00926E8B"/>
    <w:rsid w:val="00932D52"/>
    <w:rsid w:val="00933257"/>
    <w:rsid w:val="00933A74"/>
    <w:rsid w:val="00933C83"/>
    <w:rsid w:val="00934778"/>
    <w:rsid w:val="00934D6D"/>
    <w:rsid w:val="00934E96"/>
    <w:rsid w:val="009405D2"/>
    <w:rsid w:val="00941E94"/>
    <w:rsid w:val="00941F9E"/>
    <w:rsid w:val="009427B4"/>
    <w:rsid w:val="00944445"/>
    <w:rsid w:val="00944EEF"/>
    <w:rsid w:val="009458FC"/>
    <w:rsid w:val="0094719D"/>
    <w:rsid w:val="0094736D"/>
    <w:rsid w:val="009503B4"/>
    <w:rsid w:val="00950975"/>
    <w:rsid w:val="0095237E"/>
    <w:rsid w:val="009525B9"/>
    <w:rsid w:val="00953997"/>
    <w:rsid w:val="00953B14"/>
    <w:rsid w:val="00953ED3"/>
    <w:rsid w:val="009544F0"/>
    <w:rsid w:val="00955BF9"/>
    <w:rsid w:val="00956F8E"/>
    <w:rsid w:val="00957294"/>
    <w:rsid w:val="00963D04"/>
    <w:rsid w:val="00964B4A"/>
    <w:rsid w:val="009655E8"/>
    <w:rsid w:val="0096575D"/>
    <w:rsid w:val="0097082F"/>
    <w:rsid w:val="00970903"/>
    <w:rsid w:val="0097155E"/>
    <w:rsid w:val="00973827"/>
    <w:rsid w:val="009749DE"/>
    <w:rsid w:val="0097560B"/>
    <w:rsid w:val="00977E7C"/>
    <w:rsid w:val="00980535"/>
    <w:rsid w:val="009812DC"/>
    <w:rsid w:val="0098141A"/>
    <w:rsid w:val="00981A34"/>
    <w:rsid w:val="00983CA3"/>
    <w:rsid w:val="009857E1"/>
    <w:rsid w:val="00986968"/>
    <w:rsid w:val="00986B66"/>
    <w:rsid w:val="0099060C"/>
    <w:rsid w:val="00990CDB"/>
    <w:rsid w:val="00991303"/>
    <w:rsid w:val="009919A9"/>
    <w:rsid w:val="00991A81"/>
    <w:rsid w:val="009921AF"/>
    <w:rsid w:val="0099228F"/>
    <w:rsid w:val="0099462A"/>
    <w:rsid w:val="00995108"/>
    <w:rsid w:val="0099635E"/>
    <w:rsid w:val="009A0F9F"/>
    <w:rsid w:val="009A43F6"/>
    <w:rsid w:val="009A4BF9"/>
    <w:rsid w:val="009B0082"/>
    <w:rsid w:val="009B0A77"/>
    <w:rsid w:val="009B0E4C"/>
    <w:rsid w:val="009B28F1"/>
    <w:rsid w:val="009B2FFE"/>
    <w:rsid w:val="009B4629"/>
    <w:rsid w:val="009B5A72"/>
    <w:rsid w:val="009B6272"/>
    <w:rsid w:val="009B65EE"/>
    <w:rsid w:val="009C0644"/>
    <w:rsid w:val="009C07E8"/>
    <w:rsid w:val="009C0A66"/>
    <w:rsid w:val="009C14B0"/>
    <w:rsid w:val="009C30D8"/>
    <w:rsid w:val="009C36FF"/>
    <w:rsid w:val="009C3855"/>
    <w:rsid w:val="009C4021"/>
    <w:rsid w:val="009C7678"/>
    <w:rsid w:val="009C7811"/>
    <w:rsid w:val="009D0124"/>
    <w:rsid w:val="009D05BD"/>
    <w:rsid w:val="009D0EDD"/>
    <w:rsid w:val="009D1A20"/>
    <w:rsid w:val="009D3023"/>
    <w:rsid w:val="009D5925"/>
    <w:rsid w:val="009D5CD1"/>
    <w:rsid w:val="009D646C"/>
    <w:rsid w:val="009D7B92"/>
    <w:rsid w:val="009E1096"/>
    <w:rsid w:val="009E276D"/>
    <w:rsid w:val="009E29EB"/>
    <w:rsid w:val="009E763F"/>
    <w:rsid w:val="009E7E67"/>
    <w:rsid w:val="009F134B"/>
    <w:rsid w:val="009F2D25"/>
    <w:rsid w:val="009F2D4B"/>
    <w:rsid w:val="009F3975"/>
    <w:rsid w:val="009F3C63"/>
    <w:rsid w:val="009F4C3C"/>
    <w:rsid w:val="009F5377"/>
    <w:rsid w:val="009F779D"/>
    <w:rsid w:val="00A0215A"/>
    <w:rsid w:val="00A04216"/>
    <w:rsid w:val="00A0628C"/>
    <w:rsid w:val="00A062E3"/>
    <w:rsid w:val="00A06FB6"/>
    <w:rsid w:val="00A0781D"/>
    <w:rsid w:val="00A11062"/>
    <w:rsid w:val="00A11077"/>
    <w:rsid w:val="00A11BC4"/>
    <w:rsid w:val="00A12ABE"/>
    <w:rsid w:val="00A12CEC"/>
    <w:rsid w:val="00A13F48"/>
    <w:rsid w:val="00A14B05"/>
    <w:rsid w:val="00A1549B"/>
    <w:rsid w:val="00A157DE"/>
    <w:rsid w:val="00A21B9A"/>
    <w:rsid w:val="00A231B4"/>
    <w:rsid w:val="00A25865"/>
    <w:rsid w:val="00A266D9"/>
    <w:rsid w:val="00A2672B"/>
    <w:rsid w:val="00A268A9"/>
    <w:rsid w:val="00A26A37"/>
    <w:rsid w:val="00A30741"/>
    <w:rsid w:val="00A3100D"/>
    <w:rsid w:val="00A3122D"/>
    <w:rsid w:val="00A323D0"/>
    <w:rsid w:val="00A36E26"/>
    <w:rsid w:val="00A37860"/>
    <w:rsid w:val="00A405C9"/>
    <w:rsid w:val="00A40FC0"/>
    <w:rsid w:val="00A439AB"/>
    <w:rsid w:val="00A443EC"/>
    <w:rsid w:val="00A4457B"/>
    <w:rsid w:val="00A4650F"/>
    <w:rsid w:val="00A46AA0"/>
    <w:rsid w:val="00A479C1"/>
    <w:rsid w:val="00A501BF"/>
    <w:rsid w:val="00A52B1F"/>
    <w:rsid w:val="00A53ED2"/>
    <w:rsid w:val="00A5448B"/>
    <w:rsid w:val="00A547EF"/>
    <w:rsid w:val="00A55059"/>
    <w:rsid w:val="00A5546D"/>
    <w:rsid w:val="00A56572"/>
    <w:rsid w:val="00A56C64"/>
    <w:rsid w:val="00A60089"/>
    <w:rsid w:val="00A60C82"/>
    <w:rsid w:val="00A6133E"/>
    <w:rsid w:val="00A624C7"/>
    <w:rsid w:val="00A63914"/>
    <w:rsid w:val="00A63B08"/>
    <w:rsid w:val="00A64057"/>
    <w:rsid w:val="00A650A4"/>
    <w:rsid w:val="00A66F98"/>
    <w:rsid w:val="00A672F3"/>
    <w:rsid w:val="00A7070B"/>
    <w:rsid w:val="00A70C41"/>
    <w:rsid w:val="00A71AA8"/>
    <w:rsid w:val="00A726C9"/>
    <w:rsid w:val="00A73034"/>
    <w:rsid w:val="00A741D5"/>
    <w:rsid w:val="00A768D9"/>
    <w:rsid w:val="00A76B30"/>
    <w:rsid w:val="00A7727E"/>
    <w:rsid w:val="00A77414"/>
    <w:rsid w:val="00A80BFB"/>
    <w:rsid w:val="00A80F4A"/>
    <w:rsid w:val="00A81FAF"/>
    <w:rsid w:val="00A84EB7"/>
    <w:rsid w:val="00A850AF"/>
    <w:rsid w:val="00A86031"/>
    <w:rsid w:val="00A92816"/>
    <w:rsid w:val="00A92C05"/>
    <w:rsid w:val="00A93708"/>
    <w:rsid w:val="00A9476F"/>
    <w:rsid w:val="00A94D5C"/>
    <w:rsid w:val="00A97B4B"/>
    <w:rsid w:val="00AA2D63"/>
    <w:rsid w:val="00AA467E"/>
    <w:rsid w:val="00AA4910"/>
    <w:rsid w:val="00AA499F"/>
    <w:rsid w:val="00AA5AB6"/>
    <w:rsid w:val="00AA6342"/>
    <w:rsid w:val="00AA7085"/>
    <w:rsid w:val="00AA7E77"/>
    <w:rsid w:val="00AB01E9"/>
    <w:rsid w:val="00AB0428"/>
    <w:rsid w:val="00AB09B4"/>
    <w:rsid w:val="00AB0E1B"/>
    <w:rsid w:val="00AB23C9"/>
    <w:rsid w:val="00AB2FF2"/>
    <w:rsid w:val="00AB6212"/>
    <w:rsid w:val="00AB6E7E"/>
    <w:rsid w:val="00AC0269"/>
    <w:rsid w:val="00AC0DB6"/>
    <w:rsid w:val="00AC1163"/>
    <w:rsid w:val="00AC1514"/>
    <w:rsid w:val="00AC16DB"/>
    <w:rsid w:val="00AC2858"/>
    <w:rsid w:val="00AC35B6"/>
    <w:rsid w:val="00AC42C6"/>
    <w:rsid w:val="00AC49CC"/>
    <w:rsid w:val="00AC52ED"/>
    <w:rsid w:val="00AC5B8D"/>
    <w:rsid w:val="00AC5CE9"/>
    <w:rsid w:val="00AC66EE"/>
    <w:rsid w:val="00AC6EEC"/>
    <w:rsid w:val="00AC7D00"/>
    <w:rsid w:val="00AD097D"/>
    <w:rsid w:val="00AD0A40"/>
    <w:rsid w:val="00AD1B5E"/>
    <w:rsid w:val="00AD1CFF"/>
    <w:rsid w:val="00AD211E"/>
    <w:rsid w:val="00AD228E"/>
    <w:rsid w:val="00AD25CF"/>
    <w:rsid w:val="00AD3DF3"/>
    <w:rsid w:val="00AD4573"/>
    <w:rsid w:val="00AD60C2"/>
    <w:rsid w:val="00AD6824"/>
    <w:rsid w:val="00AD75AE"/>
    <w:rsid w:val="00AE072D"/>
    <w:rsid w:val="00AE0E63"/>
    <w:rsid w:val="00AE1322"/>
    <w:rsid w:val="00AE2330"/>
    <w:rsid w:val="00AE26D7"/>
    <w:rsid w:val="00AE6743"/>
    <w:rsid w:val="00AE6AE7"/>
    <w:rsid w:val="00AE6D25"/>
    <w:rsid w:val="00AF0A17"/>
    <w:rsid w:val="00AF1571"/>
    <w:rsid w:val="00AF17F7"/>
    <w:rsid w:val="00AF251C"/>
    <w:rsid w:val="00AF309E"/>
    <w:rsid w:val="00AF3A3E"/>
    <w:rsid w:val="00AF3A4A"/>
    <w:rsid w:val="00AF4CA4"/>
    <w:rsid w:val="00AF52E8"/>
    <w:rsid w:val="00B00CD5"/>
    <w:rsid w:val="00B00DA3"/>
    <w:rsid w:val="00B012D0"/>
    <w:rsid w:val="00B035FE"/>
    <w:rsid w:val="00B0453D"/>
    <w:rsid w:val="00B04B84"/>
    <w:rsid w:val="00B04C4E"/>
    <w:rsid w:val="00B05271"/>
    <w:rsid w:val="00B05F80"/>
    <w:rsid w:val="00B06E21"/>
    <w:rsid w:val="00B06F73"/>
    <w:rsid w:val="00B07A9B"/>
    <w:rsid w:val="00B106CE"/>
    <w:rsid w:val="00B114BE"/>
    <w:rsid w:val="00B11AFE"/>
    <w:rsid w:val="00B1342C"/>
    <w:rsid w:val="00B141BE"/>
    <w:rsid w:val="00B15164"/>
    <w:rsid w:val="00B16551"/>
    <w:rsid w:val="00B165D7"/>
    <w:rsid w:val="00B20306"/>
    <w:rsid w:val="00B233E7"/>
    <w:rsid w:val="00B247CB"/>
    <w:rsid w:val="00B254C3"/>
    <w:rsid w:val="00B25512"/>
    <w:rsid w:val="00B25A9A"/>
    <w:rsid w:val="00B25D7A"/>
    <w:rsid w:val="00B312EF"/>
    <w:rsid w:val="00B325C3"/>
    <w:rsid w:val="00B3269A"/>
    <w:rsid w:val="00B32793"/>
    <w:rsid w:val="00B33355"/>
    <w:rsid w:val="00B33FE6"/>
    <w:rsid w:val="00B3467E"/>
    <w:rsid w:val="00B34E49"/>
    <w:rsid w:val="00B367D9"/>
    <w:rsid w:val="00B373FE"/>
    <w:rsid w:val="00B40161"/>
    <w:rsid w:val="00B43BDE"/>
    <w:rsid w:val="00B45465"/>
    <w:rsid w:val="00B457B2"/>
    <w:rsid w:val="00B469B3"/>
    <w:rsid w:val="00B50B25"/>
    <w:rsid w:val="00B5147D"/>
    <w:rsid w:val="00B51BBA"/>
    <w:rsid w:val="00B53857"/>
    <w:rsid w:val="00B543AF"/>
    <w:rsid w:val="00B551C3"/>
    <w:rsid w:val="00B5543A"/>
    <w:rsid w:val="00B55E4B"/>
    <w:rsid w:val="00B56667"/>
    <w:rsid w:val="00B56D62"/>
    <w:rsid w:val="00B62C57"/>
    <w:rsid w:val="00B63142"/>
    <w:rsid w:val="00B63C45"/>
    <w:rsid w:val="00B64E86"/>
    <w:rsid w:val="00B667B9"/>
    <w:rsid w:val="00B67873"/>
    <w:rsid w:val="00B70D7C"/>
    <w:rsid w:val="00B70DD0"/>
    <w:rsid w:val="00B720D0"/>
    <w:rsid w:val="00B72D5B"/>
    <w:rsid w:val="00B759E8"/>
    <w:rsid w:val="00B778E6"/>
    <w:rsid w:val="00B77A56"/>
    <w:rsid w:val="00B81716"/>
    <w:rsid w:val="00B84B44"/>
    <w:rsid w:val="00B85B55"/>
    <w:rsid w:val="00B86097"/>
    <w:rsid w:val="00B87579"/>
    <w:rsid w:val="00B8777F"/>
    <w:rsid w:val="00B91E05"/>
    <w:rsid w:val="00B937B0"/>
    <w:rsid w:val="00B969EC"/>
    <w:rsid w:val="00B97185"/>
    <w:rsid w:val="00BA047C"/>
    <w:rsid w:val="00BA3084"/>
    <w:rsid w:val="00BA3C37"/>
    <w:rsid w:val="00BA46D5"/>
    <w:rsid w:val="00BA539C"/>
    <w:rsid w:val="00BA75BA"/>
    <w:rsid w:val="00BB00BC"/>
    <w:rsid w:val="00BB0194"/>
    <w:rsid w:val="00BB0417"/>
    <w:rsid w:val="00BB0612"/>
    <w:rsid w:val="00BB08E9"/>
    <w:rsid w:val="00BB1596"/>
    <w:rsid w:val="00BB398D"/>
    <w:rsid w:val="00BB4ABA"/>
    <w:rsid w:val="00BB4E4A"/>
    <w:rsid w:val="00BB563E"/>
    <w:rsid w:val="00BB5C2F"/>
    <w:rsid w:val="00BB6821"/>
    <w:rsid w:val="00BB6A83"/>
    <w:rsid w:val="00BC10BB"/>
    <w:rsid w:val="00BC1EF2"/>
    <w:rsid w:val="00BC24E0"/>
    <w:rsid w:val="00BC27CF"/>
    <w:rsid w:val="00BC2E4D"/>
    <w:rsid w:val="00BC3122"/>
    <w:rsid w:val="00BC31D0"/>
    <w:rsid w:val="00BC34BE"/>
    <w:rsid w:val="00BC49B5"/>
    <w:rsid w:val="00BC55AB"/>
    <w:rsid w:val="00BD1974"/>
    <w:rsid w:val="00BD1DCA"/>
    <w:rsid w:val="00BD3F89"/>
    <w:rsid w:val="00BD57E1"/>
    <w:rsid w:val="00BD6093"/>
    <w:rsid w:val="00BD60EE"/>
    <w:rsid w:val="00BD77A7"/>
    <w:rsid w:val="00BD7D9E"/>
    <w:rsid w:val="00BE1147"/>
    <w:rsid w:val="00BE1627"/>
    <w:rsid w:val="00BE1F1D"/>
    <w:rsid w:val="00BE4054"/>
    <w:rsid w:val="00BE4201"/>
    <w:rsid w:val="00BE5AF1"/>
    <w:rsid w:val="00BE6B98"/>
    <w:rsid w:val="00BE7879"/>
    <w:rsid w:val="00BF0372"/>
    <w:rsid w:val="00BF0467"/>
    <w:rsid w:val="00BF06E7"/>
    <w:rsid w:val="00BF15E0"/>
    <w:rsid w:val="00BF257A"/>
    <w:rsid w:val="00BF2B88"/>
    <w:rsid w:val="00BF3025"/>
    <w:rsid w:val="00BF350F"/>
    <w:rsid w:val="00BF43C3"/>
    <w:rsid w:val="00BF4B23"/>
    <w:rsid w:val="00BF5B28"/>
    <w:rsid w:val="00BF6AF2"/>
    <w:rsid w:val="00BF6DDE"/>
    <w:rsid w:val="00BF6FFF"/>
    <w:rsid w:val="00BF7611"/>
    <w:rsid w:val="00BF7A48"/>
    <w:rsid w:val="00C00133"/>
    <w:rsid w:val="00C0076C"/>
    <w:rsid w:val="00C00D1B"/>
    <w:rsid w:val="00C00E87"/>
    <w:rsid w:val="00C021B1"/>
    <w:rsid w:val="00C03858"/>
    <w:rsid w:val="00C03AF4"/>
    <w:rsid w:val="00C0555D"/>
    <w:rsid w:val="00C072D0"/>
    <w:rsid w:val="00C07FC4"/>
    <w:rsid w:val="00C110CD"/>
    <w:rsid w:val="00C12799"/>
    <w:rsid w:val="00C1578A"/>
    <w:rsid w:val="00C15992"/>
    <w:rsid w:val="00C15E2B"/>
    <w:rsid w:val="00C16308"/>
    <w:rsid w:val="00C16B27"/>
    <w:rsid w:val="00C16DD9"/>
    <w:rsid w:val="00C17956"/>
    <w:rsid w:val="00C218BC"/>
    <w:rsid w:val="00C21A1F"/>
    <w:rsid w:val="00C23FF8"/>
    <w:rsid w:val="00C26AE2"/>
    <w:rsid w:val="00C3024E"/>
    <w:rsid w:val="00C30DC1"/>
    <w:rsid w:val="00C3197C"/>
    <w:rsid w:val="00C3212D"/>
    <w:rsid w:val="00C3296F"/>
    <w:rsid w:val="00C3351E"/>
    <w:rsid w:val="00C33AFE"/>
    <w:rsid w:val="00C3717B"/>
    <w:rsid w:val="00C37C72"/>
    <w:rsid w:val="00C40E45"/>
    <w:rsid w:val="00C419AD"/>
    <w:rsid w:val="00C41EC6"/>
    <w:rsid w:val="00C42EE1"/>
    <w:rsid w:val="00C45153"/>
    <w:rsid w:val="00C45406"/>
    <w:rsid w:val="00C45D83"/>
    <w:rsid w:val="00C46FB2"/>
    <w:rsid w:val="00C47456"/>
    <w:rsid w:val="00C50666"/>
    <w:rsid w:val="00C52B93"/>
    <w:rsid w:val="00C534BB"/>
    <w:rsid w:val="00C553F1"/>
    <w:rsid w:val="00C55BC5"/>
    <w:rsid w:val="00C5608E"/>
    <w:rsid w:val="00C5703B"/>
    <w:rsid w:val="00C575AB"/>
    <w:rsid w:val="00C604F5"/>
    <w:rsid w:val="00C60D44"/>
    <w:rsid w:val="00C629AB"/>
    <w:rsid w:val="00C62D79"/>
    <w:rsid w:val="00C62F0F"/>
    <w:rsid w:val="00C64AE9"/>
    <w:rsid w:val="00C651D3"/>
    <w:rsid w:val="00C707C6"/>
    <w:rsid w:val="00C713E3"/>
    <w:rsid w:val="00C7242A"/>
    <w:rsid w:val="00C73867"/>
    <w:rsid w:val="00C74001"/>
    <w:rsid w:val="00C74072"/>
    <w:rsid w:val="00C74E83"/>
    <w:rsid w:val="00C75397"/>
    <w:rsid w:val="00C75BA5"/>
    <w:rsid w:val="00C77655"/>
    <w:rsid w:val="00C808F4"/>
    <w:rsid w:val="00C8305C"/>
    <w:rsid w:val="00C83A08"/>
    <w:rsid w:val="00C83C32"/>
    <w:rsid w:val="00C844DF"/>
    <w:rsid w:val="00C86C50"/>
    <w:rsid w:val="00C871CC"/>
    <w:rsid w:val="00C907DC"/>
    <w:rsid w:val="00C91676"/>
    <w:rsid w:val="00C944FD"/>
    <w:rsid w:val="00C94E88"/>
    <w:rsid w:val="00C9677C"/>
    <w:rsid w:val="00C96B97"/>
    <w:rsid w:val="00C96C0C"/>
    <w:rsid w:val="00C96DE9"/>
    <w:rsid w:val="00C97A85"/>
    <w:rsid w:val="00C97BA0"/>
    <w:rsid w:val="00CA243C"/>
    <w:rsid w:val="00CA40F4"/>
    <w:rsid w:val="00CA79C9"/>
    <w:rsid w:val="00CB027C"/>
    <w:rsid w:val="00CB0473"/>
    <w:rsid w:val="00CB0F25"/>
    <w:rsid w:val="00CB1099"/>
    <w:rsid w:val="00CB2F6F"/>
    <w:rsid w:val="00CB4045"/>
    <w:rsid w:val="00CB4D17"/>
    <w:rsid w:val="00CB52D5"/>
    <w:rsid w:val="00CB539B"/>
    <w:rsid w:val="00CB68F1"/>
    <w:rsid w:val="00CB6DA0"/>
    <w:rsid w:val="00CC024B"/>
    <w:rsid w:val="00CC1003"/>
    <w:rsid w:val="00CC1BE9"/>
    <w:rsid w:val="00CC1C2A"/>
    <w:rsid w:val="00CC36C4"/>
    <w:rsid w:val="00CC4070"/>
    <w:rsid w:val="00CC4A46"/>
    <w:rsid w:val="00CC4E8E"/>
    <w:rsid w:val="00CC7962"/>
    <w:rsid w:val="00CD384B"/>
    <w:rsid w:val="00CD3BA4"/>
    <w:rsid w:val="00CD3CE6"/>
    <w:rsid w:val="00CD724F"/>
    <w:rsid w:val="00CE13B8"/>
    <w:rsid w:val="00CE2031"/>
    <w:rsid w:val="00CE3078"/>
    <w:rsid w:val="00CE41C3"/>
    <w:rsid w:val="00CE4252"/>
    <w:rsid w:val="00CE4F24"/>
    <w:rsid w:val="00CE5E3F"/>
    <w:rsid w:val="00CE6000"/>
    <w:rsid w:val="00CE656B"/>
    <w:rsid w:val="00CF1673"/>
    <w:rsid w:val="00CF4648"/>
    <w:rsid w:val="00CF5442"/>
    <w:rsid w:val="00D00602"/>
    <w:rsid w:val="00D01719"/>
    <w:rsid w:val="00D04051"/>
    <w:rsid w:val="00D05DD0"/>
    <w:rsid w:val="00D0664B"/>
    <w:rsid w:val="00D11401"/>
    <w:rsid w:val="00D11EB0"/>
    <w:rsid w:val="00D127E5"/>
    <w:rsid w:val="00D13CD1"/>
    <w:rsid w:val="00D143B3"/>
    <w:rsid w:val="00D1506C"/>
    <w:rsid w:val="00D1682F"/>
    <w:rsid w:val="00D20216"/>
    <w:rsid w:val="00D204FB"/>
    <w:rsid w:val="00D20D20"/>
    <w:rsid w:val="00D212BC"/>
    <w:rsid w:val="00D22E56"/>
    <w:rsid w:val="00D24FD0"/>
    <w:rsid w:val="00D26C4F"/>
    <w:rsid w:val="00D27C00"/>
    <w:rsid w:val="00D30332"/>
    <w:rsid w:val="00D30DE2"/>
    <w:rsid w:val="00D34528"/>
    <w:rsid w:val="00D36023"/>
    <w:rsid w:val="00D36773"/>
    <w:rsid w:val="00D36EFD"/>
    <w:rsid w:val="00D3773B"/>
    <w:rsid w:val="00D406BA"/>
    <w:rsid w:val="00D43322"/>
    <w:rsid w:val="00D44101"/>
    <w:rsid w:val="00D4413D"/>
    <w:rsid w:val="00D444B1"/>
    <w:rsid w:val="00D44723"/>
    <w:rsid w:val="00D454F0"/>
    <w:rsid w:val="00D4554E"/>
    <w:rsid w:val="00D462FF"/>
    <w:rsid w:val="00D46C64"/>
    <w:rsid w:val="00D472C6"/>
    <w:rsid w:val="00D47EEA"/>
    <w:rsid w:val="00D51382"/>
    <w:rsid w:val="00D5214A"/>
    <w:rsid w:val="00D52830"/>
    <w:rsid w:val="00D54B77"/>
    <w:rsid w:val="00D55AC4"/>
    <w:rsid w:val="00D61AA1"/>
    <w:rsid w:val="00D62880"/>
    <w:rsid w:val="00D62DFB"/>
    <w:rsid w:val="00D64067"/>
    <w:rsid w:val="00D65A07"/>
    <w:rsid w:val="00D65DD0"/>
    <w:rsid w:val="00D66778"/>
    <w:rsid w:val="00D66AFA"/>
    <w:rsid w:val="00D711FB"/>
    <w:rsid w:val="00D72545"/>
    <w:rsid w:val="00D74A70"/>
    <w:rsid w:val="00D74C9C"/>
    <w:rsid w:val="00D7648F"/>
    <w:rsid w:val="00D827D3"/>
    <w:rsid w:val="00D83ECA"/>
    <w:rsid w:val="00D867D1"/>
    <w:rsid w:val="00D8687D"/>
    <w:rsid w:val="00D90566"/>
    <w:rsid w:val="00D925F2"/>
    <w:rsid w:val="00D932F7"/>
    <w:rsid w:val="00D93CA4"/>
    <w:rsid w:val="00D947FA"/>
    <w:rsid w:val="00D95236"/>
    <w:rsid w:val="00D95A13"/>
    <w:rsid w:val="00D95CE4"/>
    <w:rsid w:val="00D97741"/>
    <w:rsid w:val="00D979A2"/>
    <w:rsid w:val="00DA33FD"/>
    <w:rsid w:val="00DA41E7"/>
    <w:rsid w:val="00DA57F0"/>
    <w:rsid w:val="00DB2143"/>
    <w:rsid w:val="00DB251C"/>
    <w:rsid w:val="00DB2FA6"/>
    <w:rsid w:val="00DB52D8"/>
    <w:rsid w:val="00DB69A3"/>
    <w:rsid w:val="00DC4A34"/>
    <w:rsid w:val="00DC4B98"/>
    <w:rsid w:val="00DC5C28"/>
    <w:rsid w:val="00DC5F7E"/>
    <w:rsid w:val="00DC752B"/>
    <w:rsid w:val="00DD0199"/>
    <w:rsid w:val="00DD0593"/>
    <w:rsid w:val="00DD1158"/>
    <w:rsid w:val="00DD2558"/>
    <w:rsid w:val="00DD2760"/>
    <w:rsid w:val="00DD5189"/>
    <w:rsid w:val="00DD5723"/>
    <w:rsid w:val="00DD6BD8"/>
    <w:rsid w:val="00DD6CED"/>
    <w:rsid w:val="00DD71F0"/>
    <w:rsid w:val="00DD786F"/>
    <w:rsid w:val="00DE1BA9"/>
    <w:rsid w:val="00DE2592"/>
    <w:rsid w:val="00DE2B32"/>
    <w:rsid w:val="00DE3130"/>
    <w:rsid w:val="00DE343F"/>
    <w:rsid w:val="00DE3BE6"/>
    <w:rsid w:val="00DE639C"/>
    <w:rsid w:val="00DE6D96"/>
    <w:rsid w:val="00DE7293"/>
    <w:rsid w:val="00DE7AFA"/>
    <w:rsid w:val="00DF10BF"/>
    <w:rsid w:val="00DF4295"/>
    <w:rsid w:val="00DF4A7B"/>
    <w:rsid w:val="00E00AF5"/>
    <w:rsid w:val="00E02CCD"/>
    <w:rsid w:val="00E0359E"/>
    <w:rsid w:val="00E038A1"/>
    <w:rsid w:val="00E03E5D"/>
    <w:rsid w:val="00E048C8"/>
    <w:rsid w:val="00E04D61"/>
    <w:rsid w:val="00E04D8E"/>
    <w:rsid w:val="00E0780B"/>
    <w:rsid w:val="00E10E4B"/>
    <w:rsid w:val="00E1117A"/>
    <w:rsid w:val="00E11507"/>
    <w:rsid w:val="00E1208E"/>
    <w:rsid w:val="00E12991"/>
    <w:rsid w:val="00E134CC"/>
    <w:rsid w:val="00E135DA"/>
    <w:rsid w:val="00E1362A"/>
    <w:rsid w:val="00E13799"/>
    <w:rsid w:val="00E138BA"/>
    <w:rsid w:val="00E172C7"/>
    <w:rsid w:val="00E17DF0"/>
    <w:rsid w:val="00E2001D"/>
    <w:rsid w:val="00E234BE"/>
    <w:rsid w:val="00E255A5"/>
    <w:rsid w:val="00E25CF6"/>
    <w:rsid w:val="00E2651C"/>
    <w:rsid w:val="00E2682D"/>
    <w:rsid w:val="00E30D2B"/>
    <w:rsid w:val="00E3125F"/>
    <w:rsid w:val="00E31C0C"/>
    <w:rsid w:val="00E31F4D"/>
    <w:rsid w:val="00E32A00"/>
    <w:rsid w:val="00E32BD5"/>
    <w:rsid w:val="00E342AE"/>
    <w:rsid w:val="00E351D1"/>
    <w:rsid w:val="00E40277"/>
    <w:rsid w:val="00E41003"/>
    <w:rsid w:val="00E4223F"/>
    <w:rsid w:val="00E43E2A"/>
    <w:rsid w:val="00E43E8E"/>
    <w:rsid w:val="00E473C4"/>
    <w:rsid w:val="00E50280"/>
    <w:rsid w:val="00E5032E"/>
    <w:rsid w:val="00E5065F"/>
    <w:rsid w:val="00E53466"/>
    <w:rsid w:val="00E55221"/>
    <w:rsid w:val="00E559D1"/>
    <w:rsid w:val="00E561F6"/>
    <w:rsid w:val="00E61057"/>
    <w:rsid w:val="00E61118"/>
    <w:rsid w:val="00E61996"/>
    <w:rsid w:val="00E63949"/>
    <w:rsid w:val="00E642D2"/>
    <w:rsid w:val="00E64A6A"/>
    <w:rsid w:val="00E6563B"/>
    <w:rsid w:val="00E6699A"/>
    <w:rsid w:val="00E677F7"/>
    <w:rsid w:val="00E67C6D"/>
    <w:rsid w:val="00E711E1"/>
    <w:rsid w:val="00E722ED"/>
    <w:rsid w:val="00E72459"/>
    <w:rsid w:val="00E73D66"/>
    <w:rsid w:val="00E7534D"/>
    <w:rsid w:val="00E77103"/>
    <w:rsid w:val="00E77405"/>
    <w:rsid w:val="00E822AD"/>
    <w:rsid w:val="00E831AB"/>
    <w:rsid w:val="00E8363E"/>
    <w:rsid w:val="00E854F6"/>
    <w:rsid w:val="00E85F3E"/>
    <w:rsid w:val="00E87441"/>
    <w:rsid w:val="00E90AB7"/>
    <w:rsid w:val="00E90BC1"/>
    <w:rsid w:val="00E91085"/>
    <w:rsid w:val="00E91A1E"/>
    <w:rsid w:val="00E92CB5"/>
    <w:rsid w:val="00E93AD6"/>
    <w:rsid w:val="00E945EE"/>
    <w:rsid w:val="00E95ABF"/>
    <w:rsid w:val="00E96280"/>
    <w:rsid w:val="00E965A3"/>
    <w:rsid w:val="00E97803"/>
    <w:rsid w:val="00E97CB5"/>
    <w:rsid w:val="00EA04EE"/>
    <w:rsid w:val="00EA0A49"/>
    <w:rsid w:val="00EA23DF"/>
    <w:rsid w:val="00EA242A"/>
    <w:rsid w:val="00EA3981"/>
    <w:rsid w:val="00EA73B6"/>
    <w:rsid w:val="00EA7F90"/>
    <w:rsid w:val="00EB0B1D"/>
    <w:rsid w:val="00EB0FCE"/>
    <w:rsid w:val="00EB2F60"/>
    <w:rsid w:val="00EB4249"/>
    <w:rsid w:val="00EB49C7"/>
    <w:rsid w:val="00EB56B3"/>
    <w:rsid w:val="00EB62EE"/>
    <w:rsid w:val="00EB71CA"/>
    <w:rsid w:val="00EC105E"/>
    <w:rsid w:val="00EC21EA"/>
    <w:rsid w:val="00EC26E5"/>
    <w:rsid w:val="00EC484C"/>
    <w:rsid w:val="00EC492B"/>
    <w:rsid w:val="00EC55B1"/>
    <w:rsid w:val="00EC5ADA"/>
    <w:rsid w:val="00EC7582"/>
    <w:rsid w:val="00EC7594"/>
    <w:rsid w:val="00ED0435"/>
    <w:rsid w:val="00ED21EB"/>
    <w:rsid w:val="00ED2672"/>
    <w:rsid w:val="00ED3421"/>
    <w:rsid w:val="00ED365F"/>
    <w:rsid w:val="00ED61C7"/>
    <w:rsid w:val="00ED69D1"/>
    <w:rsid w:val="00ED6E8C"/>
    <w:rsid w:val="00EE1286"/>
    <w:rsid w:val="00EE2639"/>
    <w:rsid w:val="00EE4BB5"/>
    <w:rsid w:val="00EE6360"/>
    <w:rsid w:val="00EE6871"/>
    <w:rsid w:val="00EE72D3"/>
    <w:rsid w:val="00EF0C76"/>
    <w:rsid w:val="00EF212A"/>
    <w:rsid w:val="00EF3F6F"/>
    <w:rsid w:val="00EF4E49"/>
    <w:rsid w:val="00EF70FE"/>
    <w:rsid w:val="00EF79FF"/>
    <w:rsid w:val="00F035F5"/>
    <w:rsid w:val="00F057A8"/>
    <w:rsid w:val="00F060E6"/>
    <w:rsid w:val="00F06FEA"/>
    <w:rsid w:val="00F071CB"/>
    <w:rsid w:val="00F076CE"/>
    <w:rsid w:val="00F104B1"/>
    <w:rsid w:val="00F104C1"/>
    <w:rsid w:val="00F1223A"/>
    <w:rsid w:val="00F130F2"/>
    <w:rsid w:val="00F137DB"/>
    <w:rsid w:val="00F13A8A"/>
    <w:rsid w:val="00F13AFB"/>
    <w:rsid w:val="00F14F1E"/>
    <w:rsid w:val="00F14F61"/>
    <w:rsid w:val="00F1505A"/>
    <w:rsid w:val="00F15325"/>
    <w:rsid w:val="00F15B40"/>
    <w:rsid w:val="00F16831"/>
    <w:rsid w:val="00F203B8"/>
    <w:rsid w:val="00F22297"/>
    <w:rsid w:val="00F225CB"/>
    <w:rsid w:val="00F238AC"/>
    <w:rsid w:val="00F24AB4"/>
    <w:rsid w:val="00F2550B"/>
    <w:rsid w:val="00F26BA9"/>
    <w:rsid w:val="00F305D5"/>
    <w:rsid w:val="00F30A21"/>
    <w:rsid w:val="00F32008"/>
    <w:rsid w:val="00F32C51"/>
    <w:rsid w:val="00F3388B"/>
    <w:rsid w:val="00F35BC6"/>
    <w:rsid w:val="00F35E76"/>
    <w:rsid w:val="00F3650D"/>
    <w:rsid w:val="00F36C89"/>
    <w:rsid w:val="00F372C8"/>
    <w:rsid w:val="00F40814"/>
    <w:rsid w:val="00F41E16"/>
    <w:rsid w:val="00F42AF3"/>
    <w:rsid w:val="00F42BA2"/>
    <w:rsid w:val="00F42E29"/>
    <w:rsid w:val="00F43724"/>
    <w:rsid w:val="00F45372"/>
    <w:rsid w:val="00F472C6"/>
    <w:rsid w:val="00F4785C"/>
    <w:rsid w:val="00F47988"/>
    <w:rsid w:val="00F501DF"/>
    <w:rsid w:val="00F5031D"/>
    <w:rsid w:val="00F50408"/>
    <w:rsid w:val="00F50F37"/>
    <w:rsid w:val="00F51E2E"/>
    <w:rsid w:val="00F52D6E"/>
    <w:rsid w:val="00F53067"/>
    <w:rsid w:val="00F5396F"/>
    <w:rsid w:val="00F5417E"/>
    <w:rsid w:val="00F54558"/>
    <w:rsid w:val="00F55867"/>
    <w:rsid w:val="00F56D05"/>
    <w:rsid w:val="00F57BC5"/>
    <w:rsid w:val="00F611A6"/>
    <w:rsid w:val="00F62A31"/>
    <w:rsid w:val="00F636B7"/>
    <w:rsid w:val="00F63959"/>
    <w:rsid w:val="00F63D61"/>
    <w:rsid w:val="00F64A1D"/>
    <w:rsid w:val="00F656C3"/>
    <w:rsid w:val="00F66204"/>
    <w:rsid w:val="00F6647A"/>
    <w:rsid w:val="00F715F4"/>
    <w:rsid w:val="00F7271E"/>
    <w:rsid w:val="00F7312A"/>
    <w:rsid w:val="00F75B5D"/>
    <w:rsid w:val="00F7738A"/>
    <w:rsid w:val="00F800E7"/>
    <w:rsid w:val="00F80ED5"/>
    <w:rsid w:val="00F81542"/>
    <w:rsid w:val="00F82DCD"/>
    <w:rsid w:val="00F8694F"/>
    <w:rsid w:val="00F92598"/>
    <w:rsid w:val="00F929DA"/>
    <w:rsid w:val="00F93C5B"/>
    <w:rsid w:val="00F955FB"/>
    <w:rsid w:val="00F95AEB"/>
    <w:rsid w:val="00FA0A48"/>
    <w:rsid w:val="00FA1800"/>
    <w:rsid w:val="00FA1B20"/>
    <w:rsid w:val="00FA20AC"/>
    <w:rsid w:val="00FA32DA"/>
    <w:rsid w:val="00FA4238"/>
    <w:rsid w:val="00FA5F02"/>
    <w:rsid w:val="00FA6087"/>
    <w:rsid w:val="00FA61FA"/>
    <w:rsid w:val="00FA65DC"/>
    <w:rsid w:val="00FA67E9"/>
    <w:rsid w:val="00FA684D"/>
    <w:rsid w:val="00FA7B81"/>
    <w:rsid w:val="00FA7EF9"/>
    <w:rsid w:val="00FB0B08"/>
    <w:rsid w:val="00FB3886"/>
    <w:rsid w:val="00FB435F"/>
    <w:rsid w:val="00FB45DB"/>
    <w:rsid w:val="00FB4AB2"/>
    <w:rsid w:val="00FB4F35"/>
    <w:rsid w:val="00FB548D"/>
    <w:rsid w:val="00FB5C30"/>
    <w:rsid w:val="00FB5FCA"/>
    <w:rsid w:val="00FB60E3"/>
    <w:rsid w:val="00FC0469"/>
    <w:rsid w:val="00FC0998"/>
    <w:rsid w:val="00FC245D"/>
    <w:rsid w:val="00FC2DCE"/>
    <w:rsid w:val="00FC3CD3"/>
    <w:rsid w:val="00FC52C7"/>
    <w:rsid w:val="00FC604A"/>
    <w:rsid w:val="00FC7D00"/>
    <w:rsid w:val="00FD1B68"/>
    <w:rsid w:val="00FD2883"/>
    <w:rsid w:val="00FD45EA"/>
    <w:rsid w:val="00FD489B"/>
    <w:rsid w:val="00FD5A8B"/>
    <w:rsid w:val="00FD62BA"/>
    <w:rsid w:val="00FD6D4E"/>
    <w:rsid w:val="00FE1897"/>
    <w:rsid w:val="00FE2048"/>
    <w:rsid w:val="00FE3041"/>
    <w:rsid w:val="00FE349D"/>
    <w:rsid w:val="00FE466A"/>
    <w:rsid w:val="00FE48AB"/>
    <w:rsid w:val="00FE63CB"/>
    <w:rsid w:val="00FE6D05"/>
    <w:rsid w:val="00FE6DDC"/>
    <w:rsid w:val="00FE7AC5"/>
    <w:rsid w:val="00FE7B90"/>
    <w:rsid w:val="00FF18FB"/>
    <w:rsid w:val="00FF3548"/>
    <w:rsid w:val="00FF3A9B"/>
    <w:rsid w:val="00FF4CE2"/>
    <w:rsid w:val="010A32F0"/>
    <w:rsid w:val="01653C43"/>
    <w:rsid w:val="02107B5C"/>
    <w:rsid w:val="028C55DD"/>
    <w:rsid w:val="02D4312D"/>
    <w:rsid w:val="0333774C"/>
    <w:rsid w:val="03666B5A"/>
    <w:rsid w:val="037C44AF"/>
    <w:rsid w:val="04372CA8"/>
    <w:rsid w:val="04425600"/>
    <w:rsid w:val="04601CA9"/>
    <w:rsid w:val="046F3736"/>
    <w:rsid w:val="057933F7"/>
    <w:rsid w:val="05B178E3"/>
    <w:rsid w:val="06011770"/>
    <w:rsid w:val="060B328B"/>
    <w:rsid w:val="061331A3"/>
    <w:rsid w:val="07262474"/>
    <w:rsid w:val="072D1343"/>
    <w:rsid w:val="07C60F85"/>
    <w:rsid w:val="08482EC1"/>
    <w:rsid w:val="08525F08"/>
    <w:rsid w:val="0962402C"/>
    <w:rsid w:val="09BA5194"/>
    <w:rsid w:val="0A12155D"/>
    <w:rsid w:val="0A375B31"/>
    <w:rsid w:val="0C383023"/>
    <w:rsid w:val="0CFC48D1"/>
    <w:rsid w:val="0E2E3EEC"/>
    <w:rsid w:val="0E6F10BC"/>
    <w:rsid w:val="0F3F5408"/>
    <w:rsid w:val="0F6C228C"/>
    <w:rsid w:val="104F3C6E"/>
    <w:rsid w:val="1101153C"/>
    <w:rsid w:val="11511160"/>
    <w:rsid w:val="12504D05"/>
    <w:rsid w:val="13456EB3"/>
    <w:rsid w:val="142E5A78"/>
    <w:rsid w:val="159D03F5"/>
    <w:rsid w:val="15BD39A8"/>
    <w:rsid w:val="15BD7B36"/>
    <w:rsid w:val="1603440C"/>
    <w:rsid w:val="16760333"/>
    <w:rsid w:val="16B8447E"/>
    <w:rsid w:val="16BC42DB"/>
    <w:rsid w:val="17314A2D"/>
    <w:rsid w:val="18BA7D50"/>
    <w:rsid w:val="1900173C"/>
    <w:rsid w:val="1919733A"/>
    <w:rsid w:val="194E79EE"/>
    <w:rsid w:val="19632314"/>
    <w:rsid w:val="197F60F8"/>
    <w:rsid w:val="1B466E13"/>
    <w:rsid w:val="1B7D3A59"/>
    <w:rsid w:val="1C07351B"/>
    <w:rsid w:val="1DE37A6B"/>
    <w:rsid w:val="1E4B21E5"/>
    <w:rsid w:val="1ECA0940"/>
    <w:rsid w:val="1EDC3AC2"/>
    <w:rsid w:val="1FF31D83"/>
    <w:rsid w:val="20D153E2"/>
    <w:rsid w:val="21417BBB"/>
    <w:rsid w:val="218B28D6"/>
    <w:rsid w:val="226E48F4"/>
    <w:rsid w:val="22CC7306"/>
    <w:rsid w:val="23105431"/>
    <w:rsid w:val="233A69CA"/>
    <w:rsid w:val="23D5439F"/>
    <w:rsid w:val="240F1DF7"/>
    <w:rsid w:val="249B061C"/>
    <w:rsid w:val="254259F1"/>
    <w:rsid w:val="25AE21DE"/>
    <w:rsid w:val="27261ABB"/>
    <w:rsid w:val="272E5593"/>
    <w:rsid w:val="27864EE7"/>
    <w:rsid w:val="286A44B4"/>
    <w:rsid w:val="294C2026"/>
    <w:rsid w:val="2B453DB1"/>
    <w:rsid w:val="2B8D2C6F"/>
    <w:rsid w:val="2BF27A28"/>
    <w:rsid w:val="2F2634F6"/>
    <w:rsid w:val="2F8111E1"/>
    <w:rsid w:val="2FA16275"/>
    <w:rsid w:val="301669ED"/>
    <w:rsid w:val="30E57AFE"/>
    <w:rsid w:val="30F93C52"/>
    <w:rsid w:val="314B5B2D"/>
    <w:rsid w:val="31AA76EF"/>
    <w:rsid w:val="31E97560"/>
    <w:rsid w:val="32202B8F"/>
    <w:rsid w:val="3312101D"/>
    <w:rsid w:val="333117AB"/>
    <w:rsid w:val="337D3B92"/>
    <w:rsid w:val="33F9467B"/>
    <w:rsid w:val="34A80487"/>
    <w:rsid w:val="34C440BC"/>
    <w:rsid w:val="34D9542F"/>
    <w:rsid w:val="354C51E4"/>
    <w:rsid w:val="35537C19"/>
    <w:rsid w:val="359A566F"/>
    <w:rsid w:val="36BA5AAE"/>
    <w:rsid w:val="375F4F50"/>
    <w:rsid w:val="37A94A71"/>
    <w:rsid w:val="387311A0"/>
    <w:rsid w:val="39057B3E"/>
    <w:rsid w:val="390B168F"/>
    <w:rsid w:val="3A4253AF"/>
    <w:rsid w:val="3ADF780E"/>
    <w:rsid w:val="3B31149A"/>
    <w:rsid w:val="3C7445C0"/>
    <w:rsid w:val="3C82303A"/>
    <w:rsid w:val="3CD2520D"/>
    <w:rsid w:val="3D2F3816"/>
    <w:rsid w:val="3D662619"/>
    <w:rsid w:val="3D6E0245"/>
    <w:rsid w:val="3E422702"/>
    <w:rsid w:val="3F2672E1"/>
    <w:rsid w:val="3F7A3757"/>
    <w:rsid w:val="3F833896"/>
    <w:rsid w:val="3FB7922A"/>
    <w:rsid w:val="4033757C"/>
    <w:rsid w:val="409A7415"/>
    <w:rsid w:val="4138409A"/>
    <w:rsid w:val="41C07489"/>
    <w:rsid w:val="424A433D"/>
    <w:rsid w:val="424B1882"/>
    <w:rsid w:val="443E2DB6"/>
    <w:rsid w:val="44DF5F29"/>
    <w:rsid w:val="450902BE"/>
    <w:rsid w:val="459F2980"/>
    <w:rsid w:val="46CB12A4"/>
    <w:rsid w:val="478F59E1"/>
    <w:rsid w:val="47D95A21"/>
    <w:rsid w:val="48360ECA"/>
    <w:rsid w:val="484B775B"/>
    <w:rsid w:val="488A7DA1"/>
    <w:rsid w:val="48CD6036"/>
    <w:rsid w:val="4998236C"/>
    <w:rsid w:val="4C6306E7"/>
    <w:rsid w:val="4D58305C"/>
    <w:rsid w:val="4DB07E00"/>
    <w:rsid w:val="4DB3157B"/>
    <w:rsid w:val="4F9667B6"/>
    <w:rsid w:val="4FA0479A"/>
    <w:rsid w:val="514C3B1D"/>
    <w:rsid w:val="521720FD"/>
    <w:rsid w:val="52E63773"/>
    <w:rsid w:val="531E6336"/>
    <w:rsid w:val="5376059B"/>
    <w:rsid w:val="53FE2E90"/>
    <w:rsid w:val="5594029C"/>
    <w:rsid w:val="55952C3A"/>
    <w:rsid w:val="559B7A75"/>
    <w:rsid w:val="55DF6CC3"/>
    <w:rsid w:val="56105E40"/>
    <w:rsid w:val="567F61F6"/>
    <w:rsid w:val="57A25B5B"/>
    <w:rsid w:val="57AD6573"/>
    <w:rsid w:val="57B83170"/>
    <w:rsid w:val="592668D6"/>
    <w:rsid w:val="59583A76"/>
    <w:rsid w:val="59B0158A"/>
    <w:rsid w:val="5AFE5F45"/>
    <w:rsid w:val="5B687259"/>
    <w:rsid w:val="5BFC8D6F"/>
    <w:rsid w:val="5C056F97"/>
    <w:rsid w:val="5C136463"/>
    <w:rsid w:val="5C8502BE"/>
    <w:rsid w:val="5CCA2307"/>
    <w:rsid w:val="5F73441E"/>
    <w:rsid w:val="5FEB280C"/>
    <w:rsid w:val="5FFF02A6"/>
    <w:rsid w:val="60B562DB"/>
    <w:rsid w:val="616C7975"/>
    <w:rsid w:val="617172A2"/>
    <w:rsid w:val="61863EF1"/>
    <w:rsid w:val="61A04B43"/>
    <w:rsid w:val="622950C7"/>
    <w:rsid w:val="63105457"/>
    <w:rsid w:val="64E2625D"/>
    <w:rsid w:val="64FB74FB"/>
    <w:rsid w:val="654E5281"/>
    <w:rsid w:val="65B55790"/>
    <w:rsid w:val="66BB1938"/>
    <w:rsid w:val="66DF5675"/>
    <w:rsid w:val="67695D70"/>
    <w:rsid w:val="67831843"/>
    <w:rsid w:val="67EE740C"/>
    <w:rsid w:val="68291780"/>
    <w:rsid w:val="684549BC"/>
    <w:rsid w:val="684B47D6"/>
    <w:rsid w:val="68AF3751"/>
    <w:rsid w:val="68C12039"/>
    <w:rsid w:val="692109E6"/>
    <w:rsid w:val="698869DE"/>
    <w:rsid w:val="6B280551"/>
    <w:rsid w:val="6BC4437E"/>
    <w:rsid w:val="6BCA6218"/>
    <w:rsid w:val="6C231DEF"/>
    <w:rsid w:val="6D993991"/>
    <w:rsid w:val="6DEB2465"/>
    <w:rsid w:val="6E4305E1"/>
    <w:rsid w:val="6EF2562D"/>
    <w:rsid w:val="6F6860A6"/>
    <w:rsid w:val="71770FB9"/>
    <w:rsid w:val="724845BB"/>
    <w:rsid w:val="72490332"/>
    <w:rsid w:val="72585492"/>
    <w:rsid w:val="729F0C6B"/>
    <w:rsid w:val="72DC3BA4"/>
    <w:rsid w:val="732775D8"/>
    <w:rsid w:val="73BE4AFE"/>
    <w:rsid w:val="7511499B"/>
    <w:rsid w:val="755523CC"/>
    <w:rsid w:val="757735AA"/>
    <w:rsid w:val="757E794D"/>
    <w:rsid w:val="758711F7"/>
    <w:rsid w:val="762A164A"/>
    <w:rsid w:val="76736F89"/>
    <w:rsid w:val="77067579"/>
    <w:rsid w:val="77424F14"/>
    <w:rsid w:val="77C37461"/>
    <w:rsid w:val="77E46B9D"/>
    <w:rsid w:val="789B38C4"/>
    <w:rsid w:val="78CB66E0"/>
    <w:rsid w:val="78EE2E9F"/>
    <w:rsid w:val="7921037A"/>
    <w:rsid w:val="799A6677"/>
    <w:rsid w:val="79C60265"/>
    <w:rsid w:val="79C65F5E"/>
    <w:rsid w:val="7A6424D0"/>
    <w:rsid w:val="7A95479A"/>
    <w:rsid w:val="7B4F7EE5"/>
    <w:rsid w:val="7B6A44CF"/>
    <w:rsid w:val="7C6ED532"/>
    <w:rsid w:val="7CD922D0"/>
    <w:rsid w:val="7DAEFFE0"/>
    <w:rsid w:val="7E3BF063"/>
    <w:rsid w:val="7E4F6A09"/>
    <w:rsid w:val="7EDA4DF2"/>
    <w:rsid w:val="7EE72A38"/>
    <w:rsid w:val="7EEE4010"/>
    <w:rsid w:val="7EFFD11E"/>
    <w:rsid w:val="7F51572C"/>
    <w:rsid w:val="7FC39A57"/>
    <w:rsid w:val="7FD2736B"/>
    <w:rsid w:val="7FE91E78"/>
    <w:rsid w:val="7FFEDEC6"/>
    <w:rsid w:val="7FFF6C95"/>
    <w:rsid w:val="7FFFB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C1467B"/>
  <w15:docId w15:val="{D6728D10-31DB-43E5-A010-ACB2A7F4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3" w:uiPriority="39" w:unhideWhenUsed="1" w:qFormat="1"/>
    <w:lsdException w:name="Normal Indent" w:qFormat="1"/>
    <w:lsdException w:name="footnote text" w:uiPriority="99" w:unhideWhenUsed="1" w:qFormat="1"/>
    <w:lsdException w:name="annotation text" w:uiPriority="99" w:qFormat="1"/>
    <w:lsdException w:name="header" w:uiPriority="99" w:qFormat="1"/>
    <w:lsdException w:name="footer" w:uiPriority="99" w:qFormat="1"/>
    <w:lsdException w:name="caption" w:uiPriority="35" w:qFormat="1"/>
    <w:lsdException w:name="footnote reference" w:uiPriority="99" w:unhideWhenUsed="1" w:qFormat="1"/>
    <w:lsdException w:name="annotation reference" w:uiPriority="99" w:qFormat="1"/>
    <w:lsdException w:name="line number" w:qFormat="1"/>
    <w:lsdException w:name="page number" w:qFormat="1"/>
    <w:lsdException w:name="Title" w:uiPriority="10" w:qFormat="1"/>
    <w:lsdException w:name="Default Paragraph Font" w:semiHidden="1" w:uiPriority="1" w:unhideWhenUsed="1" w:qFormat="1"/>
    <w:lsdException w:name="Body Text" w:uiPriority="1" w:qFormat="1"/>
    <w:lsdException w:name="Subtitle" w:qFormat="1"/>
    <w:lsdException w:name="Date" w:qFormat="1"/>
    <w:lsdException w:name="Hyperlink" w:uiPriority="99"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semiHidden="1"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1"/>
    <w:uiPriority w:val="9"/>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autoSpaceDE w:val="0"/>
      <w:autoSpaceDN w:val="0"/>
      <w:adjustRightInd w:val="0"/>
      <w:ind w:left="964" w:hanging="504"/>
      <w:jc w:val="left"/>
      <w:outlineLvl w:val="2"/>
    </w:pPr>
    <w:rPr>
      <w:b/>
      <w:bCs/>
      <w:kern w:val="0"/>
      <w:sz w:val="28"/>
      <w:szCs w:val="28"/>
      <w:lang w:val="zh-CN"/>
    </w:rPr>
  </w:style>
  <w:style w:type="paragraph" w:styleId="4">
    <w:name w:val="heading 4"/>
    <w:basedOn w:val="a"/>
    <w:next w:val="a"/>
    <w:link w:val="40"/>
    <w:uiPriority w:val="9"/>
    <w:qFormat/>
    <w:pPr>
      <w:keepNext/>
      <w:keepLines/>
      <w:spacing w:before="280" w:after="290" w:line="376" w:lineRule="auto"/>
      <w:outlineLvl w:val="3"/>
    </w:pPr>
    <w:rPr>
      <w:rFonts w:ascii="等线 Light" w:eastAsia="等线 Light" w:hAnsi="等线 Light"/>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Normal Indent"/>
    <w:basedOn w:val="a"/>
    <w:link w:val="a5"/>
    <w:qFormat/>
    <w:pPr>
      <w:ind w:firstLineChars="200" w:firstLine="420"/>
    </w:pPr>
    <w:rPr>
      <w:kern w:val="0"/>
      <w:sz w:val="20"/>
    </w:rPr>
  </w:style>
  <w:style w:type="paragraph" w:styleId="a6">
    <w:name w:val="caption"/>
    <w:basedOn w:val="a"/>
    <w:next w:val="a"/>
    <w:uiPriority w:val="35"/>
    <w:qFormat/>
    <w:pPr>
      <w:spacing w:line="360" w:lineRule="auto"/>
      <w:ind w:firstLineChars="200" w:firstLine="200"/>
      <w:jc w:val="center"/>
    </w:pPr>
    <w:rPr>
      <w:rFonts w:ascii="Cambria" w:hAnsi="Cambria" w:cs="宋体"/>
      <w:b/>
      <w:szCs w:val="28"/>
    </w:rPr>
  </w:style>
  <w:style w:type="paragraph" w:styleId="a7">
    <w:name w:val="annotation text"/>
    <w:basedOn w:val="a"/>
    <w:link w:val="a8"/>
    <w:uiPriority w:val="99"/>
    <w:qFormat/>
    <w:pPr>
      <w:jc w:val="left"/>
    </w:pPr>
  </w:style>
  <w:style w:type="paragraph" w:styleId="a9">
    <w:name w:val="Body Text"/>
    <w:basedOn w:val="a"/>
    <w:link w:val="aa"/>
    <w:uiPriority w:val="1"/>
    <w:qFormat/>
    <w:pPr>
      <w:autoSpaceDE w:val="0"/>
      <w:autoSpaceDN w:val="0"/>
      <w:adjustRightInd w:val="0"/>
      <w:ind w:left="840" w:hanging="361"/>
      <w:jc w:val="left"/>
    </w:pPr>
    <w:rPr>
      <w:kern w:val="0"/>
      <w:sz w:val="24"/>
      <w:lang w:val="zh-CN"/>
    </w:rPr>
  </w:style>
  <w:style w:type="paragraph" w:styleId="31">
    <w:name w:val="toc 3"/>
    <w:basedOn w:val="a"/>
    <w:next w:val="a"/>
    <w:uiPriority w:val="39"/>
    <w:unhideWhenUsed/>
    <w:qFormat/>
    <w:pPr>
      <w:ind w:leftChars="400" w:left="840"/>
    </w:pPr>
  </w:style>
  <w:style w:type="paragraph" w:styleId="ab">
    <w:name w:val="Plain Text"/>
    <w:basedOn w:val="a"/>
    <w:link w:val="ac"/>
    <w:qFormat/>
    <w:rPr>
      <w:rFonts w:ascii="宋体" w:hAnsi="Courier New"/>
      <w:kern w:val="0"/>
      <w:sz w:val="20"/>
      <w:szCs w:val="21"/>
    </w:rPr>
  </w:style>
  <w:style w:type="paragraph" w:styleId="ad">
    <w:name w:val="Date"/>
    <w:basedOn w:val="a"/>
    <w:next w:val="a"/>
    <w:link w:val="ae"/>
    <w:qFormat/>
    <w:pPr>
      <w:ind w:leftChars="2500" w:left="100"/>
    </w:pPr>
  </w:style>
  <w:style w:type="paragraph" w:styleId="af">
    <w:name w:val="Balloon Text"/>
    <w:basedOn w:val="a"/>
    <w:link w:val="af0"/>
    <w:uiPriority w:val="99"/>
    <w:qFormat/>
    <w:rPr>
      <w:sz w:val="18"/>
      <w:szCs w:val="18"/>
    </w:rPr>
  </w:style>
  <w:style w:type="paragraph" w:styleId="af1">
    <w:name w:val="footer"/>
    <w:basedOn w:val="a"/>
    <w:link w:val="af2"/>
    <w:uiPriority w:val="99"/>
    <w:qFormat/>
    <w:pPr>
      <w:tabs>
        <w:tab w:val="center" w:pos="4153"/>
        <w:tab w:val="right" w:pos="8306"/>
      </w:tabs>
      <w:snapToGrid w:val="0"/>
      <w:jc w:val="left"/>
    </w:pPr>
    <w:rPr>
      <w:sz w:val="18"/>
      <w:szCs w:val="18"/>
    </w:rPr>
  </w:style>
  <w:style w:type="paragraph" w:styleId="af3">
    <w:name w:val="header"/>
    <w:basedOn w:val="a"/>
    <w:link w:val="af4"/>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af5">
    <w:name w:val="footnote text"/>
    <w:basedOn w:val="a"/>
    <w:link w:val="af6"/>
    <w:uiPriority w:val="99"/>
    <w:unhideWhenUsed/>
    <w:qFormat/>
    <w:pPr>
      <w:snapToGrid w:val="0"/>
      <w:jc w:val="left"/>
    </w:pPr>
    <w:rPr>
      <w:sz w:val="18"/>
    </w:rPr>
  </w:style>
  <w:style w:type="paragraph" w:styleId="af7">
    <w:name w:val="Normal (Web)"/>
    <w:basedOn w:val="a"/>
    <w:uiPriority w:val="99"/>
    <w:qFormat/>
    <w:pPr>
      <w:spacing w:before="42" w:after="42"/>
      <w:jc w:val="left"/>
    </w:pPr>
    <w:rPr>
      <w:kern w:val="0"/>
      <w:sz w:val="24"/>
    </w:rPr>
  </w:style>
  <w:style w:type="paragraph" w:styleId="af8">
    <w:name w:val="Title"/>
    <w:basedOn w:val="a"/>
    <w:next w:val="a"/>
    <w:link w:val="af9"/>
    <w:uiPriority w:val="10"/>
    <w:qFormat/>
    <w:pPr>
      <w:spacing w:before="240" w:after="60"/>
      <w:jc w:val="center"/>
      <w:outlineLvl w:val="0"/>
    </w:pPr>
    <w:rPr>
      <w:rFonts w:ascii="Cambria" w:hAnsi="Cambria"/>
      <w:b/>
      <w:bCs/>
      <w:sz w:val="32"/>
      <w:szCs w:val="32"/>
    </w:rPr>
  </w:style>
  <w:style w:type="paragraph" w:styleId="afa">
    <w:name w:val="annotation subject"/>
    <w:basedOn w:val="a7"/>
    <w:next w:val="a7"/>
    <w:link w:val="afb"/>
    <w:uiPriority w:val="99"/>
    <w:qFormat/>
    <w:rPr>
      <w:b/>
      <w:bCs/>
    </w:rPr>
  </w:style>
  <w:style w:type="table" w:styleId="afc">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qFormat/>
    <w:rPr>
      <w:b/>
      <w:bCs/>
    </w:rPr>
  </w:style>
  <w:style w:type="character" w:styleId="afe">
    <w:name w:val="page number"/>
    <w:qFormat/>
  </w:style>
  <w:style w:type="character" w:styleId="aff">
    <w:name w:val="FollowedHyperlink"/>
    <w:qFormat/>
    <w:rPr>
      <w:color w:val="337AB7"/>
      <w:u w:val="none"/>
    </w:rPr>
  </w:style>
  <w:style w:type="character" w:styleId="aff0">
    <w:name w:val="line number"/>
    <w:qFormat/>
  </w:style>
  <w:style w:type="character" w:styleId="HTML">
    <w:name w:val="HTML Definition"/>
    <w:qFormat/>
    <w:rPr>
      <w:i/>
    </w:rPr>
  </w:style>
  <w:style w:type="character" w:styleId="aff1">
    <w:name w:val="Hyperlink"/>
    <w:uiPriority w:val="99"/>
    <w:qFormat/>
    <w:rPr>
      <w:color w:val="337AB7"/>
      <w:u w:val="none"/>
    </w:rPr>
  </w:style>
  <w:style w:type="character" w:styleId="HTML0">
    <w:name w:val="HTML Code"/>
    <w:qFormat/>
    <w:rPr>
      <w:rFonts w:ascii="Consolas" w:eastAsia="Consolas" w:hAnsi="Consolas" w:cs="Consolas"/>
      <w:color w:val="C7254E"/>
      <w:sz w:val="21"/>
      <w:szCs w:val="21"/>
      <w:shd w:val="clear" w:color="auto" w:fill="F9F2F4"/>
    </w:rPr>
  </w:style>
  <w:style w:type="character" w:styleId="aff2">
    <w:name w:val="annotation reference"/>
    <w:uiPriority w:val="99"/>
    <w:qFormat/>
    <w:rPr>
      <w:sz w:val="21"/>
      <w:szCs w:val="21"/>
    </w:rPr>
  </w:style>
  <w:style w:type="character" w:styleId="aff3">
    <w:name w:val="footnote reference"/>
    <w:uiPriority w:val="99"/>
    <w:unhideWhenUsed/>
    <w:qFormat/>
    <w:rPr>
      <w:vertAlign w:val="superscript"/>
    </w:rPr>
  </w:style>
  <w:style w:type="character" w:styleId="HTML1">
    <w:name w:val="HTML Keyboard"/>
    <w:qFormat/>
    <w:rPr>
      <w:rFonts w:ascii="Consolas" w:eastAsia="Consolas" w:hAnsi="Consolas" w:cs="Consolas" w:hint="default"/>
      <w:color w:val="FFFFFF"/>
      <w:sz w:val="21"/>
      <w:szCs w:val="21"/>
      <w:shd w:val="clear" w:color="auto" w:fill="333333"/>
    </w:rPr>
  </w:style>
  <w:style w:type="character" w:styleId="HTML2">
    <w:name w:val="HTML Sample"/>
    <w:qFormat/>
    <w:rPr>
      <w:rFonts w:ascii="Consolas" w:eastAsia="Consolas" w:hAnsi="Consolas" w:cs="Consolas" w:hint="default"/>
      <w:sz w:val="21"/>
      <w:szCs w:val="21"/>
    </w:rPr>
  </w:style>
  <w:style w:type="character" w:customStyle="1" w:styleId="a8">
    <w:name w:val="批注文字 字符"/>
    <w:link w:val="a7"/>
    <w:uiPriority w:val="99"/>
    <w:qFormat/>
    <w:rPr>
      <w:kern w:val="2"/>
      <w:sz w:val="21"/>
      <w:szCs w:val="24"/>
    </w:rPr>
  </w:style>
  <w:style w:type="character" w:customStyle="1" w:styleId="10">
    <w:name w:val="标题 1 字符"/>
    <w:link w:val="1"/>
    <w:uiPriority w:val="9"/>
    <w:qFormat/>
    <w:rPr>
      <w:b/>
      <w:bCs/>
      <w:kern w:val="44"/>
      <w:sz w:val="44"/>
      <w:szCs w:val="44"/>
    </w:rPr>
  </w:style>
  <w:style w:type="character" w:customStyle="1" w:styleId="21">
    <w:name w:val="标题 2 字符1"/>
    <w:link w:val="2"/>
    <w:semiHidden/>
    <w:qFormat/>
    <w:rPr>
      <w:rFonts w:ascii="等线 Light" w:eastAsia="等线 Light" w:hAnsi="等线 Light" w:cs="Times New Roman"/>
      <w:b/>
      <w:bCs/>
      <w:kern w:val="2"/>
      <w:sz w:val="32"/>
      <w:szCs w:val="32"/>
    </w:rPr>
  </w:style>
  <w:style w:type="character" w:customStyle="1" w:styleId="30">
    <w:name w:val="标题 3 字符"/>
    <w:link w:val="3"/>
    <w:qFormat/>
    <w:rPr>
      <w:b/>
      <w:bCs/>
      <w:sz w:val="28"/>
      <w:szCs w:val="28"/>
      <w:lang w:val="zh-CN"/>
    </w:rPr>
  </w:style>
  <w:style w:type="character" w:customStyle="1" w:styleId="40">
    <w:name w:val="标题 4 字符"/>
    <w:link w:val="4"/>
    <w:uiPriority w:val="9"/>
    <w:qFormat/>
    <w:rPr>
      <w:rFonts w:ascii="等线 Light" w:eastAsia="等线 Light" w:hAnsi="等线 Light" w:cs="Times New Roman"/>
      <w:b/>
      <w:bCs/>
      <w:kern w:val="2"/>
      <w:sz w:val="28"/>
      <w:szCs w:val="28"/>
    </w:rPr>
  </w:style>
  <w:style w:type="character" w:customStyle="1" w:styleId="a5">
    <w:name w:val="正文缩进 字符"/>
    <w:link w:val="a4"/>
    <w:qFormat/>
    <w:locked/>
    <w:rPr>
      <w:szCs w:val="24"/>
    </w:rPr>
  </w:style>
  <w:style w:type="character" w:customStyle="1" w:styleId="aa">
    <w:name w:val="正文文本 字符"/>
    <w:link w:val="a9"/>
    <w:uiPriority w:val="1"/>
    <w:qFormat/>
    <w:rPr>
      <w:sz w:val="24"/>
      <w:szCs w:val="24"/>
      <w:lang w:val="zh-CN"/>
    </w:rPr>
  </w:style>
  <w:style w:type="character" w:customStyle="1" w:styleId="ac">
    <w:name w:val="纯文本 字符"/>
    <w:link w:val="ab"/>
    <w:qFormat/>
    <w:rPr>
      <w:rFonts w:ascii="宋体" w:hAnsi="Courier New"/>
      <w:szCs w:val="21"/>
    </w:rPr>
  </w:style>
  <w:style w:type="character" w:customStyle="1" w:styleId="ae">
    <w:name w:val="日期 字符"/>
    <w:link w:val="ad"/>
    <w:qFormat/>
    <w:rPr>
      <w:kern w:val="2"/>
      <w:sz w:val="21"/>
      <w:szCs w:val="24"/>
    </w:rPr>
  </w:style>
  <w:style w:type="character" w:customStyle="1" w:styleId="af0">
    <w:name w:val="批注框文本 字符"/>
    <w:link w:val="af"/>
    <w:uiPriority w:val="99"/>
    <w:qFormat/>
    <w:rPr>
      <w:kern w:val="2"/>
      <w:sz w:val="18"/>
      <w:szCs w:val="18"/>
    </w:rPr>
  </w:style>
  <w:style w:type="character" w:customStyle="1" w:styleId="af2">
    <w:name w:val="页脚 字符"/>
    <w:link w:val="af1"/>
    <w:uiPriority w:val="99"/>
    <w:qFormat/>
    <w:rPr>
      <w:kern w:val="2"/>
      <w:sz w:val="18"/>
      <w:szCs w:val="18"/>
    </w:rPr>
  </w:style>
  <w:style w:type="character" w:customStyle="1" w:styleId="af4">
    <w:name w:val="页眉 字符"/>
    <w:link w:val="af3"/>
    <w:uiPriority w:val="99"/>
    <w:qFormat/>
    <w:rPr>
      <w:kern w:val="2"/>
      <w:sz w:val="18"/>
      <w:szCs w:val="18"/>
    </w:rPr>
  </w:style>
  <w:style w:type="character" w:customStyle="1" w:styleId="af6">
    <w:name w:val="脚注文本 字符"/>
    <w:link w:val="af5"/>
    <w:uiPriority w:val="99"/>
    <w:qFormat/>
    <w:rPr>
      <w:kern w:val="2"/>
      <w:sz w:val="18"/>
      <w:szCs w:val="24"/>
    </w:rPr>
  </w:style>
  <w:style w:type="character" w:customStyle="1" w:styleId="af9">
    <w:name w:val="标题 字符"/>
    <w:link w:val="af8"/>
    <w:uiPriority w:val="10"/>
    <w:qFormat/>
    <w:rPr>
      <w:rFonts w:ascii="Cambria" w:hAnsi="Cambria"/>
      <w:b/>
      <w:bCs/>
      <w:kern w:val="2"/>
      <w:sz w:val="32"/>
      <w:szCs w:val="32"/>
    </w:rPr>
  </w:style>
  <w:style w:type="character" w:customStyle="1" w:styleId="afb">
    <w:name w:val="批注主题 字符"/>
    <w:link w:val="afa"/>
    <w:uiPriority w:val="99"/>
    <w:qFormat/>
    <w:rPr>
      <w:b/>
      <w:bCs/>
      <w:kern w:val="2"/>
      <w:sz w:val="21"/>
      <w:szCs w:val="24"/>
    </w:rPr>
  </w:style>
  <w:style w:type="character" w:customStyle="1" w:styleId="20">
    <w:name w:val="标题 2 字符"/>
    <w:uiPriority w:val="9"/>
    <w:semiHidden/>
    <w:qFormat/>
    <w:rPr>
      <w:rFonts w:ascii="Cambria" w:eastAsia="宋体" w:hAnsi="Cambria" w:cs="Times New Roman"/>
      <w:b/>
      <w:bCs/>
      <w:sz w:val="32"/>
      <w:szCs w:val="32"/>
    </w:rPr>
  </w:style>
  <w:style w:type="character" w:customStyle="1" w:styleId="shoulihao">
    <w:name w:val="shoulihao"/>
    <w:qFormat/>
    <w:rPr>
      <w:b/>
      <w:color w:val="2884CD"/>
    </w:rPr>
  </w:style>
  <w:style w:type="character" w:customStyle="1" w:styleId="time">
    <w:name w:val="time"/>
    <w:qFormat/>
    <w:rPr>
      <w:b/>
      <w:color w:val="2884CD"/>
    </w:rPr>
  </w:style>
  <w:style w:type="character" w:customStyle="1" w:styleId="help2">
    <w:name w:val="help2"/>
    <w:qFormat/>
    <w:rPr>
      <w:sz w:val="8"/>
      <w:szCs w:val="8"/>
    </w:rPr>
  </w:style>
  <w:style w:type="character" w:customStyle="1" w:styleId="download">
    <w:name w:val="download"/>
    <w:qFormat/>
    <w:rPr>
      <w:color w:val="FFFFFF"/>
      <w:sz w:val="10"/>
      <w:szCs w:val="10"/>
      <w:shd w:val="clear" w:color="auto" w:fill="9EABBE"/>
    </w:rPr>
  </w:style>
  <w:style w:type="character" w:customStyle="1" w:styleId="help">
    <w:name w:val="help"/>
    <w:qFormat/>
    <w:rPr>
      <w:color w:val="F44336"/>
    </w:rPr>
  </w:style>
  <w:style w:type="character" w:customStyle="1" w:styleId="avatar-circle">
    <w:name w:val="avatar-circle"/>
    <w:qFormat/>
    <w:rPr>
      <w:color w:val="2779AA"/>
      <w:sz w:val="16"/>
      <w:szCs w:val="16"/>
      <w:bdr w:val="single" w:sz="2" w:space="0" w:color="AED0EA"/>
      <w:shd w:val="clear" w:color="auto" w:fill="D7EBF9"/>
    </w:rPr>
  </w:style>
  <w:style w:type="character" w:customStyle="1" w:styleId="help1">
    <w:name w:val="help1"/>
    <w:qFormat/>
    <w:rPr>
      <w:color w:val="F44336"/>
    </w:rPr>
  </w:style>
  <w:style w:type="paragraph" w:customStyle="1" w:styleId="Aff4">
    <w:name w:val="正文 A"/>
    <w:qFormat/>
    <w:pPr>
      <w:widowControl w:val="0"/>
      <w:pBdr>
        <w:top w:val="none" w:sz="0" w:space="31" w:color="FFFFFF"/>
        <w:left w:val="none" w:sz="0" w:space="31" w:color="FFFFFF"/>
        <w:bottom w:val="none" w:sz="0" w:space="31" w:color="FFFFFF"/>
        <w:right w:val="none" w:sz="0" w:space="31" w:color="FFFFFF"/>
      </w:pBdr>
      <w:jc w:val="both"/>
    </w:pPr>
    <w:rPr>
      <w:rFonts w:eastAsia="Times New Roman" w:cs="Arial Unicode MS"/>
      <w:color w:val="000000"/>
      <w:kern w:val="2"/>
      <w:sz w:val="21"/>
      <w:szCs w:val="21"/>
      <w:u w:color="000000"/>
    </w:rPr>
  </w:style>
  <w:style w:type="paragraph" w:styleId="aff5">
    <w:name w:val="List Paragraph"/>
    <w:basedOn w:val="a"/>
    <w:uiPriority w:val="34"/>
    <w:qFormat/>
    <w:pPr>
      <w:ind w:firstLineChars="200" w:firstLine="420"/>
    </w:pPr>
    <w:rPr>
      <w:rFonts w:ascii="Calibri" w:hAnsi="Calibri"/>
      <w:szCs w:val="22"/>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aff6">
    <w:name w:val="封面标准名称"/>
    <w:qFormat/>
    <w:pPr>
      <w:widowControl w:val="0"/>
      <w:spacing w:line="680" w:lineRule="exact"/>
      <w:jc w:val="center"/>
      <w:textAlignment w:val="center"/>
    </w:pPr>
    <w:rPr>
      <w:rFonts w:ascii="黑体" w:eastAsia="黑体"/>
      <w:sz w:val="52"/>
    </w:rPr>
  </w:style>
  <w:style w:type="paragraph" w:customStyle="1" w:styleId="aff7">
    <w:name w:val="正首悬"/>
    <w:basedOn w:val="a"/>
    <w:qFormat/>
    <w:pPr>
      <w:widowControl/>
      <w:spacing w:line="360" w:lineRule="auto"/>
      <w:ind w:leftChars="200" w:left="300" w:rightChars="200" w:right="200" w:hangingChars="100" w:hanging="100"/>
    </w:pPr>
    <w:rPr>
      <w:rFonts w:ascii="Arial" w:hAnsi="Arial"/>
      <w:kern w:val="0"/>
      <w:szCs w:val="72"/>
    </w:rPr>
  </w:style>
  <w:style w:type="paragraph" w:customStyle="1" w:styleId="aff8">
    <w:name w:val="字母编号列项（一级）"/>
    <w:qFormat/>
    <w:pPr>
      <w:ind w:leftChars="200" w:left="840" w:hangingChars="200" w:hanging="420"/>
      <w:jc w:val="both"/>
    </w:pPr>
    <w:rPr>
      <w:rFonts w:ascii="宋体" w:cs="宋体"/>
    </w:rPr>
  </w:style>
  <w:style w:type="paragraph" w:customStyle="1" w:styleId="-11">
    <w:name w:val="彩色列表 - 强调文字颜色 11"/>
    <w:basedOn w:val="a"/>
    <w:uiPriority w:val="34"/>
    <w:qFormat/>
    <w:pPr>
      <w:spacing w:line="360" w:lineRule="auto"/>
      <w:ind w:firstLineChars="200" w:firstLine="420"/>
      <w:jc w:val="left"/>
    </w:pPr>
    <w:rPr>
      <w:sz w:val="24"/>
    </w:rPr>
  </w:style>
  <w:style w:type="character" w:customStyle="1" w:styleId="Char">
    <w:name w:val="段 Char"/>
    <w:link w:val="aff9"/>
    <w:qFormat/>
    <w:rPr>
      <w:rFonts w:ascii="宋体"/>
      <w:sz w:val="21"/>
      <w:lang w:val="en-US" w:eastAsia="zh-CN" w:bidi="ar-SA"/>
    </w:rPr>
  </w:style>
  <w:style w:type="paragraph" w:customStyle="1" w:styleId="aff9">
    <w:name w:val="段"/>
    <w:link w:val="Char"/>
    <w:qFormat/>
    <w:pPr>
      <w:tabs>
        <w:tab w:val="center" w:pos="4201"/>
        <w:tab w:val="right" w:leader="dot" w:pos="9298"/>
      </w:tabs>
      <w:autoSpaceDE w:val="0"/>
      <w:autoSpaceDN w:val="0"/>
      <w:ind w:firstLineChars="200" w:firstLine="420"/>
      <w:jc w:val="both"/>
    </w:pPr>
    <w:rPr>
      <w:rFonts w:ascii="宋体"/>
      <w:sz w:val="21"/>
    </w:rPr>
  </w:style>
  <w:style w:type="character" w:customStyle="1" w:styleId="fontstyle01">
    <w:name w:val="fontstyle01"/>
    <w:qFormat/>
    <w:rPr>
      <w:rFonts w:ascii="ArnoPro-Regular" w:hAnsi="ArnoPro-Regular" w:hint="default"/>
      <w:color w:val="231916"/>
      <w:sz w:val="16"/>
      <w:szCs w:val="16"/>
    </w:rPr>
  </w:style>
  <w:style w:type="character" w:customStyle="1" w:styleId="fontstyle21">
    <w:name w:val="fontstyle21"/>
    <w:qFormat/>
    <w:rPr>
      <w:rFonts w:ascii="ArnoPro-Italic" w:hAnsi="ArnoPro-Italic" w:hint="default"/>
      <w:i/>
      <w:iCs/>
      <w:color w:val="231916"/>
      <w:sz w:val="16"/>
      <w:szCs w:val="16"/>
    </w:rPr>
  </w:style>
  <w:style w:type="paragraph" w:customStyle="1" w:styleId="12">
    <w:name w:val="修订1"/>
    <w:uiPriority w:val="99"/>
    <w:unhideWhenUsed/>
    <w:qFormat/>
    <w:rPr>
      <w:kern w:val="2"/>
      <w:sz w:val="21"/>
      <w:szCs w:val="24"/>
    </w:rPr>
  </w:style>
  <w:style w:type="paragraph" w:customStyle="1" w:styleId="210">
    <w:name w:val="标题 21"/>
    <w:basedOn w:val="a"/>
    <w:next w:val="a"/>
    <w:uiPriority w:val="9"/>
    <w:unhideWhenUsed/>
    <w:qFormat/>
    <w:pPr>
      <w:keepNext/>
      <w:keepLines/>
      <w:spacing w:before="260" w:after="260" w:line="416" w:lineRule="auto"/>
      <w:outlineLvl w:val="1"/>
    </w:pPr>
    <w:rPr>
      <w:rFonts w:ascii="Cambria" w:hAnsi="Cambria"/>
      <w:b/>
      <w:bCs/>
      <w:sz w:val="32"/>
      <w:szCs w:val="32"/>
    </w:rPr>
  </w:style>
  <w:style w:type="paragraph" w:customStyle="1" w:styleId="05Items">
    <w:name w:val="05 ●Items"/>
    <w:basedOn w:val="a"/>
    <w:link w:val="05ItemsChar"/>
    <w:qFormat/>
    <w:pPr>
      <w:widowControl/>
      <w:numPr>
        <w:numId w:val="1"/>
      </w:numPr>
      <w:tabs>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s>
      <w:spacing w:beforeLines="30" w:afterLines="30"/>
      <w:jc w:val="left"/>
    </w:pPr>
    <w:rPr>
      <w:b/>
      <w:snapToGrid w:val="0"/>
      <w:kern w:val="0"/>
      <w:szCs w:val="21"/>
      <w:lang w:val="fr-FR"/>
    </w:rPr>
  </w:style>
  <w:style w:type="character" w:customStyle="1" w:styleId="05ItemsChar">
    <w:name w:val="05 ●Items Char"/>
    <w:link w:val="05Items"/>
    <w:qFormat/>
    <w:rPr>
      <w:b/>
      <w:snapToGrid/>
      <w:sz w:val="21"/>
      <w:szCs w:val="21"/>
      <w:lang w:val="fr-FR"/>
    </w:rPr>
  </w:style>
  <w:style w:type="paragraph" w:customStyle="1" w:styleId="13">
    <w:name w:val="正文缩进1"/>
    <w:basedOn w:val="a"/>
    <w:next w:val="a4"/>
    <w:qFormat/>
    <w:pPr>
      <w:spacing w:before="60"/>
      <w:ind w:firstLineChars="200" w:firstLine="420"/>
    </w:pPr>
    <w:rPr>
      <w:rFonts w:ascii="Calibri" w:hAnsi="Calibri"/>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character" w:customStyle="1" w:styleId="f101">
    <w:name w:val="f101"/>
    <w:qForma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1141</Words>
  <Characters>6504</Characters>
  <Application>Microsoft Office Word</Application>
  <DocSecurity>0</DocSecurity>
  <Lines>54</Lines>
  <Paragraphs>15</Paragraphs>
  <ScaleCrop>false</ScaleCrop>
  <Company>Microsoft</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2019新型冠状病毒技术审评要点</dc:title>
  <dc:creator>dongjinchun</dc:creator>
  <cp:lastModifiedBy>办公室发文</cp:lastModifiedBy>
  <cp:revision>11</cp:revision>
  <cp:lastPrinted>2023-08-25T06:01:00Z</cp:lastPrinted>
  <dcterms:created xsi:type="dcterms:W3CDTF">2025-11-29T14:01:00Z</dcterms:created>
  <dcterms:modified xsi:type="dcterms:W3CDTF">2026-07-20T06:53:00Z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983375B8D7684F2084CAB262DED0D3C5_13</vt:lpwstr>
  </property>
  <property fmtid="{D5CDD505-2E9C-101B-9397-08002B2CF9AE}" pid="4" name="KSOTemplateDocerSaveRecord">
    <vt:lpwstr>eyJoZGlkIjoiODViY2JkMjU3NGYzZTEwMzZmMGFkZWViYmNkYWU3NDIiLCJ1c2VySWQiOiIyMTk0NDEzMjAifQ==</vt:lpwstr>
  </property>
</Properties>
</file>