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AC3" w:rsidRPr="008C3016" w:rsidRDefault="008C3016" w:rsidP="008C3016">
      <w:pPr>
        <w:autoSpaceDE w:val="0"/>
        <w:autoSpaceDN w:val="0"/>
        <w:spacing w:line="520" w:lineRule="exact"/>
        <w:jc w:val="left"/>
        <w:rPr>
          <w:rFonts w:ascii="黑体" w:eastAsia="黑体" w:hAnsi="黑体"/>
          <w:bCs/>
          <w:kern w:val="0"/>
          <w:sz w:val="32"/>
          <w:szCs w:val="32"/>
        </w:rPr>
      </w:pPr>
      <w:r w:rsidRPr="008C3016">
        <w:rPr>
          <w:rFonts w:ascii="黑体" w:eastAsia="黑体" w:hAnsi="黑体" w:hint="eastAsia"/>
          <w:bCs/>
          <w:kern w:val="0"/>
          <w:sz w:val="32"/>
          <w:szCs w:val="32"/>
        </w:rPr>
        <w:t>附件</w:t>
      </w:r>
      <w:r w:rsidRPr="008C3016">
        <w:rPr>
          <w:rFonts w:eastAsia="黑体"/>
          <w:bCs/>
          <w:kern w:val="0"/>
          <w:sz w:val="32"/>
          <w:szCs w:val="32"/>
        </w:rPr>
        <w:t>2</w:t>
      </w:r>
    </w:p>
    <w:p w:rsidR="008C3016" w:rsidRDefault="008C3016" w:rsidP="008C3016">
      <w:pPr>
        <w:autoSpaceDE w:val="0"/>
        <w:autoSpaceDN w:val="0"/>
        <w:spacing w:line="520" w:lineRule="exact"/>
        <w:jc w:val="left"/>
        <w:rPr>
          <w:rFonts w:ascii="方正小标宋简体" w:eastAsia="方正小标宋简体" w:hAnsi="宋体" w:hint="eastAsia"/>
          <w:bCs/>
          <w:kern w:val="0"/>
          <w:sz w:val="44"/>
          <w:szCs w:val="44"/>
        </w:rPr>
      </w:pPr>
    </w:p>
    <w:p w:rsidR="00D31D04" w:rsidRDefault="009F29AF">
      <w:pPr>
        <w:autoSpaceDE w:val="0"/>
        <w:autoSpaceDN w:val="0"/>
        <w:spacing w:line="520" w:lineRule="exact"/>
        <w:jc w:val="center"/>
        <w:rPr>
          <w:rFonts w:ascii="方正小标宋简体" w:eastAsia="方正小标宋简体" w:hAnsi="宋体"/>
          <w:bCs/>
          <w:kern w:val="0"/>
          <w:sz w:val="44"/>
          <w:szCs w:val="44"/>
        </w:rPr>
      </w:pPr>
      <w:r>
        <w:rPr>
          <w:rFonts w:ascii="方正小标宋简体" w:eastAsia="方正小标宋简体" w:hAnsi="宋体" w:hint="eastAsia"/>
          <w:bCs/>
          <w:kern w:val="0"/>
          <w:sz w:val="44"/>
          <w:szCs w:val="44"/>
        </w:rPr>
        <w:t>人KRAS基因突变检测试剂注册审查</w:t>
      </w:r>
    </w:p>
    <w:p w:rsidR="00451AC3" w:rsidRDefault="009F29AF">
      <w:pPr>
        <w:autoSpaceDE w:val="0"/>
        <w:autoSpaceDN w:val="0"/>
        <w:spacing w:line="520" w:lineRule="exact"/>
        <w:jc w:val="center"/>
        <w:rPr>
          <w:rFonts w:ascii="方正小标宋简体" w:eastAsia="方正小标宋简体" w:hAnsi="宋体"/>
          <w:bCs/>
          <w:kern w:val="0"/>
          <w:sz w:val="44"/>
          <w:szCs w:val="44"/>
        </w:rPr>
      </w:pPr>
      <w:r>
        <w:rPr>
          <w:rFonts w:ascii="方正小标宋简体" w:eastAsia="方正小标宋简体" w:hAnsi="宋体" w:hint="eastAsia"/>
          <w:bCs/>
          <w:kern w:val="0"/>
          <w:sz w:val="44"/>
          <w:szCs w:val="44"/>
        </w:rPr>
        <w:t>指导原则</w:t>
      </w:r>
    </w:p>
    <w:p w:rsidR="00451AC3" w:rsidRPr="00460DB1" w:rsidRDefault="00451AC3" w:rsidP="00460DB1">
      <w:pPr>
        <w:autoSpaceDE w:val="0"/>
        <w:autoSpaceDN w:val="0"/>
        <w:adjustRightInd w:val="0"/>
        <w:snapToGrid w:val="0"/>
        <w:spacing w:line="520" w:lineRule="exact"/>
        <w:ind w:firstLineChars="200" w:firstLine="880"/>
        <w:rPr>
          <w:rFonts w:eastAsia="方正小标宋_GBK"/>
          <w:bCs/>
          <w:kern w:val="0"/>
          <w:sz w:val="44"/>
          <w:szCs w:val="44"/>
        </w:rPr>
      </w:pPr>
    </w:p>
    <w:p w:rsidR="00451AC3" w:rsidRPr="00460DB1" w:rsidRDefault="009F29AF" w:rsidP="00460DB1">
      <w:pPr>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本指导原则旨在指导注册申请人对人</w:t>
      </w:r>
      <w:r w:rsidRPr="00460DB1">
        <w:rPr>
          <w:rFonts w:eastAsia="仿宋_GB2312"/>
          <w:bCs/>
          <w:color w:val="000000"/>
          <w:sz w:val="32"/>
          <w:szCs w:val="32"/>
        </w:rPr>
        <w:t>Kirsten</w:t>
      </w:r>
      <w:r w:rsidRPr="00460DB1">
        <w:rPr>
          <w:rFonts w:eastAsia="仿宋_GB2312"/>
          <w:bCs/>
          <w:color w:val="000000"/>
          <w:sz w:val="32"/>
          <w:szCs w:val="32"/>
        </w:rPr>
        <w:t>大鼠肉瘤病毒癌基因同源物（</w:t>
      </w:r>
      <w:r w:rsidRPr="00460DB1">
        <w:rPr>
          <w:rFonts w:eastAsia="仿宋_GB2312"/>
          <w:bCs/>
          <w:color w:val="000000"/>
          <w:sz w:val="32"/>
          <w:szCs w:val="32"/>
        </w:rPr>
        <w:t>kirsten rat sarcoma viral oncogene homolog</w:t>
      </w:r>
      <w:r w:rsidRPr="00460DB1">
        <w:rPr>
          <w:rFonts w:eastAsia="仿宋_GB2312"/>
          <w:bCs/>
          <w:color w:val="000000"/>
          <w:sz w:val="32"/>
          <w:szCs w:val="32"/>
        </w:rPr>
        <w:t>，</w:t>
      </w:r>
      <w:r w:rsidRPr="00460DB1">
        <w:rPr>
          <w:rFonts w:eastAsia="仿宋_GB2312"/>
          <w:bCs/>
          <w:color w:val="000000"/>
          <w:sz w:val="32"/>
          <w:szCs w:val="32"/>
        </w:rPr>
        <w:t>KRAS</w:t>
      </w:r>
      <w:r w:rsidRPr="00460DB1">
        <w:rPr>
          <w:rFonts w:eastAsia="仿宋_GB2312"/>
          <w:bCs/>
          <w:color w:val="000000"/>
          <w:sz w:val="32"/>
          <w:szCs w:val="32"/>
        </w:rPr>
        <w:t>）基因突变检测试剂注册申报资料的准备及撰写，同时也为技术审评部门对注册申报资料的审查提供参考。</w:t>
      </w:r>
    </w:p>
    <w:p w:rsidR="00451AC3" w:rsidRPr="00460DB1" w:rsidRDefault="009F29AF" w:rsidP="00460DB1">
      <w:pPr>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本指导原则是对该类试剂注册申报资料的一般要求，申请人应依据产品的具体特性确定其中内容是否适用，若不适用，需具体阐述理由及相应的科学依据，并依据产品的具体特性对注册申报资料的内容进行充实和细化。如注册申请人认为有必要增加本指导原则不包含的研究内容，可自行补充。</w:t>
      </w:r>
    </w:p>
    <w:p w:rsidR="00451AC3" w:rsidRPr="00460DB1" w:rsidRDefault="009F29AF" w:rsidP="00460DB1">
      <w:pPr>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本指导原则是供注册申请人和技术审评人员使用的指导性文件，但不包括注册审批所涉及的行政事项，亦不作为法规强制执行，如果有能够满足相关法规要求的其他方法，也可以采用，但需要提供详细的研究资料和验证资料。需在遵循相关法规和强制性标准的前提下使用本指导原则。</w:t>
      </w:r>
    </w:p>
    <w:p w:rsidR="00451AC3" w:rsidRPr="00460DB1" w:rsidRDefault="009F29AF" w:rsidP="00460DB1">
      <w:pPr>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本指导原则是在现行法规、标准体系以及当前认知水平下制定的，随着法规、标准的不断完善和科学技术的不断发展，本指导原则相关内容也将适时进行调整。</w:t>
      </w:r>
    </w:p>
    <w:p w:rsidR="00451AC3" w:rsidRPr="00460DB1" w:rsidRDefault="009F29AF" w:rsidP="00460DB1">
      <w:pPr>
        <w:adjustRightInd w:val="0"/>
        <w:snapToGrid w:val="0"/>
        <w:spacing w:line="520" w:lineRule="exact"/>
        <w:ind w:firstLineChars="200" w:firstLine="640"/>
        <w:rPr>
          <w:rFonts w:eastAsia="仿宋_GB2312"/>
          <w:bCs/>
          <w:color w:val="000000"/>
          <w:sz w:val="32"/>
          <w:szCs w:val="32"/>
        </w:rPr>
      </w:pPr>
      <w:r w:rsidRPr="00460DB1">
        <w:rPr>
          <w:rFonts w:eastAsia="黑体"/>
          <w:sz w:val="32"/>
          <w:szCs w:val="32"/>
        </w:rPr>
        <w:t>一、适用范围</w:t>
      </w:r>
      <w:r w:rsidRPr="00460DB1">
        <w:rPr>
          <w:rFonts w:eastAsia="仿宋_GB2312"/>
          <w:color w:val="000000"/>
          <w:kern w:val="0"/>
          <w:sz w:val="32"/>
          <w:szCs w:val="32"/>
        </w:rPr>
        <w:br/>
      </w:r>
      <w:r w:rsidRPr="00460DB1">
        <w:rPr>
          <w:color w:val="000000"/>
          <w:kern w:val="0"/>
          <w:sz w:val="32"/>
          <w:szCs w:val="32"/>
        </w:rPr>
        <w:t xml:space="preserve">    </w:t>
      </w:r>
      <w:r w:rsidRPr="00460DB1">
        <w:rPr>
          <w:rFonts w:eastAsia="仿宋_GB2312"/>
          <w:bCs/>
          <w:color w:val="000000"/>
          <w:sz w:val="32"/>
          <w:szCs w:val="32"/>
        </w:rPr>
        <w:t>本指导原则适用于采用</w:t>
      </w:r>
      <w:r w:rsidRPr="00460DB1">
        <w:rPr>
          <w:rFonts w:eastAsia="仿宋_GB2312"/>
          <w:color w:val="000000"/>
          <w:kern w:val="0"/>
          <w:sz w:val="32"/>
          <w:szCs w:val="32"/>
        </w:rPr>
        <w:t>核酸聚合酶链式反应（</w:t>
      </w:r>
      <w:r w:rsidRPr="00460DB1">
        <w:rPr>
          <w:rFonts w:eastAsia="仿宋_GB2312"/>
          <w:color w:val="000000"/>
          <w:kern w:val="0"/>
          <w:sz w:val="32"/>
          <w:szCs w:val="32"/>
        </w:rPr>
        <w:t>PCR</w:t>
      </w:r>
      <w:r w:rsidRPr="00460DB1">
        <w:rPr>
          <w:rFonts w:eastAsia="仿宋_GB2312"/>
          <w:color w:val="000000"/>
          <w:kern w:val="0"/>
          <w:sz w:val="32"/>
          <w:szCs w:val="32"/>
        </w:rPr>
        <w:t>法），对</w:t>
      </w:r>
      <w:r w:rsidRPr="00460DB1">
        <w:rPr>
          <w:rFonts w:eastAsia="仿宋_GB2312"/>
          <w:color w:val="000000"/>
          <w:kern w:val="0"/>
          <w:sz w:val="32"/>
          <w:szCs w:val="32"/>
        </w:rPr>
        <w:t>10%</w:t>
      </w:r>
      <w:r w:rsidRPr="00460DB1">
        <w:rPr>
          <w:rFonts w:eastAsia="仿宋_GB2312"/>
          <w:color w:val="000000"/>
          <w:kern w:val="0"/>
          <w:sz w:val="32"/>
          <w:szCs w:val="32"/>
        </w:rPr>
        <w:t>中性缓冲福尔马林固定石蜡包埋（</w:t>
      </w:r>
      <w:r w:rsidRPr="00460DB1">
        <w:rPr>
          <w:rFonts w:eastAsia="仿宋_GB2312"/>
          <w:color w:val="000000"/>
          <w:kern w:val="0"/>
          <w:sz w:val="32"/>
          <w:szCs w:val="32"/>
        </w:rPr>
        <w:t>FFPE</w:t>
      </w:r>
      <w:r w:rsidRPr="00460DB1">
        <w:rPr>
          <w:rFonts w:eastAsia="仿宋_GB2312"/>
          <w:color w:val="000000"/>
          <w:kern w:val="0"/>
          <w:sz w:val="32"/>
          <w:szCs w:val="32"/>
        </w:rPr>
        <w:t>）组织样本中的</w:t>
      </w:r>
      <w:r w:rsidRPr="00460DB1">
        <w:rPr>
          <w:rFonts w:eastAsia="仿宋_GB2312"/>
          <w:color w:val="000000"/>
          <w:kern w:val="0"/>
          <w:sz w:val="32"/>
          <w:szCs w:val="32"/>
        </w:rPr>
        <w:t>KRAS</w:t>
      </w:r>
      <w:r w:rsidRPr="00460DB1">
        <w:rPr>
          <w:rFonts w:eastAsia="仿宋_GB2312"/>
          <w:color w:val="000000"/>
          <w:kern w:val="0"/>
          <w:sz w:val="32"/>
          <w:szCs w:val="32"/>
        </w:rPr>
        <w:t>基因突变状态</w:t>
      </w:r>
      <w:r w:rsidRPr="00460DB1">
        <w:rPr>
          <w:rFonts w:eastAsia="仿宋_GB2312"/>
          <w:bCs/>
          <w:color w:val="000000"/>
          <w:sz w:val="32"/>
          <w:szCs w:val="32"/>
        </w:rPr>
        <w:t>进行体外定性检测的试剂。本指导原则以用</w:t>
      </w:r>
      <w:r w:rsidRPr="00460DB1">
        <w:rPr>
          <w:rFonts w:eastAsia="仿宋_GB2312"/>
          <w:bCs/>
          <w:color w:val="000000"/>
          <w:sz w:val="32"/>
          <w:szCs w:val="32"/>
        </w:rPr>
        <w:lastRenderedPageBreak/>
        <w:t>于结直肠癌（</w:t>
      </w:r>
      <w:r w:rsidRPr="00460DB1">
        <w:rPr>
          <w:rFonts w:eastAsia="仿宋_GB2312"/>
          <w:bCs/>
          <w:color w:val="000000"/>
          <w:sz w:val="32"/>
          <w:szCs w:val="32"/>
        </w:rPr>
        <w:t>Colorectal Cancer</w:t>
      </w:r>
      <w:r w:rsidRPr="00460DB1">
        <w:rPr>
          <w:rFonts w:eastAsia="仿宋_GB2312"/>
          <w:bCs/>
          <w:color w:val="000000"/>
          <w:sz w:val="32"/>
          <w:szCs w:val="32"/>
        </w:rPr>
        <w:t>，</w:t>
      </w:r>
      <w:r w:rsidRPr="00460DB1">
        <w:rPr>
          <w:rFonts w:eastAsia="仿宋_GB2312"/>
          <w:bCs/>
          <w:color w:val="000000"/>
          <w:sz w:val="32"/>
          <w:szCs w:val="32"/>
        </w:rPr>
        <w:t>CRC</w:t>
      </w:r>
      <w:r w:rsidRPr="00460DB1">
        <w:rPr>
          <w:rFonts w:eastAsia="仿宋_GB2312"/>
          <w:bCs/>
          <w:color w:val="000000"/>
          <w:sz w:val="32"/>
          <w:szCs w:val="32"/>
        </w:rPr>
        <w:t>）患者的西妥昔单抗（</w:t>
      </w:r>
      <w:r w:rsidRPr="00460DB1">
        <w:rPr>
          <w:rFonts w:eastAsia="仿宋_GB2312"/>
          <w:bCs/>
          <w:color w:val="000000"/>
          <w:sz w:val="32"/>
          <w:szCs w:val="32"/>
        </w:rPr>
        <w:t>Cetuximab</w:t>
      </w:r>
      <w:r w:rsidRPr="00460DB1">
        <w:rPr>
          <w:rFonts w:eastAsia="仿宋_GB2312"/>
          <w:bCs/>
          <w:color w:val="000000"/>
          <w:sz w:val="32"/>
          <w:szCs w:val="32"/>
        </w:rPr>
        <w:t>）</w:t>
      </w:r>
      <w:r w:rsidRPr="00460DB1">
        <w:rPr>
          <w:rFonts w:eastAsia="仿宋_GB2312"/>
          <w:bCs/>
          <w:color w:val="000000"/>
          <w:sz w:val="32"/>
          <w:szCs w:val="32"/>
        </w:rPr>
        <w:t xml:space="preserve"> </w:t>
      </w:r>
      <w:r w:rsidRPr="00460DB1">
        <w:rPr>
          <w:rFonts w:eastAsia="仿宋_GB2312"/>
          <w:bCs/>
          <w:color w:val="000000"/>
          <w:sz w:val="32"/>
          <w:szCs w:val="32"/>
        </w:rPr>
        <w:t>伴随诊断的预期用途为例，阐述基于</w:t>
      </w:r>
      <w:r w:rsidRPr="00460DB1">
        <w:rPr>
          <w:rFonts w:eastAsia="仿宋_GB2312"/>
          <w:bCs/>
          <w:color w:val="000000"/>
          <w:sz w:val="32"/>
          <w:szCs w:val="32"/>
        </w:rPr>
        <w:t>PCR</w:t>
      </w:r>
      <w:r w:rsidRPr="00460DB1">
        <w:rPr>
          <w:rFonts w:eastAsia="仿宋_GB2312"/>
          <w:bCs/>
          <w:color w:val="000000"/>
          <w:sz w:val="32"/>
          <w:szCs w:val="32"/>
        </w:rPr>
        <w:t>法的</w:t>
      </w:r>
      <w:r w:rsidRPr="00460DB1">
        <w:rPr>
          <w:rFonts w:eastAsia="仿宋_GB2312"/>
          <w:bCs/>
          <w:color w:val="000000"/>
          <w:sz w:val="32"/>
          <w:szCs w:val="32"/>
        </w:rPr>
        <w:t>KRAS</w:t>
      </w:r>
      <w:r w:rsidRPr="00460DB1">
        <w:rPr>
          <w:rFonts w:eastAsia="仿宋_GB2312"/>
          <w:bCs/>
          <w:color w:val="000000"/>
          <w:sz w:val="32"/>
          <w:szCs w:val="32"/>
        </w:rPr>
        <w:t>基因突变检测伴随诊断试剂临床前及临床研究相关要求，对于声称其他伴随诊断药物、癌种、样本类型及方法学的</w:t>
      </w:r>
      <w:r w:rsidRPr="00460DB1">
        <w:rPr>
          <w:rFonts w:eastAsia="仿宋_GB2312"/>
          <w:bCs/>
          <w:color w:val="000000"/>
          <w:sz w:val="32"/>
          <w:szCs w:val="32"/>
        </w:rPr>
        <w:t>KRAS</w:t>
      </w:r>
      <w:r w:rsidRPr="00460DB1">
        <w:rPr>
          <w:rFonts w:eastAsia="仿宋_GB2312"/>
          <w:bCs/>
          <w:color w:val="000000"/>
          <w:sz w:val="32"/>
          <w:szCs w:val="32"/>
        </w:rPr>
        <w:t>基因突变检测试剂，可能部分要求不完全适用或本文所述内容不够全面，申请人可参照本指导原则相关要求，根据产品特性对适用部分进行评价，并补充其他的评价资料。</w:t>
      </w:r>
    </w:p>
    <w:p w:rsidR="00451AC3" w:rsidRPr="00460DB1" w:rsidRDefault="009F29AF" w:rsidP="00460DB1">
      <w:pPr>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KRAS</w:t>
      </w:r>
      <w:r w:rsidRPr="00460DB1">
        <w:rPr>
          <w:rFonts w:eastAsia="仿宋_GB2312"/>
          <w:bCs/>
          <w:color w:val="000000"/>
          <w:sz w:val="32"/>
          <w:szCs w:val="32"/>
        </w:rPr>
        <w:t>是一种鼠类肉瘤病毒癌基因同源物，由</w:t>
      </w:r>
      <w:r w:rsidRPr="00460DB1">
        <w:rPr>
          <w:rFonts w:eastAsia="仿宋_GB2312"/>
          <w:bCs/>
          <w:color w:val="000000"/>
          <w:sz w:val="32"/>
          <w:szCs w:val="32"/>
        </w:rPr>
        <w:t>RAS</w:t>
      </w:r>
      <w:r w:rsidRPr="00460DB1">
        <w:rPr>
          <w:rFonts w:eastAsia="仿宋_GB2312"/>
          <w:bCs/>
          <w:color w:val="000000"/>
          <w:sz w:val="32"/>
          <w:szCs w:val="32"/>
        </w:rPr>
        <w:t>家族成员基因编码的一种</w:t>
      </w:r>
      <w:r w:rsidRPr="00460DB1">
        <w:rPr>
          <w:rFonts w:eastAsia="仿宋_GB2312"/>
          <w:bCs/>
          <w:color w:val="000000"/>
          <w:sz w:val="32"/>
          <w:szCs w:val="32"/>
        </w:rPr>
        <w:t>GTP</w:t>
      </w:r>
      <w:r w:rsidRPr="00460DB1">
        <w:rPr>
          <w:rFonts w:eastAsia="仿宋_GB2312"/>
          <w:bCs/>
          <w:color w:val="000000"/>
          <w:sz w:val="32"/>
          <w:szCs w:val="32"/>
        </w:rPr>
        <w:t>酶蛋白，参与表皮生长因子受体（</w:t>
      </w:r>
      <w:r w:rsidRPr="00460DB1">
        <w:rPr>
          <w:rFonts w:eastAsia="仿宋_GB2312"/>
          <w:bCs/>
          <w:color w:val="000000"/>
          <w:sz w:val="32"/>
          <w:szCs w:val="32"/>
        </w:rPr>
        <w:t>epidermal growth factor receptor</w:t>
      </w:r>
      <w:r w:rsidRPr="00460DB1">
        <w:rPr>
          <w:rFonts w:eastAsia="仿宋_GB2312"/>
          <w:bCs/>
          <w:color w:val="000000"/>
          <w:sz w:val="32"/>
          <w:szCs w:val="32"/>
        </w:rPr>
        <w:t>，</w:t>
      </w:r>
      <w:r w:rsidRPr="00460DB1">
        <w:rPr>
          <w:rFonts w:eastAsia="仿宋_GB2312"/>
          <w:bCs/>
          <w:color w:val="000000"/>
          <w:sz w:val="32"/>
          <w:szCs w:val="32"/>
        </w:rPr>
        <w:t>EGFR</w:t>
      </w:r>
      <w:r w:rsidRPr="00460DB1">
        <w:rPr>
          <w:rFonts w:eastAsia="仿宋_GB2312"/>
          <w:bCs/>
          <w:color w:val="000000"/>
          <w:sz w:val="32"/>
          <w:szCs w:val="32"/>
        </w:rPr>
        <w:t>）的信号转导，调控细胞生长、分化、增殖和存活。人</w:t>
      </w:r>
      <w:r w:rsidRPr="00460DB1">
        <w:rPr>
          <w:rFonts w:eastAsia="仿宋_GB2312"/>
          <w:bCs/>
          <w:color w:val="000000"/>
          <w:sz w:val="32"/>
          <w:szCs w:val="32"/>
        </w:rPr>
        <w:t>KRAS</w:t>
      </w:r>
      <w:r w:rsidRPr="00460DB1">
        <w:rPr>
          <w:rFonts w:eastAsia="仿宋_GB2312"/>
          <w:bCs/>
          <w:color w:val="000000"/>
          <w:sz w:val="32"/>
          <w:szCs w:val="32"/>
        </w:rPr>
        <w:t>基因突变可影响基因的正常功能，引起细胞生长、分化失去控制，最终导致肿瘤的形成。导致</w:t>
      </w:r>
      <w:r w:rsidRPr="00460DB1">
        <w:rPr>
          <w:rFonts w:eastAsia="仿宋_GB2312"/>
          <w:bCs/>
          <w:color w:val="000000"/>
          <w:sz w:val="32"/>
          <w:szCs w:val="32"/>
        </w:rPr>
        <w:t>KRAS</w:t>
      </w:r>
      <w:r w:rsidRPr="00460DB1">
        <w:rPr>
          <w:rFonts w:eastAsia="仿宋_GB2312"/>
          <w:bCs/>
          <w:color w:val="000000"/>
          <w:sz w:val="32"/>
          <w:szCs w:val="32"/>
        </w:rPr>
        <w:t>处于激活状态的突变主要位于基因第</w:t>
      </w:r>
      <w:r w:rsidRPr="00460DB1">
        <w:rPr>
          <w:rFonts w:eastAsia="仿宋_GB2312"/>
          <w:bCs/>
          <w:color w:val="000000"/>
          <w:sz w:val="32"/>
          <w:szCs w:val="32"/>
        </w:rPr>
        <w:t>2</w:t>
      </w:r>
      <w:r w:rsidRPr="00460DB1">
        <w:rPr>
          <w:rFonts w:eastAsia="仿宋_GB2312"/>
          <w:bCs/>
          <w:color w:val="000000"/>
          <w:sz w:val="32"/>
          <w:szCs w:val="32"/>
        </w:rPr>
        <w:t>号外显子（第</w:t>
      </w:r>
      <w:r w:rsidRPr="00460DB1">
        <w:rPr>
          <w:rFonts w:eastAsia="仿宋_GB2312"/>
          <w:bCs/>
          <w:color w:val="000000"/>
          <w:sz w:val="32"/>
          <w:szCs w:val="32"/>
        </w:rPr>
        <w:t>12</w:t>
      </w:r>
      <w:r w:rsidRPr="00460DB1">
        <w:rPr>
          <w:rFonts w:eastAsia="仿宋_GB2312"/>
          <w:bCs/>
          <w:color w:val="000000"/>
          <w:sz w:val="32"/>
          <w:szCs w:val="32"/>
        </w:rPr>
        <w:t>、</w:t>
      </w:r>
      <w:r w:rsidRPr="00460DB1">
        <w:rPr>
          <w:rFonts w:eastAsia="仿宋_GB2312"/>
          <w:bCs/>
          <w:color w:val="000000"/>
          <w:sz w:val="32"/>
          <w:szCs w:val="32"/>
        </w:rPr>
        <w:t>13</w:t>
      </w:r>
      <w:r w:rsidR="005B4EFC" w:rsidRPr="00460DB1">
        <w:rPr>
          <w:rFonts w:eastAsia="仿宋_GB2312"/>
          <w:bCs/>
          <w:color w:val="000000"/>
          <w:sz w:val="32"/>
          <w:szCs w:val="32"/>
        </w:rPr>
        <w:t>号</w:t>
      </w:r>
      <w:r w:rsidRPr="00460DB1">
        <w:rPr>
          <w:rFonts w:eastAsia="仿宋_GB2312"/>
          <w:bCs/>
          <w:color w:val="000000"/>
          <w:sz w:val="32"/>
          <w:szCs w:val="32"/>
        </w:rPr>
        <w:t>密码子）、</w:t>
      </w:r>
      <w:r w:rsidR="005B4EFC" w:rsidRPr="00460DB1">
        <w:rPr>
          <w:rFonts w:eastAsia="仿宋_GB2312"/>
          <w:bCs/>
          <w:color w:val="000000"/>
          <w:sz w:val="32"/>
          <w:szCs w:val="32"/>
        </w:rPr>
        <w:t>第</w:t>
      </w:r>
      <w:r w:rsidRPr="00460DB1">
        <w:rPr>
          <w:rFonts w:eastAsia="仿宋_GB2312"/>
          <w:bCs/>
          <w:color w:val="000000"/>
          <w:sz w:val="32"/>
          <w:szCs w:val="32"/>
        </w:rPr>
        <w:t>3</w:t>
      </w:r>
      <w:r w:rsidRPr="00460DB1">
        <w:rPr>
          <w:rFonts w:eastAsia="仿宋_GB2312"/>
          <w:bCs/>
          <w:color w:val="000000"/>
          <w:sz w:val="32"/>
          <w:szCs w:val="32"/>
        </w:rPr>
        <w:t>号外显子（第</w:t>
      </w:r>
      <w:r w:rsidRPr="00460DB1">
        <w:rPr>
          <w:rFonts w:eastAsia="仿宋_GB2312"/>
          <w:bCs/>
          <w:color w:val="000000"/>
          <w:sz w:val="32"/>
          <w:szCs w:val="32"/>
        </w:rPr>
        <w:t>59</w:t>
      </w:r>
      <w:r w:rsidRPr="00460DB1">
        <w:rPr>
          <w:rFonts w:eastAsia="仿宋_GB2312"/>
          <w:bCs/>
          <w:color w:val="000000"/>
          <w:sz w:val="32"/>
          <w:szCs w:val="32"/>
        </w:rPr>
        <w:t>、</w:t>
      </w:r>
      <w:r w:rsidRPr="00460DB1">
        <w:rPr>
          <w:rFonts w:eastAsia="仿宋_GB2312"/>
          <w:bCs/>
          <w:color w:val="000000"/>
          <w:sz w:val="32"/>
          <w:szCs w:val="32"/>
        </w:rPr>
        <w:t>61</w:t>
      </w:r>
      <w:r w:rsidR="005B4EFC" w:rsidRPr="00460DB1">
        <w:rPr>
          <w:rFonts w:eastAsia="仿宋_GB2312"/>
          <w:bCs/>
          <w:color w:val="000000"/>
          <w:sz w:val="32"/>
          <w:szCs w:val="32"/>
        </w:rPr>
        <w:t>号</w:t>
      </w:r>
      <w:r w:rsidRPr="00460DB1">
        <w:rPr>
          <w:rFonts w:eastAsia="仿宋_GB2312"/>
          <w:bCs/>
          <w:color w:val="000000"/>
          <w:sz w:val="32"/>
          <w:szCs w:val="32"/>
        </w:rPr>
        <w:t>密码子）、</w:t>
      </w:r>
      <w:r w:rsidR="005B4EFC" w:rsidRPr="00460DB1">
        <w:rPr>
          <w:rFonts w:eastAsia="仿宋_GB2312"/>
          <w:bCs/>
          <w:color w:val="000000"/>
          <w:sz w:val="32"/>
          <w:szCs w:val="32"/>
        </w:rPr>
        <w:t>第</w:t>
      </w:r>
      <w:r w:rsidRPr="00460DB1">
        <w:rPr>
          <w:rFonts w:eastAsia="仿宋_GB2312"/>
          <w:bCs/>
          <w:color w:val="000000"/>
          <w:sz w:val="32"/>
          <w:szCs w:val="32"/>
        </w:rPr>
        <w:t>4</w:t>
      </w:r>
      <w:r w:rsidRPr="00460DB1">
        <w:rPr>
          <w:rFonts w:eastAsia="仿宋_GB2312"/>
          <w:bCs/>
          <w:color w:val="000000"/>
          <w:sz w:val="32"/>
          <w:szCs w:val="32"/>
        </w:rPr>
        <w:t>号外显子（第</w:t>
      </w:r>
      <w:r w:rsidRPr="00460DB1">
        <w:rPr>
          <w:rFonts w:eastAsia="仿宋_GB2312"/>
          <w:bCs/>
          <w:color w:val="000000"/>
          <w:sz w:val="32"/>
          <w:szCs w:val="32"/>
        </w:rPr>
        <w:t>117</w:t>
      </w:r>
      <w:r w:rsidRPr="00460DB1">
        <w:rPr>
          <w:rFonts w:eastAsia="仿宋_GB2312"/>
          <w:bCs/>
          <w:color w:val="000000"/>
          <w:sz w:val="32"/>
          <w:szCs w:val="32"/>
        </w:rPr>
        <w:t>、</w:t>
      </w:r>
      <w:r w:rsidRPr="00460DB1">
        <w:rPr>
          <w:rFonts w:eastAsia="仿宋_GB2312"/>
          <w:bCs/>
          <w:color w:val="000000"/>
          <w:sz w:val="32"/>
          <w:szCs w:val="32"/>
        </w:rPr>
        <w:t>146</w:t>
      </w:r>
      <w:r w:rsidR="005B4EFC" w:rsidRPr="00460DB1">
        <w:rPr>
          <w:rFonts w:eastAsia="仿宋_GB2312"/>
          <w:bCs/>
          <w:color w:val="000000"/>
          <w:sz w:val="32"/>
          <w:szCs w:val="32"/>
        </w:rPr>
        <w:t>号</w:t>
      </w:r>
      <w:r w:rsidRPr="00460DB1">
        <w:rPr>
          <w:rFonts w:eastAsia="仿宋_GB2312"/>
          <w:bCs/>
          <w:color w:val="000000"/>
          <w:sz w:val="32"/>
          <w:szCs w:val="32"/>
        </w:rPr>
        <w:t>密码子）上，包括多种突变类型。</w:t>
      </w:r>
      <w:r w:rsidRPr="00460DB1">
        <w:rPr>
          <w:rFonts w:eastAsia="仿宋_GB2312"/>
          <w:bCs/>
          <w:color w:val="000000"/>
          <w:sz w:val="32"/>
          <w:szCs w:val="32"/>
        </w:rPr>
        <w:t>KRAS</w:t>
      </w:r>
      <w:r w:rsidRPr="00460DB1">
        <w:rPr>
          <w:rFonts w:eastAsia="仿宋_GB2312"/>
          <w:bCs/>
          <w:color w:val="000000"/>
          <w:sz w:val="32"/>
          <w:szCs w:val="32"/>
        </w:rPr>
        <w:t>基因改变使癌症患者对抗</w:t>
      </w:r>
      <w:r w:rsidRPr="00460DB1">
        <w:rPr>
          <w:rFonts w:eastAsia="仿宋_GB2312"/>
          <w:bCs/>
          <w:color w:val="000000"/>
          <w:sz w:val="32"/>
          <w:szCs w:val="32"/>
        </w:rPr>
        <w:t>EGFR</w:t>
      </w:r>
      <w:r w:rsidRPr="00460DB1">
        <w:rPr>
          <w:rFonts w:eastAsia="仿宋_GB2312"/>
          <w:bCs/>
          <w:color w:val="000000"/>
          <w:sz w:val="32"/>
          <w:szCs w:val="32"/>
        </w:rPr>
        <w:t>治疗药物产生耐药，进而不能从该类药物治疗中获益，而</w:t>
      </w:r>
      <w:r w:rsidRPr="00460DB1">
        <w:rPr>
          <w:rFonts w:eastAsia="仿宋_GB2312"/>
          <w:bCs/>
          <w:color w:val="000000"/>
          <w:sz w:val="32"/>
          <w:szCs w:val="32"/>
        </w:rPr>
        <w:t>KRAS</w:t>
      </w:r>
      <w:r w:rsidRPr="00460DB1">
        <w:rPr>
          <w:rFonts w:eastAsia="仿宋_GB2312"/>
          <w:bCs/>
          <w:color w:val="000000"/>
          <w:sz w:val="32"/>
          <w:szCs w:val="32"/>
        </w:rPr>
        <w:t>基因野生型患者则可以从这类药物中明显获益。</w:t>
      </w:r>
      <w:r w:rsidRPr="00460DB1">
        <w:rPr>
          <w:rFonts w:eastAsia="仿宋_GB2312"/>
          <w:bCs/>
          <w:color w:val="000000"/>
          <w:sz w:val="32"/>
          <w:szCs w:val="32"/>
        </w:rPr>
        <w:t>KRAS</w:t>
      </w:r>
      <w:r w:rsidRPr="00460DB1">
        <w:rPr>
          <w:rFonts w:eastAsia="仿宋_GB2312"/>
          <w:bCs/>
          <w:color w:val="000000"/>
          <w:sz w:val="32"/>
          <w:szCs w:val="32"/>
        </w:rPr>
        <w:t>作为结直肠癌治疗的分子靶标受到普遍关注，并已陆续开发出了西妥昔单抗等抗</w:t>
      </w:r>
      <w:r w:rsidRPr="00460DB1">
        <w:rPr>
          <w:rFonts w:eastAsia="仿宋_GB2312"/>
          <w:bCs/>
          <w:color w:val="000000"/>
          <w:sz w:val="32"/>
          <w:szCs w:val="32"/>
        </w:rPr>
        <w:t>EGFR</w:t>
      </w:r>
      <w:r w:rsidRPr="00460DB1">
        <w:rPr>
          <w:rFonts w:eastAsia="仿宋_GB2312"/>
          <w:bCs/>
          <w:color w:val="000000"/>
          <w:sz w:val="32"/>
          <w:szCs w:val="32"/>
        </w:rPr>
        <w:t>抗体类药物。</w:t>
      </w:r>
    </w:p>
    <w:p w:rsidR="00451AC3" w:rsidRPr="00460DB1" w:rsidRDefault="009F29AF" w:rsidP="00460DB1">
      <w:pPr>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针对用于结直肠癌患者的西妥昔单抗的伴随诊断试剂，所覆盖的突变位点应根据其不同突变位点的突变率设置，建议至少包括第</w:t>
      </w:r>
      <w:r w:rsidRPr="00460DB1">
        <w:rPr>
          <w:rFonts w:eastAsia="仿宋_GB2312"/>
          <w:bCs/>
          <w:color w:val="000000"/>
          <w:sz w:val="32"/>
          <w:szCs w:val="32"/>
        </w:rPr>
        <w:t>2</w:t>
      </w:r>
      <w:r w:rsidRPr="00460DB1">
        <w:rPr>
          <w:rFonts w:eastAsia="仿宋_GB2312"/>
          <w:bCs/>
          <w:color w:val="000000"/>
          <w:sz w:val="32"/>
          <w:szCs w:val="32"/>
        </w:rPr>
        <w:t>号外显子的第</w:t>
      </w:r>
      <w:r w:rsidRPr="00460DB1">
        <w:rPr>
          <w:rFonts w:eastAsia="仿宋_GB2312"/>
          <w:bCs/>
          <w:color w:val="000000"/>
          <w:sz w:val="32"/>
          <w:szCs w:val="32"/>
        </w:rPr>
        <w:t>12</w:t>
      </w:r>
      <w:r w:rsidRPr="00460DB1">
        <w:rPr>
          <w:rFonts w:eastAsia="仿宋_GB2312"/>
          <w:bCs/>
          <w:color w:val="000000"/>
          <w:sz w:val="32"/>
          <w:szCs w:val="32"/>
        </w:rPr>
        <w:t>号和</w:t>
      </w:r>
      <w:r w:rsidRPr="00460DB1">
        <w:rPr>
          <w:rFonts w:eastAsia="仿宋_GB2312"/>
          <w:bCs/>
          <w:color w:val="000000"/>
          <w:sz w:val="32"/>
          <w:szCs w:val="32"/>
        </w:rPr>
        <w:t>13</w:t>
      </w:r>
      <w:r w:rsidRPr="00460DB1">
        <w:rPr>
          <w:rFonts w:eastAsia="仿宋_GB2312"/>
          <w:bCs/>
          <w:color w:val="000000"/>
          <w:sz w:val="32"/>
          <w:szCs w:val="32"/>
        </w:rPr>
        <w:t>号密码子的</w:t>
      </w:r>
      <w:r w:rsidRPr="00460DB1">
        <w:rPr>
          <w:rFonts w:eastAsia="仿宋_GB2312"/>
          <w:bCs/>
          <w:color w:val="000000"/>
          <w:sz w:val="32"/>
          <w:szCs w:val="32"/>
        </w:rPr>
        <w:t>7</w:t>
      </w:r>
      <w:r w:rsidRPr="00460DB1">
        <w:rPr>
          <w:rFonts w:eastAsia="仿宋_GB2312"/>
          <w:bCs/>
          <w:color w:val="000000"/>
          <w:sz w:val="32"/>
          <w:szCs w:val="32"/>
        </w:rPr>
        <w:t>种热点突变，包括</w:t>
      </w:r>
      <w:r w:rsidRPr="00460DB1">
        <w:rPr>
          <w:rFonts w:eastAsia="仿宋_GB2312"/>
          <w:bCs/>
          <w:color w:val="000000"/>
          <w:sz w:val="32"/>
          <w:szCs w:val="32"/>
        </w:rPr>
        <w:t>G12D</w:t>
      </w:r>
      <w:r w:rsidRPr="00460DB1">
        <w:rPr>
          <w:rFonts w:eastAsia="仿宋_GB2312"/>
          <w:bCs/>
          <w:color w:val="000000"/>
          <w:sz w:val="32"/>
          <w:szCs w:val="32"/>
        </w:rPr>
        <w:t>、</w:t>
      </w:r>
      <w:r w:rsidRPr="00460DB1">
        <w:rPr>
          <w:rFonts w:eastAsia="仿宋_GB2312"/>
          <w:bCs/>
          <w:color w:val="000000"/>
          <w:sz w:val="32"/>
          <w:szCs w:val="32"/>
        </w:rPr>
        <w:t>G12C</w:t>
      </w:r>
      <w:r w:rsidRPr="00460DB1">
        <w:rPr>
          <w:rFonts w:eastAsia="仿宋_GB2312"/>
          <w:bCs/>
          <w:color w:val="000000"/>
          <w:sz w:val="32"/>
          <w:szCs w:val="32"/>
        </w:rPr>
        <w:t>、</w:t>
      </w:r>
      <w:r w:rsidRPr="00460DB1">
        <w:rPr>
          <w:rFonts w:eastAsia="仿宋_GB2312"/>
          <w:bCs/>
          <w:color w:val="000000"/>
          <w:sz w:val="32"/>
          <w:szCs w:val="32"/>
        </w:rPr>
        <w:t>G12S</w:t>
      </w:r>
      <w:r w:rsidRPr="00460DB1">
        <w:rPr>
          <w:rFonts w:eastAsia="仿宋_GB2312"/>
          <w:bCs/>
          <w:color w:val="000000"/>
          <w:sz w:val="32"/>
          <w:szCs w:val="32"/>
        </w:rPr>
        <w:t>、</w:t>
      </w:r>
      <w:r w:rsidRPr="00460DB1">
        <w:rPr>
          <w:rFonts w:eastAsia="仿宋_GB2312"/>
          <w:bCs/>
          <w:color w:val="000000"/>
          <w:sz w:val="32"/>
          <w:szCs w:val="32"/>
        </w:rPr>
        <w:t>G12R</w:t>
      </w:r>
      <w:r w:rsidRPr="00460DB1">
        <w:rPr>
          <w:rFonts w:eastAsia="仿宋_GB2312"/>
          <w:bCs/>
          <w:color w:val="000000"/>
          <w:sz w:val="32"/>
          <w:szCs w:val="32"/>
        </w:rPr>
        <w:t>、</w:t>
      </w:r>
      <w:r w:rsidRPr="00460DB1">
        <w:rPr>
          <w:rFonts w:eastAsia="仿宋_GB2312"/>
          <w:bCs/>
          <w:color w:val="000000"/>
          <w:sz w:val="32"/>
          <w:szCs w:val="32"/>
        </w:rPr>
        <w:t>G12V</w:t>
      </w:r>
      <w:r w:rsidRPr="00460DB1">
        <w:rPr>
          <w:rFonts w:eastAsia="仿宋_GB2312"/>
          <w:bCs/>
          <w:color w:val="000000"/>
          <w:sz w:val="32"/>
          <w:szCs w:val="32"/>
        </w:rPr>
        <w:t>、</w:t>
      </w:r>
      <w:r w:rsidRPr="00460DB1">
        <w:rPr>
          <w:rFonts w:eastAsia="仿宋_GB2312"/>
          <w:bCs/>
          <w:color w:val="000000"/>
          <w:sz w:val="32"/>
          <w:szCs w:val="32"/>
        </w:rPr>
        <w:t>G12A</w:t>
      </w:r>
      <w:r w:rsidRPr="00460DB1">
        <w:rPr>
          <w:rFonts w:eastAsia="仿宋_GB2312"/>
          <w:bCs/>
          <w:color w:val="000000"/>
          <w:sz w:val="32"/>
          <w:szCs w:val="32"/>
        </w:rPr>
        <w:t>、</w:t>
      </w:r>
      <w:r w:rsidRPr="00460DB1">
        <w:rPr>
          <w:rFonts w:eastAsia="仿宋_GB2312"/>
          <w:bCs/>
          <w:color w:val="000000"/>
          <w:sz w:val="32"/>
          <w:szCs w:val="32"/>
        </w:rPr>
        <w:t>G13D</w:t>
      </w:r>
      <w:r w:rsidRPr="00460DB1">
        <w:rPr>
          <w:rFonts w:eastAsia="仿宋_GB2312"/>
          <w:bCs/>
          <w:color w:val="000000"/>
          <w:sz w:val="32"/>
          <w:szCs w:val="32"/>
        </w:rPr>
        <w:t>。</w:t>
      </w:r>
    </w:p>
    <w:p w:rsidR="00451AC3" w:rsidRPr="00460DB1" w:rsidRDefault="009F29AF" w:rsidP="00460DB1">
      <w:pPr>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本指导原则适用于人</w:t>
      </w:r>
      <w:r w:rsidRPr="00460DB1">
        <w:rPr>
          <w:rFonts w:eastAsia="仿宋_GB2312"/>
          <w:bCs/>
          <w:color w:val="000000"/>
          <w:sz w:val="32"/>
          <w:szCs w:val="32"/>
        </w:rPr>
        <w:t>KRAS</w:t>
      </w:r>
      <w:r w:rsidRPr="00460DB1">
        <w:rPr>
          <w:rFonts w:eastAsia="仿宋_GB2312"/>
          <w:bCs/>
          <w:color w:val="000000"/>
          <w:sz w:val="32"/>
          <w:szCs w:val="32"/>
        </w:rPr>
        <w:t>基因突变检测试剂注册申请和变更注册申请的情形。本指导原则针对人</w:t>
      </w:r>
      <w:r w:rsidRPr="00460DB1">
        <w:rPr>
          <w:rFonts w:eastAsia="仿宋_GB2312"/>
          <w:bCs/>
          <w:color w:val="000000"/>
          <w:sz w:val="32"/>
          <w:szCs w:val="32"/>
        </w:rPr>
        <w:t>KRAS</w:t>
      </w:r>
      <w:r w:rsidRPr="00460DB1">
        <w:rPr>
          <w:rFonts w:eastAsia="仿宋_GB2312"/>
          <w:bCs/>
          <w:color w:val="000000"/>
          <w:sz w:val="32"/>
          <w:szCs w:val="32"/>
        </w:rPr>
        <w:t>基因突变检测注册申报资料中的部分内容进行撰写，其他未尽事宜应当符合</w:t>
      </w:r>
      <w:r w:rsidRPr="00460DB1">
        <w:rPr>
          <w:rFonts w:eastAsia="仿宋_GB2312"/>
          <w:bCs/>
          <w:color w:val="000000"/>
          <w:sz w:val="32"/>
          <w:szCs w:val="32"/>
        </w:rPr>
        <w:lastRenderedPageBreak/>
        <w:t>《关于公布体外诊断试剂注册申报资料要求和批准证明文件格式的公告》等相关法规要求。</w:t>
      </w:r>
    </w:p>
    <w:p w:rsidR="00451AC3" w:rsidRPr="00460DB1" w:rsidRDefault="009F29AF" w:rsidP="00460DB1">
      <w:pPr>
        <w:pStyle w:val="Style11"/>
        <w:adjustRightInd w:val="0"/>
        <w:snapToGrid w:val="0"/>
        <w:spacing w:line="520" w:lineRule="exact"/>
        <w:ind w:firstLine="640"/>
        <w:rPr>
          <w:rFonts w:ascii="Times New Roman" w:eastAsia="黑体" w:hAnsi="Times New Roman"/>
          <w:sz w:val="32"/>
        </w:rPr>
      </w:pPr>
      <w:r w:rsidRPr="00460DB1">
        <w:rPr>
          <w:rFonts w:ascii="Times New Roman" w:eastAsia="黑体" w:hAnsi="Times New Roman"/>
          <w:sz w:val="32"/>
        </w:rPr>
        <w:t>二、注册审查要点</w:t>
      </w:r>
    </w:p>
    <w:p w:rsidR="00451AC3" w:rsidRPr="00460DB1" w:rsidRDefault="009F29AF" w:rsidP="00460DB1">
      <w:pPr>
        <w:adjustRightInd w:val="0"/>
        <w:snapToGrid w:val="0"/>
        <w:spacing w:line="520" w:lineRule="exact"/>
        <w:ind w:firstLineChars="200" w:firstLine="640"/>
        <w:rPr>
          <w:rFonts w:eastAsia="楷体_GB2312"/>
          <w:sz w:val="32"/>
          <w:szCs w:val="32"/>
        </w:rPr>
      </w:pPr>
      <w:r w:rsidRPr="00460DB1">
        <w:rPr>
          <w:rFonts w:eastAsia="楷体_GB2312"/>
          <w:sz w:val="32"/>
          <w:szCs w:val="32"/>
        </w:rPr>
        <w:t>（一）监管信息</w:t>
      </w:r>
    </w:p>
    <w:p w:rsidR="00451AC3" w:rsidRPr="00460DB1" w:rsidRDefault="009F29AF" w:rsidP="00460DB1">
      <w:pPr>
        <w:adjustRightInd w:val="0"/>
        <w:snapToGrid w:val="0"/>
        <w:spacing w:line="520" w:lineRule="exact"/>
        <w:ind w:firstLineChars="200" w:firstLine="640"/>
        <w:rPr>
          <w:rFonts w:eastAsia="仿宋_GB2312"/>
          <w:sz w:val="32"/>
          <w:szCs w:val="28"/>
        </w:rPr>
      </w:pPr>
      <w:r w:rsidRPr="00460DB1">
        <w:rPr>
          <w:rFonts w:eastAsia="仿宋_GB2312"/>
          <w:sz w:val="32"/>
          <w:szCs w:val="28"/>
        </w:rPr>
        <w:t>1.</w:t>
      </w:r>
      <w:r w:rsidRPr="00460DB1">
        <w:rPr>
          <w:rFonts w:eastAsia="仿宋_GB2312"/>
          <w:sz w:val="32"/>
          <w:szCs w:val="28"/>
        </w:rPr>
        <w:t>产品名称及分类编码</w:t>
      </w:r>
    </w:p>
    <w:p w:rsidR="00451AC3" w:rsidRPr="00460DB1" w:rsidRDefault="009F29AF" w:rsidP="00460DB1">
      <w:pPr>
        <w:adjustRightInd w:val="0"/>
        <w:snapToGrid w:val="0"/>
        <w:spacing w:line="520" w:lineRule="exact"/>
        <w:ind w:firstLineChars="200" w:firstLine="640"/>
        <w:rPr>
          <w:rFonts w:eastAsia="仿宋_GB2312"/>
          <w:sz w:val="32"/>
        </w:rPr>
      </w:pPr>
      <w:r w:rsidRPr="00460DB1">
        <w:rPr>
          <w:rFonts w:eastAsia="仿宋_GB2312"/>
          <w:sz w:val="32"/>
        </w:rPr>
        <w:t>产品名称应符合《体外诊断试剂注册与备案管理办法》及相关法规的要求，如人</w:t>
      </w:r>
      <w:r w:rsidRPr="00460DB1">
        <w:rPr>
          <w:rFonts w:eastAsia="仿宋_GB2312"/>
          <w:sz w:val="32"/>
        </w:rPr>
        <w:t>KRAS</w:t>
      </w:r>
      <w:r w:rsidRPr="00460DB1">
        <w:rPr>
          <w:rFonts w:eastAsia="仿宋_GB2312"/>
          <w:sz w:val="32"/>
        </w:rPr>
        <w:t>基因突变检测试剂（</w:t>
      </w:r>
      <w:r w:rsidRPr="00460DB1">
        <w:rPr>
          <w:rFonts w:eastAsia="仿宋_GB2312"/>
          <w:sz w:val="32"/>
        </w:rPr>
        <w:t>PCR</w:t>
      </w:r>
      <w:r w:rsidRPr="00460DB1">
        <w:rPr>
          <w:rFonts w:eastAsia="仿宋_GB2312"/>
          <w:sz w:val="32"/>
        </w:rPr>
        <w:t>法）。根据《体外诊断试剂分类目录》，与治疗药物靶点检测相关的试剂和伴随诊断用试剂，按照第三类体外诊断试剂管理，分类编码为</w:t>
      </w:r>
      <w:r w:rsidRPr="00460DB1">
        <w:rPr>
          <w:rFonts w:eastAsia="仿宋_GB2312"/>
          <w:sz w:val="32"/>
        </w:rPr>
        <w:t>6840</w:t>
      </w:r>
      <w:r w:rsidRPr="00460DB1">
        <w:rPr>
          <w:rFonts w:eastAsia="仿宋_GB2312"/>
          <w:sz w:val="32"/>
        </w:rPr>
        <w:t>。</w:t>
      </w:r>
    </w:p>
    <w:p w:rsidR="00451AC3" w:rsidRPr="00460DB1" w:rsidRDefault="009F29AF" w:rsidP="00460DB1">
      <w:pPr>
        <w:adjustRightInd w:val="0"/>
        <w:snapToGrid w:val="0"/>
        <w:spacing w:line="520" w:lineRule="exact"/>
        <w:ind w:firstLineChars="200" w:firstLine="640"/>
        <w:rPr>
          <w:rFonts w:eastAsia="仿宋_GB2312"/>
          <w:sz w:val="32"/>
          <w:szCs w:val="28"/>
        </w:rPr>
      </w:pPr>
      <w:r w:rsidRPr="00460DB1">
        <w:rPr>
          <w:rFonts w:eastAsia="仿宋_GB2312"/>
          <w:sz w:val="32"/>
          <w:szCs w:val="28"/>
        </w:rPr>
        <w:t>2.</w:t>
      </w:r>
      <w:r w:rsidRPr="00460DB1">
        <w:rPr>
          <w:rFonts w:eastAsia="仿宋_GB2312"/>
          <w:sz w:val="32"/>
          <w:szCs w:val="28"/>
        </w:rPr>
        <w:t>其他信息</w:t>
      </w:r>
    </w:p>
    <w:p w:rsidR="00451AC3" w:rsidRPr="00460DB1" w:rsidRDefault="009F29AF" w:rsidP="00460DB1">
      <w:pPr>
        <w:widowControl/>
        <w:adjustRightInd w:val="0"/>
        <w:snapToGrid w:val="0"/>
        <w:spacing w:line="520" w:lineRule="exact"/>
        <w:ind w:firstLineChars="200" w:firstLine="640"/>
        <w:rPr>
          <w:rFonts w:eastAsia="黑体"/>
          <w:sz w:val="32"/>
          <w:szCs w:val="32"/>
        </w:rPr>
      </w:pPr>
      <w:r w:rsidRPr="00460DB1">
        <w:rPr>
          <w:rFonts w:eastAsia="仿宋_GB2312"/>
          <w:sz w:val="32"/>
        </w:rPr>
        <w:t>还包括产品列表、关联文件、申报前与监管机构的联系情况和沟通记录以及符合性声明等文件。</w:t>
      </w:r>
    </w:p>
    <w:p w:rsidR="00451AC3" w:rsidRPr="00460DB1" w:rsidRDefault="009F29AF" w:rsidP="00460DB1">
      <w:pPr>
        <w:adjustRightInd w:val="0"/>
        <w:snapToGrid w:val="0"/>
        <w:spacing w:line="520" w:lineRule="exact"/>
        <w:ind w:firstLineChars="200" w:firstLine="640"/>
        <w:rPr>
          <w:rFonts w:eastAsia="楷体_GB2312"/>
          <w:color w:val="000000"/>
          <w:sz w:val="32"/>
          <w:szCs w:val="32"/>
        </w:rPr>
      </w:pPr>
      <w:r w:rsidRPr="00460DB1">
        <w:rPr>
          <w:rFonts w:eastAsia="楷体_GB2312"/>
          <w:color w:val="000000"/>
          <w:sz w:val="32"/>
          <w:szCs w:val="32"/>
        </w:rPr>
        <w:t>（二）综述资料</w:t>
      </w:r>
    </w:p>
    <w:p w:rsidR="00451AC3" w:rsidRPr="00460DB1" w:rsidRDefault="009F29AF" w:rsidP="00460DB1">
      <w:pPr>
        <w:widowControl/>
        <w:adjustRightInd w:val="0"/>
        <w:snapToGrid w:val="0"/>
        <w:spacing w:line="520" w:lineRule="exact"/>
        <w:ind w:firstLineChars="200" w:firstLine="640"/>
        <w:rPr>
          <w:rFonts w:eastAsia="仿宋_GB2312"/>
          <w:color w:val="000000"/>
          <w:sz w:val="32"/>
          <w:szCs w:val="32"/>
        </w:rPr>
      </w:pPr>
      <w:r w:rsidRPr="00460DB1">
        <w:rPr>
          <w:rFonts w:eastAsia="仿宋_GB2312"/>
          <w:color w:val="000000"/>
          <w:sz w:val="32"/>
          <w:szCs w:val="32"/>
        </w:rPr>
        <w:t>综述资料主要包括概述、产品描述、预期用途、申报产品上市历史及其他需说明的内容。其中，与同类和</w:t>
      </w:r>
      <w:r w:rsidRPr="00460DB1">
        <w:rPr>
          <w:rFonts w:eastAsia="仿宋_GB2312"/>
          <w:color w:val="000000"/>
          <w:sz w:val="32"/>
          <w:szCs w:val="32"/>
        </w:rPr>
        <w:t>/</w:t>
      </w:r>
      <w:r w:rsidRPr="00460DB1">
        <w:rPr>
          <w:rFonts w:eastAsia="仿宋_GB2312"/>
          <w:color w:val="000000"/>
          <w:sz w:val="32"/>
          <w:szCs w:val="32"/>
        </w:rPr>
        <w:t>或前代产品的比较应着重从技术原理、主要组成成分、被测靶标（基因突变位点）、预期用途、性能指标、临床应用情况等方面详细说明申报产品与已获批准的同类和</w:t>
      </w:r>
      <w:r w:rsidRPr="00460DB1">
        <w:rPr>
          <w:rFonts w:eastAsia="仿宋_GB2312"/>
          <w:color w:val="000000"/>
          <w:sz w:val="32"/>
          <w:szCs w:val="32"/>
        </w:rPr>
        <w:t>/</w:t>
      </w:r>
      <w:r w:rsidRPr="00460DB1">
        <w:rPr>
          <w:rFonts w:eastAsia="仿宋_GB2312"/>
          <w:color w:val="000000"/>
          <w:sz w:val="32"/>
          <w:szCs w:val="32"/>
        </w:rPr>
        <w:t>或前代产品之间的主要区别。预期用途应详述</w:t>
      </w:r>
      <w:r w:rsidRPr="00460DB1">
        <w:rPr>
          <w:rFonts w:eastAsia="仿宋_GB2312"/>
          <w:color w:val="000000"/>
          <w:sz w:val="32"/>
          <w:szCs w:val="32"/>
        </w:rPr>
        <w:t>KRAS</w:t>
      </w:r>
      <w:r w:rsidRPr="00460DB1">
        <w:rPr>
          <w:rFonts w:eastAsia="仿宋_GB2312"/>
          <w:color w:val="000000"/>
          <w:sz w:val="32"/>
          <w:szCs w:val="32"/>
        </w:rPr>
        <w:t>基因突变与适应症之间的关联，药物对不同</w:t>
      </w:r>
      <w:r w:rsidRPr="00460DB1">
        <w:rPr>
          <w:rFonts w:eastAsia="仿宋_GB2312"/>
          <w:color w:val="000000"/>
          <w:sz w:val="32"/>
          <w:szCs w:val="32"/>
        </w:rPr>
        <w:t>KRAS</w:t>
      </w:r>
      <w:r w:rsidRPr="00460DB1">
        <w:rPr>
          <w:rFonts w:eastAsia="仿宋_GB2312"/>
          <w:color w:val="000000"/>
          <w:sz w:val="32"/>
          <w:szCs w:val="32"/>
        </w:rPr>
        <w:t>突变类型的患者治疗效果描述，提交相应支持性资料。</w:t>
      </w:r>
    </w:p>
    <w:p w:rsidR="00451AC3" w:rsidRPr="00460DB1" w:rsidRDefault="009F29AF" w:rsidP="00460DB1">
      <w:pPr>
        <w:adjustRightInd w:val="0"/>
        <w:snapToGrid w:val="0"/>
        <w:spacing w:line="520" w:lineRule="exact"/>
        <w:ind w:firstLineChars="200" w:firstLine="640"/>
        <w:rPr>
          <w:rFonts w:eastAsia="楷体_GB2312"/>
          <w:kern w:val="0"/>
          <w:sz w:val="32"/>
          <w:szCs w:val="32"/>
        </w:rPr>
      </w:pPr>
      <w:bookmarkStart w:id="0" w:name="_Toc342306962"/>
      <w:r w:rsidRPr="00460DB1">
        <w:rPr>
          <w:rFonts w:eastAsia="楷体_GB2312"/>
          <w:kern w:val="0"/>
          <w:sz w:val="32"/>
          <w:szCs w:val="32"/>
        </w:rPr>
        <w:t>（三）非临床资料</w:t>
      </w:r>
    </w:p>
    <w:p w:rsidR="00451AC3" w:rsidRPr="00460DB1" w:rsidRDefault="009F29AF" w:rsidP="00460DB1">
      <w:pPr>
        <w:adjustRightInd w:val="0"/>
        <w:snapToGrid w:val="0"/>
        <w:spacing w:line="520" w:lineRule="exact"/>
        <w:ind w:firstLineChars="200" w:firstLine="640"/>
        <w:rPr>
          <w:rFonts w:eastAsia="楷体_GB2312"/>
          <w:kern w:val="0"/>
          <w:sz w:val="32"/>
          <w:szCs w:val="32"/>
        </w:rPr>
      </w:pPr>
      <w:r w:rsidRPr="00460DB1">
        <w:rPr>
          <w:rFonts w:eastAsia="楷体_GB2312"/>
          <w:kern w:val="0"/>
          <w:sz w:val="32"/>
          <w:szCs w:val="32"/>
        </w:rPr>
        <w:t>1.</w:t>
      </w:r>
      <w:r w:rsidRPr="00460DB1">
        <w:rPr>
          <w:rFonts w:ascii="仿宋_GB2312" w:eastAsia="仿宋_GB2312" w:hint="eastAsia"/>
          <w:kern w:val="0"/>
          <w:sz w:val="32"/>
          <w:szCs w:val="32"/>
        </w:rPr>
        <w:t>产品技术要求及检验报告</w:t>
      </w:r>
    </w:p>
    <w:p w:rsidR="00451AC3" w:rsidRPr="00460DB1" w:rsidRDefault="009F29AF" w:rsidP="00460DB1">
      <w:pPr>
        <w:widowControl/>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注册申请人应当在原材料质量和生产工艺稳定的前提下，根据产品研制、前期评价等结果，依据国家标准、行业标准及有关文献资料，结合产品特性按照《医疗器械产品技术要求编写指导</w:t>
      </w:r>
      <w:r w:rsidRPr="00460DB1">
        <w:rPr>
          <w:rFonts w:eastAsia="仿宋_GB2312"/>
          <w:bCs/>
          <w:color w:val="000000"/>
          <w:sz w:val="32"/>
          <w:szCs w:val="32"/>
        </w:rPr>
        <w:lastRenderedPageBreak/>
        <w:t>原则》的要求编写。该类产品作为第三类体外诊断试剂，应当以附录形式明确主要原材料以及生产工艺要求。</w:t>
      </w:r>
    </w:p>
    <w:p w:rsidR="00451AC3" w:rsidRPr="00460DB1" w:rsidRDefault="009F29AF" w:rsidP="00460DB1">
      <w:pPr>
        <w:widowControl/>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人</w:t>
      </w:r>
      <w:r w:rsidRPr="00460DB1">
        <w:rPr>
          <w:rFonts w:eastAsia="仿宋_GB2312"/>
          <w:bCs/>
          <w:color w:val="000000"/>
          <w:sz w:val="32"/>
          <w:szCs w:val="32"/>
        </w:rPr>
        <w:t>KRAS</w:t>
      </w:r>
      <w:r w:rsidRPr="00460DB1">
        <w:rPr>
          <w:rFonts w:eastAsia="仿宋_GB2312"/>
          <w:bCs/>
          <w:color w:val="000000"/>
          <w:sz w:val="32"/>
          <w:szCs w:val="32"/>
        </w:rPr>
        <w:t>基因突变检测试剂已有适用的国家参考品，技术要求中应体现国家参考品的相关要求，并使用国家参考品对三批产品进行检验。</w:t>
      </w:r>
    </w:p>
    <w:p w:rsidR="00451AC3" w:rsidRPr="00460DB1" w:rsidRDefault="009F29AF" w:rsidP="00460DB1">
      <w:pPr>
        <w:widowControl/>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如有适用的国家标准、行业标准，产品技术要求的相关要求应不低于相应的要求。</w:t>
      </w:r>
    </w:p>
    <w:p w:rsidR="00451AC3" w:rsidRPr="00460DB1" w:rsidRDefault="009F29AF" w:rsidP="00460DB1">
      <w:pPr>
        <w:adjustRightInd w:val="0"/>
        <w:snapToGrid w:val="0"/>
        <w:spacing w:line="520" w:lineRule="exact"/>
        <w:ind w:firstLineChars="200" w:firstLine="640"/>
        <w:rPr>
          <w:rFonts w:eastAsia="仿宋_GB2312"/>
          <w:color w:val="000000"/>
          <w:sz w:val="32"/>
          <w:szCs w:val="32"/>
        </w:rPr>
      </w:pPr>
      <w:r w:rsidRPr="00460DB1">
        <w:rPr>
          <w:rFonts w:eastAsia="仿宋_GB2312"/>
          <w:color w:val="000000"/>
          <w:sz w:val="32"/>
          <w:szCs w:val="32"/>
        </w:rPr>
        <w:t>2.</w:t>
      </w:r>
      <w:r w:rsidRPr="00460DB1">
        <w:rPr>
          <w:rFonts w:eastAsia="仿宋_GB2312"/>
          <w:color w:val="000000"/>
          <w:sz w:val="32"/>
          <w:szCs w:val="32"/>
        </w:rPr>
        <w:t>分析性能研究</w:t>
      </w:r>
    </w:p>
    <w:p w:rsidR="00451AC3" w:rsidRPr="00460DB1" w:rsidRDefault="009F29AF" w:rsidP="00460DB1">
      <w:pPr>
        <w:adjustRightInd w:val="0"/>
        <w:snapToGrid w:val="0"/>
        <w:spacing w:line="520" w:lineRule="exact"/>
        <w:ind w:firstLineChars="200" w:firstLine="640"/>
        <w:rPr>
          <w:rFonts w:eastAsia="仿宋_GB2312"/>
          <w:sz w:val="32"/>
          <w:szCs w:val="32"/>
        </w:rPr>
      </w:pPr>
      <w:r w:rsidRPr="00460DB1">
        <w:rPr>
          <w:rFonts w:eastAsia="仿宋_GB2312"/>
          <w:sz w:val="32"/>
          <w:szCs w:val="32"/>
        </w:rPr>
        <w:t>注册申请人应采用在符合质量管理体系的环境下生产的试剂盒进行所有分析性能研究，提交具体试验方案、试验数据、统计分析等详细资料。</w:t>
      </w:r>
    </w:p>
    <w:p w:rsidR="00451AC3" w:rsidRPr="00460DB1" w:rsidRDefault="009F29AF" w:rsidP="00460DB1">
      <w:pPr>
        <w:adjustRightInd w:val="0"/>
        <w:snapToGrid w:val="0"/>
        <w:spacing w:line="520" w:lineRule="exact"/>
        <w:ind w:firstLineChars="200" w:firstLine="640"/>
        <w:rPr>
          <w:rFonts w:eastAsia="仿宋_GB2312"/>
          <w:sz w:val="32"/>
          <w:szCs w:val="32"/>
        </w:rPr>
      </w:pPr>
      <w:r w:rsidRPr="00460DB1">
        <w:rPr>
          <w:rFonts w:eastAsia="仿宋_GB2312"/>
          <w:sz w:val="32"/>
          <w:szCs w:val="32"/>
        </w:rPr>
        <w:t>如申报产品用于不同适用机型，应采用一个或多个机型，进行充分的试剂分析性能建立研究，对于其他机型，应分析各适用机型的工作原理、检测方法、反应条件控制、信号处理等，如基本相同，可基于风险分析对已建立的分析性能指标进行合理验证。所有适用机型验证的分析性能应基本一致，如不同机型对某一检测项目的某一分析性能存在差异，应针对该差异采用不同机型进行充分的分析性能建立研究。</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sz w:val="32"/>
          <w:szCs w:val="32"/>
        </w:rPr>
        <w:t>如申报产品包含不同的包装规格，需要对各包装规格进行分析或验证。如不同规格间存在性能差异，需采用每个包装规格产品进行分析性能评估；如不同规格间不存在性能差异，需要详细说明各规格间的差别及可能产生的影响，采用具有代表性的包装规格进行分析性能评估。</w:t>
      </w:r>
    </w:p>
    <w:p w:rsidR="00451AC3" w:rsidRPr="00460DB1" w:rsidRDefault="009F29AF" w:rsidP="00460DB1">
      <w:pPr>
        <w:adjustRightInd w:val="0"/>
        <w:snapToGrid w:val="0"/>
        <w:spacing w:line="520" w:lineRule="exact"/>
        <w:ind w:firstLineChars="200" w:firstLine="640"/>
        <w:rPr>
          <w:rFonts w:eastAsia="仿宋_GB2312"/>
          <w:sz w:val="32"/>
          <w:szCs w:val="32"/>
        </w:rPr>
      </w:pPr>
      <w:r w:rsidRPr="00460DB1">
        <w:rPr>
          <w:rFonts w:eastAsia="仿宋_GB2312"/>
          <w:sz w:val="32"/>
          <w:szCs w:val="32"/>
        </w:rPr>
        <w:t>分析性能评估所用样本的基本信息均需明确，例如样本来源、类型、数量、稀释方式等。研究中采用的人</w:t>
      </w:r>
      <w:r w:rsidRPr="00460DB1">
        <w:rPr>
          <w:rFonts w:eastAsia="仿宋_GB2312"/>
          <w:sz w:val="32"/>
          <w:szCs w:val="32"/>
        </w:rPr>
        <w:t>KRAS</w:t>
      </w:r>
      <w:r w:rsidRPr="00460DB1">
        <w:rPr>
          <w:rFonts w:eastAsia="仿宋_GB2312"/>
          <w:sz w:val="32"/>
          <w:szCs w:val="32"/>
        </w:rPr>
        <w:t>基因突变</w:t>
      </w:r>
      <w:r w:rsidRPr="00460DB1">
        <w:rPr>
          <w:rFonts w:eastAsia="仿宋_GB2312"/>
          <w:color w:val="000000"/>
          <w:sz w:val="32"/>
          <w:szCs w:val="32"/>
        </w:rPr>
        <w:t>FFPE</w:t>
      </w:r>
      <w:r w:rsidRPr="00460DB1">
        <w:rPr>
          <w:rFonts w:eastAsia="仿宋_GB2312"/>
          <w:sz w:val="32"/>
          <w:szCs w:val="32"/>
        </w:rPr>
        <w:t>样本，应采用科学合理的方法确定其突变类型、突变序列百分率</w:t>
      </w:r>
      <w:r w:rsidRPr="00460DB1">
        <w:rPr>
          <w:rFonts w:eastAsia="仿宋_GB2312"/>
          <w:sz w:val="32"/>
          <w:szCs w:val="32"/>
        </w:rPr>
        <w:lastRenderedPageBreak/>
        <w:t>和人基因组</w:t>
      </w:r>
      <w:r w:rsidRPr="00460DB1">
        <w:rPr>
          <w:rFonts w:eastAsia="仿宋_GB2312"/>
          <w:sz w:val="32"/>
          <w:szCs w:val="32"/>
        </w:rPr>
        <w:t>DNA</w:t>
      </w:r>
      <w:r w:rsidRPr="00460DB1">
        <w:rPr>
          <w:rFonts w:eastAsia="仿宋_GB2312"/>
          <w:sz w:val="32"/>
          <w:szCs w:val="32"/>
        </w:rPr>
        <w:t>浓度水平，提交具体的试验资料。如涉及样本稀释后检测，应采用与适用样本类型一致的阴性基质。对于各项性能中采用的样本，在下述各项性能研究资料中分别提供样本信息。</w:t>
      </w:r>
    </w:p>
    <w:p w:rsidR="00451AC3" w:rsidRPr="00460DB1" w:rsidRDefault="009F29AF" w:rsidP="00460DB1">
      <w:pPr>
        <w:adjustRightInd w:val="0"/>
        <w:snapToGrid w:val="0"/>
        <w:spacing w:line="520" w:lineRule="exact"/>
        <w:ind w:firstLineChars="200" w:firstLine="640"/>
        <w:rPr>
          <w:rFonts w:eastAsia="楷体_GB2312"/>
          <w:kern w:val="0"/>
          <w:sz w:val="32"/>
          <w:szCs w:val="32"/>
        </w:rPr>
      </w:pPr>
      <w:r w:rsidRPr="00460DB1">
        <w:rPr>
          <w:rFonts w:eastAsia="仿宋_GB2312"/>
          <w:color w:val="000000"/>
          <w:sz w:val="32"/>
          <w:szCs w:val="32"/>
        </w:rPr>
        <w:t>2.1</w:t>
      </w:r>
      <w:r w:rsidRPr="00460DB1">
        <w:rPr>
          <w:rFonts w:eastAsia="仿宋_GB2312"/>
          <w:color w:val="000000"/>
          <w:sz w:val="32"/>
          <w:szCs w:val="32"/>
        </w:rPr>
        <w:t>样本稳定性</w:t>
      </w:r>
    </w:p>
    <w:bookmarkEnd w:id="0"/>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2.1.1</w:t>
      </w:r>
      <w:r w:rsidRPr="00460DB1">
        <w:rPr>
          <w:rFonts w:eastAsia="仿宋_GB2312"/>
          <w:color w:val="000000"/>
          <w:kern w:val="0"/>
          <w:sz w:val="32"/>
          <w:szCs w:val="32"/>
        </w:rPr>
        <w:t>样本提取前核酸序列的稳定性</w:t>
      </w:r>
    </w:p>
    <w:p w:rsidR="00451AC3" w:rsidRPr="00460DB1" w:rsidRDefault="009F29AF" w:rsidP="00460DB1">
      <w:pPr>
        <w:adjustRightInd w:val="0"/>
        <w:snapToGrid w:val="0"/>
        <w:spacing w:line="520" w:lineRule="exact"/>
        <w:ind w:firstLineChars="200" w:firstLine="616"/>
        <w:rPr>
          <w:rFonts w:eastAsia="仿宋_GB2312"/>
          <w:color w:val="000000"/>
          <w:spacing w:val="-6"/>
          <w:kern w:val="0"/>
          <w:sz w:val="32"/>
          <w:szCs w:val="32"/>
        </w:rPr>
      </w:pPr>
      <w:r w:rsidRPr="00460DB1">
        <w:rPr>
          <w:rFonts w:eastAsia="仿宋_GB2312"/>
          <w:color w:val="000000"/>
          <w:spacing w:val="-6"/>
          <w:kern w:val="0"/>
          <w:sz w:val="32"/>
          <w:szCs w:val="32"/>
        </w:rPr>
        <w:t>经福尔马林固定石蜡包埋的组织样本通常较为稳定。申请人可依据相关专家共识及文献，确定样本的保存温度及保存年限，一般而言，样本保存年限不宜超过</w:t>
      </w:r>
      <w:r w:rsidRPr="00460DB1">
        <w:rPr>
          <w:rFonts w:eastAsia="仿宋_GB2312"/>
          <w:color w:val="000000"/>
          <w:spacing w:val="-6"/>
          <w:kern w:val="0"/>
          <w:sz w:val="32"/>
          <w:szCs w:val="32"/>
        </w:rPr>
        <w:t>5</w:t>
      </w:r>
      <w:r w:rsidRPr="00460DB1">
        <w:rPr>
          <w:rFonts w:eastAsia="仿宋_GB2312"/>
          <w:color w:val="000000"/>
          <w:spacing w:val="-6"/>
          <w:kern w:val="0"/>
          <w:sz w:val="32"/>
          <w:szCs w:val="32"/>
        </w:rPr>
        <w:t>年，以确保样本质量及后续试验的可靠性。申请人亦可通过验证不同保存温度及保存年限对样本检测结果的影响，确定样本的保存温度及保存年限，并提交研究数据。</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2.1.2</w:t>
      </w:r>
      <w:r w:rsidRPr="00460DB1">
        <w:rPr>
          <w:rFonts w:eastAsia="仿宋_GB2312"/>
          <w:color w:val="000000"/>
          <w:kern w:val="0"/>
          <w:sz w:val="32"/>
          <w:szCs w:val="32"/>
        </w:rPr>
        <w:t>样本提取后核酸序列的稳定性</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应检测样本提取后核酸的含量，设置反应体系所需初始</w:t>
      </w:r>
      <w:r w:rsidRPr="00460DB1">
        <w:rPr>
          <w:rFonts w:eastAsia="仿宋_GB2312"/>
          <w:color w:val="000000"/>
          <w:kern w:val="0"/>
          <w:sz w:val="32"/>
          <w:szCs w:val="32"/>
        </w:rPr>
        <w:t>DNA</w:t>
      </w:r>
      <w:r w:rsidRPr="00460DB1">
        <w:rPr>
          <w:rFonts w:eastAsia="仿宋_GB2312"/>
          <w:color w:val="000000"/>
          <w:kern w:val="0"/>
          <w:sz w:val="32"/>
          <w:szCs w:val="32"/>
        </w:rPr>
        <w:t>含量范围，如单位体积</w:t>
      </w:r>
      <w:r w:rsidRPr="00460DB1">
        <w:rPr>
          <w:rFonts w:eastAsia="仿宋_GB2312"/>
          <w:color w:val="000000"/>
          <w:kern w:val="0"/>
          <w:sz w:val="32"/>
          <w:szCs w:val="32"/>
        </w:rPr>
        <w:t>DNA</w:t>
      </w:r>
      <w:r w:rsidRPr="00460DB1">
        <w:rPr>
          <w:rFonts w:eastAsia="仿宋_GB2312"/>
          <w:color w:val="000000"/>
          <w:kern w:val="0"/>
          <w:sz w:val="32"/>
          <w:szCs w:val="32"/>
        </w:rPr>
        <w:t>浓度超过所需浓度上限或下限，应提供相应的改进措施。可采用紫外</w:t>
      </w:r>
      <w:r w:rsidRPr="00460DB1">
        <w:rPr>
          <w:rFonts w:eastAsia="仿宋_GB2312"/>
          <w:color w:val="000000"/>
          <w:kern w:val="0"/>
          <w:sz w:val="32"/>
          <w:szCs w:val="32"/>
        </w:rPr>
        <w:t>-</w:t>
      </w:r>
      <w:r w:rsidRPr="00460DB1">
        <w:rPr>
          <w:rFonts w:eastAsia="仿宋_GB2312"/>
          <w:color w:val="000000"/>
          <w:kern w:val="0"/>
          <w:sz w:val="32"/>
          <w:szCs w:val="32"/>
        </w:rPr>
        <w:t>可见分光光度计或其它方法对</w:t>
      </w:r>
      <w:r w:rsidRPr="00460DB1">
        <w:rPr>
          <w:rFonts w:eastAsia="仿宋_GB2312"/>
          <w:color w:val="000000"/>
          <w:kern w:val="0"/>
          <w:sz w:val="32"/>
          <w:szCs w:val="32"/>
        </w:rPr>
        <w:t>DNA</w:t>
      </w:r>
      <w:r w:rsidRPr="00460DB1">
        <w:rPr>
          <w:rFonts w:eastAsia="仿宋_GB2312"/>
          <w:color w:val="000000"/>
          <w:kern w:val="0"/>
          <w:sz w:val="32"/>
          <w:szCs w:val="32"/>
        </w:rPr>
        <w:t>浓度进行定量，通过</w:t>
      </w:r>
      <w:r w:rsidRPr="00460DB1">
        <w:rPr>
          <w:rFonts w:eastAsia="仿宋_GB2312"/>
          <w:color w:val="000000"/>
          <w:kern w:val="0"/>
          <w:sz w:val="32"/>
          <w:szCs w:val="32"/>
        </w:rPr>
        <w:t>260 nm/280 nm</w:t>
      </w:r>
      <w:r w:rsidRPr="00460DB1">
        <w:rPr>
          <w:rFonts w:eastAsia="仿宋_GB2312"/>
          <w:color w:val="000000"/>
          <w:kern w:val="0"/>
          <w:sz w:val="32"/>
          <w:szCs w:val="32"/>
        </w:rPr>
        <w:t>处的吸光度比值（</w:t>
      </w:r>
      <w:r w:rsidRPr="00460DB1">
        <w:rPr>
          <w:rFonts w:eastAsia="仿宋_GB2312"/>
          <w:color w:val="000000"/>
          <w:kern w:val="0"/>
          <w:sz w:val="32"/>
          <w:szCs w:val="32"/>
        </w:rPr>
        <w:t>OD260/OD280</w:t>
      </w:r>
      <w:r w:rsidRPr="00460DB1">
        <w:rPr>
          <w:rFonts w:eastAsia="仿宋_GB2312"/>
          <w:color w:val="000000"/>
          <w:kern w:val="0"/>
          <w:sz w:val="32"/>
          <w:szCs w:val="32"/>
        </w:rPr>
        <w:t>）或其他方法评价其纯度。同时，应对核酸提取液的保存时间、保存温度进行验证。并评价冻融次数、储存条件等对样本提取后核酸序列稳定性的影响。</w:t>
      </w:r>
    </w:p>
    <w:p w:rsidR="00451AC3" w:rsidRPr="00460DB1" w:rsidRDefault="009F29AF" w:rsidP="00460DB1">
      <w:pPr>
        <w:adjustRightInd w:val="0"/>
        <w:snapToGrid w:val="0"/>
        <w:spacing w:line="520" w:lineRule="exact"/>
        <w:ind w:firstLineChars="200" w:firstLine="640"/>
        <w:rPr>
          <w:rFonts w:eastAsia="仿宋_GB2312"/>
          <w:color w:val="000000"/>
          <w:sz w:val="32"/>
          <w:szCs w:val="32"/>
        </w:rPr>
      </w:pPr>
      <w:r w:rsidRPr="00460DB1">
        <w:rPr>
          <w:rFonts w:eastAsia="仿宋_GB2312"/>
          <w:color w:val="000000"/>
          <w:sz w:val="32"/>
          <w:szCs w:val="32"/>
        </w:rPr>
        <w:t>2.2</w:t>
      </w:r>
      <w:r w:rsidRPr="00460DB1">
        <w:rPr>
          <w:rFonts w:eastAsia="仿宋_GB2312"/>
          <w:color w:val="000000"/>
          <w:sz w:val="32"/>
          <w:szCs w:val="32"/>
        </w:rPr>
        <w:t>适用的样本类型</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列明产品适用的样本类型为</w:t>
      </w:r>
      <w:r w:rsidRPr="00460DB1">
        <w:rPr>
          <w:rFonts w:eastAsia="仿宋_GB2312"/>
          <w:color w:val="000000"/>
          <w:kern w:val="0"/>
          <w:sz w:val="32"/>
          <w:szCs w:val="32"/>
        </w:rPr>
        <w:t>CRC FFPE</w:t>
      </w:r>
      <w:r w:rsidRPr="00460DB1">
        <w:rPr>
          <w:rFonts w:eastAsia="仿宋_GB2312"/>
          <w:color w:val="000000"/>
          <w:kern w:val="0"/>
          <w:sz w:val="32"/>
          <w:szCs w:val="32"/>
        </w:rPr>
        <w:t>病理组织样本。</w:t>
      </w:r>
    </w:p>
    <w:p w:rsidR="00451AC3" w:rsidRPr="00460DB1" w:rsidRDefault="009F29AF" w:rsidP="00460DB1">
      <w:pPr>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2.3</w:t>
      </w:r>
      <w:r w:rsidRPr="00460DB1">
        <w:rPr>
          <w:rFonts w:eastAsia="仿宋_GB2312"/>
          <w:bCs/>
          <w:color w:val="000000"/>
          <w:sz w:val="32"/>
          <w:szCs w:val="32"/>
        </w:rPr>
        <w:t>准确度</w:t>
      </w:r>
    </w:p>
    <w:p w:rsidR="00451AC3" w:rsidRPr="00460DB1" w:rsidRDefault="009F29AF" w:rsidP="00460DB1">
      <w:pPr>
        <w:adjustRightInd w:val="0"/>
        <w:snapToGrid w:val="0"/>
        <w:spacing w:line="520" w:lineRule="exact"/>
        <w:ind w:firstLineChars="200" w:firstLine="640"/>
        <w:rPr>
          <w:rFonts w:eastAsia="仿宋_GB2312"/>
          <w:bCs/>
          <w:strike/>
          <w:color w:val="000000"/>
          <w:sz w:val="32"/>
          <w:szCs w:val="32"/>
        </w:rPr>
      </w:pPr>
      <w:r w:rsidRPr="00460DB1">
        <w:rPr>
          <w:rFonts w:eastAsia="仿宋_GB2312"/>
          <w:bCs/>
          <w:color w:val="000000"/>
          <w:sz w:val="32"/>
          <w:szCs w:val="32"/>
        </w:rPr>
        <w:t>采用申报试剂与核酸测序或已上市同类产品，同时检测临床样本，比较检测结果之间的一致性程度，进行申报试剂的准确度评价。</w:t>
      </w:r>
    </w:p>
    <w:p w:rsidR="00451AC3" w:rsidRPr="00460DB1" w:rsidRDefault="009F29AF" w:rsidP="00460DB1">
      <w:pPr>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研究用样本应纳入一定数量的人</w:t>
      </w:r>
      <w:r w:rsidRPr="00460DB1">
        <w:rPr>
          <w:rFonts w:eastAsia="仿宋_GB2312"/>
          <w:bCs/>
          <w:color w:val="000000"/>
          <w:sz w:val="32"/>
          <w:szCs w:val="32"/>
        </w:rPr>
        <w:t>KRAS</w:t>
      </w:r>
      <w:r w:rsidRPr="00460DB1">
        <w:rPr>
          <w:rFonts w:eastAsia="仿宋_GB2312"/>
          <w:bCs/>
          <w:color w:val="000000"/>
          <w:sz w:val="32"/>
          <w:szCs w:val="32"/>
        </w:rPr>
        <w:t>基因突变型</w:t>
      </w:r>
      <w:r w:rsidRPr="00460DB1">
        <w:rPr>
          <w:rFonts w:eastAsia="仿宋_GB2312"/>
          <w:bCs/>
          <w:color w:val="000000"/>
          <w:sz w:val="32"/>
          <w:szCs w:val="32"/>
        </w:rPr>
        <w:t xml:space="preserve">CRC </w:t>
      </w:r>
      <w:r w:rsidRPr="00460DB1">
        <w:rPr>
          <w:rFonts w:eastAsia="仿宋_GB2312"/>
          <w:bCs/>
          <w:color w:val="000000"/>
          <w:sz w:val="32"/>
          <w:szCs w:val="32"/>
        </w:rPr>
        <w:lastRenderedPageBreak/>
        <w:t>FFPE</w:t>
      </w:r>
      <w:r w:rsidRPr="00460DB1">
        <w:rPr>
          <w:rFonts w:eastAsia="仿宋_GB2312"/>
          <w:bCs/>
          <w:color w:val="000000"/>
          <w:sz w:val="32"/>
          <w:szCs w:val="32"/>
        </w:rPr>
        <w:t>临床样本和野生型</w:t>
      </w:r>
      <w:r w:rsidRPr="00460DB1">
        <w:rPr>
          <w:rFonts w:eastAsia="仿宋_GB2312"/>
          <w:bCs/>
          <w:color w:val="000000"/>
          <w:sz w:val="32"/>
          <w:szCs w:val="32"/>
        </w:rPr>
        <w:t>CRC FFPE</w:t>
      </w:r>
      <w:r w:rsidRPr="00460DB1">
        <w:rPr>
          <w:rFonts w:eastAsia="仿宋_GB2312"/>
          <w:bCs/>
          <w:color w:val="000000"/>
          <w:sz w:val="32"/>
          <w:szCs w:val="32"/>
        </w:rPr>
        <w:t>临床样本，并注意覆盖产品检测范围内的每种突变类型样本，并且应包含不同肿瘤分期（</w:t>
      </w:r>
      <w:r w:rsidRPr="00460DB1">
        <w:rPr>
          <w:rFonts w:eastAsia="仿宋_GB2312"/>
          <w:bCs/>
          <w:color w:val="000000"/>
          <w:sz w:val="32"/>
          <w:szCs w:val="32"/>
        </w:rPr>
        <w:t>I-IV</w:t>
      </w:r>
      <w:r w:rsidRPr="00460DB1">
        <w:rPr>
          <w:rFonts w:eastAsia="仿宋_GB2312"/>
          <w:bCs/>
          <w:color w:val="000000"/>
          <w:sz w:val="32"/>
          <w:szCs w:val="32"/>
        </w:rPr>
        <w:t>期）样本、不同肿瘤组织含量样本及干扰样本。</w:t>
      </w:r>
    </w:p>
    <w:p w:rsidR="00451AC3" w:rsidRPr="00460DB1" w:rsidRDefault="009F29AF" w:rsidP="00460DB1">
      <w:pPr>
        <w:adjustRightInd w:val="0"/>
        <w:snapToGrid w:val="0"/>
        <w:spacing w:line="520" w:lineRule="exact"/>
        <w:ind w:firstLineChars="200" w:firstLine="640"/>
        <w:rPr>
          <w:rFonts w:eastAsia="仿宋_GB2312"/>
          <w:color w:val="000000"/>
          <w:sz w:val="32"/>
          <w:szCs w:val="32"/>
        </w:rPr>
      </w:pPr>
      <w:r w:rsidRPr="00460DB1">
        <w:rPr>
          <w:rFonts w:eastAsia="仿宋_GB2312"/>
          <w:sz w:val="32"/>
          <w:szCs w:val="32"/>
        </w:rPr>
        <w:t>2.4</w:t>
      </w:r>
      <w:r w:rsidRPr="00460DB1">
        <w:rPr>
          <w:rFonts w:eastAsia="仿宋_GB2312"/>
          <w:sz w:val="32"/>
          <w:szCs w:val="32"/>
        </w:rPr>
        <w:t>企业参考品验证</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根据主要原材料研究资料中的企业参考品设置情况，采用三批产品对企业参考品进行检验并提供详细的试验数据。</w:t>
      </w:r>
    </w:p>
    <w:p w:rsidR="00451AC3" w:rsidRPr="00460DB1" w:rsidRDefault="009F29AF" w:rsidP="00460DB1">
      <w:pPr>
        <w:adjustRightInd w:val="0"/>
        <w:snapToGrid w:val="0"/>
        <w:spacing w:line="520" w:lineRule="exact"/>
        <w:ind w:firstLineChars="200" w:firstLine="640"/>
        <w:rPr>
          <w:rFonts w:eastAsia="仿宋_GB2312"/>
          <w:color w:val="000000"/>
          <w:sz w:val="32"/>
          <w:szCs w:val="32"/>
        </w:rPr>
      </w:pPr>
      <w:r w:rsidRPr="00460DB1">
        <w:rPr>
          <w:rFonts w:eastAsia="仿宋_GB2312"/>
          <w:color w:val="000000"/>
          <w:sz w:val="32"/>
          <w:szCs w:val="32"/>
        </w:rPr>
        <w:t>2.5</w:t>
      </w:r>
      <w:r w:rsidRPr="00460DB1">
        <w:rPr>
          <w:rFonts w:eastAsia="仿宋_GB2312"/>
          <w:color w:val="000000"/>
          <w:sz w:val="32"/>
          <w:szCs w:val="32"/>
        </w:rPr>
        <w:t>精密度</w:t>
      </w:r>
    </w:p>
    <w:p w:rsidR="00451AC3" w:rsidRPr="00460DB1" w:rsidRDefault="009F29AF" w:rsidP="00460DB1">
      <w:pPr>
        <w:adjustRightInd w:val="0"/>
        <w:snapToGrid w:val="0"/>
        <w:spacing w:line="520" w:lineRule="exact"/>
        <w:ind w:firstLineChars="200" w:firstLine="640"/>
        <w:rPr>
          <w:rFonts w:eastAsia="仿宋_GB2312"/>
          <w:kern w:val="0"/>
          <w:sz w:val="32"/>
          <w:szCs w:val="32"/>
        </w:rPr>
      </w:pPr>
      <w:r w:rsidRPr="00460DB1">
        <w:rPr>
          <w:rFonts w:eastAsia="仿宋_GB2312"/>
          <w:color w:val="000000"/>
          <w:sz w:val="32"/>
          <w:szCs w:val="32"/>
        </w:rPr>
        <w:t>精密度评价应对可能影响检测精密度的主要因素进行验证，除检测试剂（包括核酸提取</w:t>
      </w:r>
      <w:r w:rsidRPr="00460DB1">
        <w:rPr>
          <w:rFonts w:eastAsia="仿宋_GB2312"/>
          <w:color w:val="000000"/>
          <w:sz w:val="32"/>
          <w:szCs w:val="32"/>
        </w:rPr>
        <w:t>/</w:t>
      </w:r>
      <w:r w:rsidRPr="00460DB1">
        <w:rPr>
          <w:rFonts w:eastAsia="仿宋_GB2312"/>
          <w:color w:val="000000"/>
          <w:sz w:val="32"/>
          <w:szCs w:val="32"/>
        </w:rPr>
        <w:t>纯化组分）本身外，还应包括仪器、操作者、时间、地点、检测轮次、试剂批次等</w:t>
      </w:r>
      <w:r w:rsidRPr="00460DB1">
        <w:rPr>
          <w:rFonts w:eastAsia="仿宋_GB2312"/>
          <w:kern w:val="0"/>
          <w:sz w:val="32"/>
          <w:szCs w:val="32"/>
        </w:rPr>
        <w:t>，设计合理的精密度评价周期，并对批内</w:t>
      </w:r>
      <w:r w:rsidRPr="00460DB1">
        <w:rPr>
          <w:rFonts w:eastAsia="仿宋_GB2312"/>
          <w:kern w:val="0"/>
          <w:sz w:val="32"/>
          <w:szCs w:val="32"/>
        </w:rPr>
        <w:t>/</w:t>
      </w:r>
      <w:r w:rsidRPr="00460DB1">
        <w:rPr>
          <w:rFonts w:eastAsia="仿宋_GB2312"/>
          <w:kern w:val="0"/>
          <w:sz w:val="32"/>
          <w:szCs w:val="32"/>
        </w:rPr>
        <w:t>批间、日内</w:t>
      </w:r>
      <w:r w:rsidRPr="00460DB1">
        <w:rPr>
          <w:rFonts w:eastAsia="仿宋_GB2312"/>
          <w:kern w:val="0"/>
          <w:sz w:val="32"/>
          <w:szCs w:val="32"/>
        </w:rPr>
        <w:t>/</w:t>
      </w:r>
      <w:r w:rsidRPr="00460DB1">
        <w:rPr>
          <w:rFonts w:eastAsia="仿宋_GB2312"/>
          <w:kern w:val="0"/>
          <w:sz w:val="32"/>
          <w:szCs w:val="32"/>
        </w:rPr>
        <w:t>日间、不同操作者间和不同实验室间的精密度进行综合评价。</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sz w:val="32"/>
          <w:szCs w:val="32"/>
        </w:rPr>
        <w:t>评价用样本应为涵盖产品检测范围内所有基因突变类型的</w:t>
      </w:r>
      <w:r w:rsidRPr="00460DB1">
        <w:rPr>
          <w:rFonts w:eastAsia="仿宋_GB2312"/>
          <w:sz w:val="32"/>
          <w:szCs w:val="32"/>
        </w:rPr>
        <w:t>FFPE</w:t>
      </w:r>
      <w:r w:rsidRPr="00460DB1">
        <w:rPr>
          <w:rFonts w:eastAsia="仿宋_GB2312"/>
          <w:sz w:val="32"/>
          <w:szCs w:val="32"/>
        </w:rPr>
        <w:t>临床样本，对于</w:t>
      </w:r>
      <w:r w:rsidRPr="00460DB1">
        <w:rPr>
          <w:rFonts w:eastAsia="仿宋_GB2312"/>
          <w:sz w:val="32"/>
          <w:szCs w:val="32"/>
        </w:rPr>
        <w:t>G12R</w:t>
      </w:r>
      <w:r w:rsidRPr="00460DB1">
        <w:rPr>
          <w:rFonts w:eastAsia="仿宋_GB2312"/>
          <w:sz w:val="32"/>
          <w:szCs w:val="32"/>
        </w:rPr>
        <w:t>、</w:t>
      </w:r>
      <w:r w:rsidRPr="00460DB1">
        <w:rPr>
          <w:rFonts w:eastAsia="仿宋_GB2312"/>
          <w:sz w:val="32"/>
          <w:szCs w:val="32"/>
        </w:rPr>
        <w:t>G12C</w:t>
      </w:r>
      <w:r w:rsidRPr="00460DB1">
        <w:rPr>
          <w:rFonts w:eastAsia="仿宋_GB2312"/>
          <w:sz w:val="32"/>
          <w:szCs w:val="32"/>
        </w:rPr>
        <w:t>等罕见基因突变类型，可采用</w:t>
      </w:r>
      <w:r w:rsidRPr="00460DB1">
        <w:rPr>
          <w:rFonts w:eastAsia="仿宋_GB2312"/>
          <w:sz w:val="32"/>
          <w:szCs w:val="32"/>
        </w:rPr>
        <w:t>FFPE</w:t>
      </w:r>
      <w:r w:rsidRPr="00460DB1">
        <w:rPr>
          <w:rFonts w:eastAsia="仿宋_GB2312"/>
          <w:sz w:val="32"/>
          <w:szCs w:val="32"/>
        </w:rPr>
        <w:t>细胞系、含有靶序列的核酸或质粒与人</w:t>
      </w:r>
      <w:r w:rsidRPr="00460DB1">
        <w:rPr>
          <w:rFonts w:eastAsia="仿宋_GB2312"/>
          <w:sz w:val="32"/>
          <w:szCs w:val="32"/>
        </w:rPr>
        <w:t>KRAS</w:t>
      </w:r>
      <w:r w:rsidRPr="00460DB1">
        <w:rPr>
          <w:rFonts w:eastAsia="仿宋_GB2312"/>
          <w:sz w:val="32"/>
          <w:szCs w:val="32"/>
        </w:rPr>
        <w:t>野生型</w:t>
      </w:r>
      <w:r w:rsidRPr="00460DB1">
        <w:rPr>
          <w:rFonts w:eastAsia="仿宋_GB2312"/>
          <w:sz w:val="32"/>
          <w:szCs w:val="32"/>
        </w:rPr>
        <w:t>CRC FFPE</w:t>
      </w:r>
      <w:r w:rsidRPr="00460DB1">
        <w:rPr>
          <w:rFonts w:eastAsia="仿宋_GB2312"/>
          <w:sz w:val="32"/>
          <w:szCs w:val="32"/>
        </w:rPr>
        <w:t>临床样本制备样本存储液进行精密度研究。试验操作应按照说明书执行，需包含核酸提取</w:t>
      </w:r>
      <w:r w:rsidRPr="00460DB1">
        <w:rPr>
          <w:rFonts w:eastAsia="仿宋_GB2312"/>
          <w:sz w:val="32"/>
          <w:szCs w:val="32"/>
        </w:rPr>
        <w:t>/</w:t>
      </w:r>
      <w:r w:rsidRPr="00460DB1">
        <w:rPr>
          <w:rFonts w:eastAsia="仿宋_GB2312"/>
          <w:sz w:val="32"/>
          <w:szCs w:val="32"/>
        </w:rPr>
        <w:t>纯化等样本处理步骤。样本应至少包含</w:t>
      </w:r>
      <w:r w:rsidRPr="00460DB1">
        <w:rPr>
          <w:rFonts w:eastAsia="仿宋_GB2312"/>
          <w:sz w:val="32"/>
          <w:szCs w:val="32"/>
        </w:rPr>
        <w:t>3</w:t>
      </w:r>
      <w:r w:rsidRPr="00460DB1">
        <w:rPr>
          <w:rFonts w:eastAsia="仿宋_GB2312"/>
          <w:sz w:val="32"/>
          <w:szCs w:val="32"/>
        </w:rPr>
        <w:t>个水平：阴性样本、检出限水平样本、中</w:t>
      </w:r>
      <w:r w:rsidRPr="00460DB1">
        <w:rPr>
          <w:rFonts w:eastAsia="仿宋_GB2312"/>
          <w:sz w:val="32"/>
          <w:szCs w:val="32"/>
        </w:rPr>
        <w:t>/</w:t>
      </w:r>
      <w:r w:rsidRPr="00460DB1">
        <w:rPr>
          <w:rFonts w:eastAsia="仿宋_GB2312"/>
          <w:sz w:val="32"/>
          <w:szCs w:val="32"/>
        </w:rPr>
        <w:t>强阳性样本，并根据产品特性设定适当的精密度要求，例如：</w:t>
      </w:r>
    </w:p>
    <w:p w:rsidR="00451AC3" w:rsidRPr="00460DB1" w:rsidRDefault="009F29AF" w:rsidP="00460DB1">
      <w:pPr>
        <w:adjustRightInd w:val="0"/>
        <w:snapToGrid w:val="0"/>
        <w:spacing w:line="520" w:lineRule="exact"/>
        <w:ind w:firstLineChars="200" w:firstLine="640"/>
        <w:rPr>
          <w:rFonts w:eastAsia="仿宋_GB2312"/>
          <w:sz w:val="32"/>
          <w:szCs w:val="32"/>
        </w:rPr>
      </w:pPr>
      <w:r w:rsidRPr="00460DB1">
        <w:rPr>
          <w:rFonts w:eastAsia="仿宋_GB2312"/>
          <w:sz w:val="32"/>
          <w:szCs w:val="32"/>
        </w:rPr>
        <w:t>阴性样本：应包括人</w:t>
      </w:r>
      <w:r w:rsidRPr="00460DB1">
        <w:rPr>
          <w:rFonts w:eastAsia="仿宋_GB2312"/>
          <w:sz w:val="32"/>
          <w:szCs w:val="32"/>
        </w:rPr>
        <w:t>KRAS</w:t>
      </w:r>
      <w:r w:rsidRPr="00460DB1">
        <w:rPr>
          <w:rFonts w:eastAsia="仿宋_GB2312"/>
          <w:sz w:val="32"/>
          <w:szCs w:val="32"/>
        </w:rPr>
        <w:t>野生型样本，阴性符合率应为</w:t>
      </w:r>
      <w:r w:rsidRPr="00460DB1">
        <w:rPr>
          <w:rFonts w:eastAsia="仿宋_GB2312"/>
          <w:sz w:val="32"/>
          <w:szCs w:val="32"/>
        </w:rPr>
        <w:t>100%</w:t>
      </w:r>
      <w:r w:rsidRPr="00460DB1">
        <w:rPr>
          <w:rFonts w:eastAsia="仿宋_GB2312"/>
          <w:sz w:val="32"/>
          <w:szCs w:val="32"/>
        </w:rPr>
        <w:t>（</w:t>
      </w:r>
      <w:r w:rsidRPr="00460DB1">
        <w:rPr>
          <w:rFonts w:eastAsia="仿宋_GB2312"/>
          <w:sz w:val="32"/>
          <w:szCs w:val="32"/>
        </w:rPr>
        <w:t>n≥20</w:t>
      </w:r>
      <w:r w:rsidRPr="00460DB1">
        <w:rPr>
          <w:rFonts w:eastAsia="仿宋_GB2312"/>
          <w:sz w:val="32"/>
          <w:szCs w:val="32"/>
        </w:rPr>
        <w:t>）。</w:t>
      </w:r>
    </w:p>
    <w:p w:rsidR="00451AC3" w:rsidRPr="00460DB1" w:rsidRDefault="009F29AF" w:rsidP="00460DB1">
      <w:pPr>
        <w:adjustRightInd w:val="0"/>
        <w:snapToGrid w:val="0"/>
        <w:spacing w:line="520" w:lineRule="exact"/>
        <w:ind w:firstLineChars="200" w:firstLine="640"/>
        <w:rPr>
          <w:rFonts w:eastAsia="仿宋_GB2312"/>
          <w:sz w:val="32"/>
          <w:szCs w:val="32"/>
        </w:rPr>
      </w:pPr>
      <w:r w:rsidRPr="00460DB1">
        <w:rPr>
          <w:rFonts w:eastAsia="仿宋_GB2312"/>
          <w:sz w:val="32"/>
          <w:szCs w:val="32"/>
        </w:rPr>
        <w:t>检出限水平样本：阳性符合率应</w:t>
      </w:r>
      <w:r w:rsidRPr="00460DB1">
        <w:rPr>
          <w:rFonts w:eastAsia="仿宋_GB2312"/>
          <w:sz w:val="32"/>
          <w:szCs w:val="32"/>
        </w:rPr>
        <w:t>≥95%</w:t>
      </w:r>
      <w:r w:rsidRPr="00460DB1">
        <w:rPr>
          <w:rFonts w:eastAsia="仿宋_GB2312"/>
          <w:sz w:val="32"/>
          <w:szCs w:val="32"/>
        </w:rPr>
        <w:t>（</w:t>
      </w:r>
      <w:r w:rsidRPr="00460DB1">
        <w:rPr>
          <w:rFonts w:eastAsia="仿宋_GB2312"/>
          <w:sz w:val="32"/>
          <w:szCs w:val="32"/>
        </w:rPr>
        <w:t>n≥20</w:t>
      </w:r>
      <w:r w:rsidRPr="00460DB1">
        <w:rPr>
          <w:rFonts w:eastAsia="仿宋_GB2312"/>
          <w:sz w:val="32"/>
          <w:szCs w:val="32"/>
        </w:rPr>
        <w:t>）。</w:t>
      </w:r>
    </w:p>
    <w:p w:rsidR="00451AC3" w:rsidRPr="00460DB1" w:rsidRDefault="009F29AF" w:rsidP="00460DB1">
      <w:pPr>
        <w:adjustRightInd w:val="0"/>
        <w:snapToGrid w:val="0"/>
        <w:spacing w:line="520" w:lineRule="exact"/>
        <w:ind w:firstLineChars="200" w:firstLine="640"/>
        <w:rPr>
          <w:rFonts w:eastAsia="仿宋_GB2312"/>
          <w:color w:val="000000"/>
          <w:sz w:val="32"/>
          <w:szCs w:val="32"/>
        </w:rPr>
      </w:pPr>
      <w:r w:rsidRPr="00460DB1">
        <w:rPr>
          <w:rFonts w:eastAsia="仿宋_GB2312"/>
          <w:sz w:val="32"/>
          <w:szCs w:val="32"/>
        </w:rPr>
        <w:t>中</w:t>
      </w:r>
      <w:r w:rsidRPr="00460DB1">
        <w:rPr>
          <w:rFonts w:eastAsia="仿宋_GB2312"/>
          <w:sz w:val="32"/>
          <w:szCs w:val="32"/>
        </w:rPr>
        <w:t>/</w:t>
      </w:r>
      <w:r w:rsidRPr="00460DB1">
        <w:rPr>
          <w:rFonts w:eastAsia="仿宋_GB2312"/>
          <w:sz w:val="32"/>
          <w:szCs w:val="32"/>
        </w:rPr>
        <w:t>强阳性样本：</w:t>
      </w:r>
      <w:r w:rsidRPr="00460DB1">
        <w:rPr>
          <w:rFonts w:eastAsia="仿宋_GB2312"/>
          <w:color w:val="000000"/>
          <w:kern w:val="0"/>
          <w:sz w:val="32"/>
          <w:szCs w:val="32"/>
        </w:rPr>
        <w:t>反应体系中人基因组</w:t>
      </w:r>
      <w:r w:rsidRPr="00460DB1">
        <w:rPr>
          <w:rFonts w:eastAsia="仿宋_GB2312"/>
          <w:color w:val="000000"/>
          <w:kern w:val="0"/>
          <w:sz w:val="32"/>
          <w:szCs w:val="32"/>
        </w:rPr>
        <w:t>DNA</w:t>
      </w:r>
      <w:r w:rsidRPr="00460DB1">
        <w:rPr>
          <w:rFonts w:eastAsia="仿宋_GB2312"/>
          <w:color w:val="000000"/>
          <w:kern w:val="0"/>
          <w:sz w:val="32"/>
          <w:szCs w:val="32"/>
        </w:rPr>
        <w:t>浓度</w:t>
      </w:r>
      <w:r w:rsidRPr="00460DB1">
        <w:rPr>
          <w:rFonts w:eastAsia="仿宋_GB2312"/>
          <w:sz w:val="32"/>
          <w:szCs w:val="32"/>
        </w:rPr>
        <w:t>水平呈中度到强阳性，且突变序列百分率呈中到高百分比，阳性检出率为</w:t>
      </w:r>
      <w:r w:rsidRPr="00460DB1">
        <w:rPr>
          <w:rFonts w:eastAsia="仿宋_GB2312"/>
          <w:sz w:val="32"/>
          <w:szCs w:val="32"/>
        </w:rPr>
        <w:t>100%</w:t>
      </w:r>
      <w:r w:rsidRPr="00460DB1">
        <w:rPr>
          <w:rFonts w:eastAsia="仿宋_GB2312"/>
          <w:sz w:val="32"/>
          <w:szCs w:val="32"/>
        </w:rPr>
        <w:t>且</w:t>
      </w:r>
      <w:r w:rsidRPr="00460DB1">
        <w:rPr>
          <w:rFonts w:eastAsia="仿宋_GB2312"/>
          <w:sz w:val="32"/>
          <w:szCs w:val="32"/>
        </w:rPr>
        <w:t>CV≤5%</w:t>
      </w:r>
      <w:r w:rsidRPr="00460DB1">
        <w:rPr>
          <w:rFonts w:eastAsia="仿宋_GB2312"/>
          <w:sz w:val="32"/>
          <w:szCs w:val="32"/>
        </w:rPr>
        <w:t>（</w:t>
      </w:r>
      <w:r w:rsidRPr="00460DB1">
        <w:rPr>
          <w:rFonts w:eastAsia="仿宋_GB2312"/>
          <w:sz w:val="32"/>
          <w:szCs w:val="32"/>
        </w:rPr>
        <w:t>n≥20</w:t>
      </w:r>
      <w:r w:rsidRPr="00460DB1">
        <w:rPr>
          <w:rFonts w:eastAsia="仿宋_GB2312"/>
          <w:sz w:val="32"/>
          <w:szCs w:val="32"/>
        </w:rPr>
        <w:t>）。</w:t>
      </w:r>
    </w:p>
    <w:p w:rsidR="00451AC3" w:rsidRPr="00460DB1" w:rsidRDefault="009F29AF" w:rsidP="00460DB1">
      <w:pPr>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2.6</w:t>
      </w:r>
      <w:r w:rsidRPr="00460DB1">
        <w:rPr>
          <w:rFonts w:eastAsia="仿宋_GB2312"/>
          <w:bCs/>
          <w:color w:val="000000"/>
          <w:sz w:val="32"/>
          <w:szCs w:val="32"/>
        </w:rPr>
        <w:t>检出限</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lastRenderedPageBreak/>
        <w:t>研究应包括扩增反应终体系中的突变序列百分率和申报产品反应体系中人基因组</w:t>
      </w:r>
      <w:r w:rsidRPr="00460DB1">
        <w:rPr>
          <w:rFonts w:eastAsia="仿宋_GB2312"/>
          <w:color w:val="000000"/>
          <w:kern w:val="0"/>
          <w:sz w:val="32"/>
          <w:szCs w:val="32"/>
        </w:rPr>
        <w:t>DNA</w:t>
      </w:r>
      <w:r w:rsidRPr="00460DB1">
        <w:rPr>
          <w:rFonts w:eastAsia="仿宋_GB2312"/>
          <w:color w:val="000000"/>
          <w:kern w:val="0"/>
          <w:sz w:val="32"/>
          <w:szCs w:val="32"/>
        </w:rPr>
        <w:t>浓度两个因素。</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2.6.1</w:t>
      </w:r>
      <w:r w:rsidRPr="00460DB1">
        <w:rPr>
          <w:rFonts w:eastAsia="仿宋_GB2312"/>
          <w:color w:val="000000"/>
          <w:kern w:val="0"/>
          <w:sz w:val="32"/>
          <w:szCs w:val="32"/>
        </w:rPr>
        <w:t>检出限的建立</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建立研究的样本应包括涵盖产品检测范围内所有基因突变类型的</w:t>
      </w:r>
      <w:r w:rsidRPr="00460DB1">
        <w:rPr>
          <w:rFonts w:eastAsia="仿宋_GB2312"/>
          <w:color w:val="000000"/>
          <w:kern w:val="0"/>
          <w:sz w:val="32"/>
          <w:szCs w:val="32"/>
        </w:rPr>
        <w:t>FFPE</w:t>
      </w:r>
      <w:r w:rsidRPr="00460DB1">
        <w:rPr>
          <w:rFonts w:eastAsia="仿宋_GB2312"/>
          <w:color w:val="000000"/>
          <w:kern w:val="0"/>
          <w:sz w:val="32"/>
          <w:szCs w:val="32"/>
        </w:rPr>
        <w:t>临床样本，对于</w:t>
      </w:r>
      <w:r w:rsidRPr="00460DB1">
        <w:rPr>
          <w:rFonts w:eastAsia="仿宋_GB2312"/>
          <w:color w:val="000000"/>
          <w:kern w:val="0"/>
          <w:sz w:val="32"/>
          <w:szCs w:val="32"/>
        </w:rPr>
        <w:t>G12R</w:t>
      </w:r>
      <w:r w:rsidRPr="00460DB1">
        <w:rPr>
          <w:rFonts w:eastAsia="仿宋_GB2312"/>
          <w:color w:val="000000"/>
          <w:kern w:val="0"/>
          <w:sz w:val="32"/>
          <w:szCs w:val="32"/>
        </w:rPr>
        <w:t>、</w:t>
      </w:r>
      <w:r w:rsidRPr="00460DB1">
        <w:rPr>
          <w:rFonts w:eastAsia="仿宋_GB2312"/>
          <w:color w:val="000000"/>
          <w:kern w:val="0"/>
          <w:sz w:val="32"/>
          <w:szCs w:val="32"/>
        </w:rPr>
        <w:t>G12C</w:t>
      </w:r>
      <w:r w:rsidRPr="00460DB1">
        <w:rPr>
          <w:rFonts w:eastAsia="仿宋_GB2312"/>
          <w:color w:val="000000"/>
          <w:kern w:val="0"/>
          <w:sz w:val="32"/>
          <w:szCs w:val="32"/>
        </w:rPr>
        <w:t>等罕见基因突变类型，可采用</w:t>
      </w:r>
      <w:r w:rsidRPr="00460DB1">
        <w:rPr>
          <w:rFonts w:eastAsia="仿宋_GB2312"/>
          <w:color w:val="000000"/>
          <w:kern w:val="0"/>
          <w:sz w:val="32"/>
          <w:szCs w:val="32"/>
        </w:rPr>
        <w:t>FFPE</w:t>
      </w:r>
      <w:r w:rsidRPr="00460DB1">
        <w:rPr>
          <w:rFonts w:eastAsia="仿宋_GB2312"/>
          <w:color w:val="000000"/>
          <w:kern w:val="0"/>
          <w:sz w:val="32"/>
          <w:szCs w:val="32"/>
        </w:rPr>
        <w:t>细胞系、含有靶序列的核酸或质粒与人</w:t>
      </w:r>
      <w:r w:rsidRPr="00460DB1">
        <w:rPr>
          <w:rFonts w:eastAsia="仿宋_GB2312"/>
          <w:color w:val="000000"/>
          <w:kern w:val="0"/>
          <w:sz w:val="32"/>
          <w:szCs w:val="32"/>
        </w:rPr>
        <w:t>KRAS</w:t>
      </w:r>
      <w:r w:rsidRPr="00460DB1">
        <w:rPr>
          <w:rFonts w:eastAsia="仿宋_GB2312"/>
          <w:color w:val="000000"/>
          <w:kern w:val="0"/>
          <w:sz w:val="32"/>
          <w:szCs w:val="32"/>
        </w:rPr>
        <w:t>野生型</w:t>
      </w:r>
      <w:r w:rsidRPr="00460DB1">
        <w:rPr>
          <w:rFonts w:eastAsia="仿宋_GB2312"/>
          <w:color w:val="000000"/>
          <w:kern w:val="0"/>
          <w:sz w:val="32"/>
          <w:szCs w:val="32"/>
        </w:rPr>
        <w:t>CRC FFPE</w:t>
      </w:r>
      <w:r w:rsidRPr="00460DB1">
        <w:rPr>
          <w:rFonts w:eastAsia="仿宋_GB2312"/>
          <w:color w:val="000000"/>
          <w:kern w:val="0"/>
          <w:sz w:val="32"/>
          <w:szCs w:val="32"/>
        </w:rPr>
        <w:t>临床样本混合后制备的样本存储液。</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研究应采用不同突变百分率及不同梯度浓度人基因组</w:t>
      </w:r>
      <w:r w:rsidRPr="00460DB1">
        <w:rPr>
          <w:rFonts w:eastAsia="仿宋_GB2312"/>
          <w:color w:val="000000"/>
          <w:kern w:val="0"/>
          <w:sz w:val="32"/>
          <w:szCs w:val="32"/>
        </w:rPr>
        <w:t>DNA</w:t>
      </w:r>
      <w:r w:rsidRPr="00460DB1">
        <w:rPr>
          <w:rFonts w:eastAsia="仿宋_GB2312"/>
          <w:color w:val="000000"/>
          <w:kern w:val="0"/>
          <w:sz w:val="32"/>
          <w:szCs w:val="32"/>
        </w:rPr>
        <w:t>样本进行多次重复检测，将</w:t>
      </w:r>
      <w:r w:rsidRPr="00460DB1">
        <w:rPr>
          <w:rFonts w:eastAsia="仿宋_GB2312"/>
          <w:color w:val="000000"/>
          <w:kern w:val="0"/>
          <w:sz w:val="32"/>
          <w:szCs w:val="32"/>
        </w:rPr>
        <w:t>95%</w:t>
      </w:r>
      <w:r w:rsidRPr="00460DB1">
        <w:rPr>
          <w:rFonts w:eastAsia="仿宋_GB2312"/>
          <w:color w:val="000000"/>
          <w:kern w:val="0"/>
          <w:sz w:val="32"/>
          <w:szCs w:val="32"/>
        </w:rPr>
        <w:t>检出率水平的突变百分率及人基因组</w:t>
      </w:r>
      <w:r w:rsidRPr="00460DB1">
        <w:rPr>
          <w:rFonts w:eastAsia="仿宋_GB2312"/>
          <w:color w:val="000000"/>
          <w:kern w:val="0"/>
          <w:sz w:val="32"/>
          <w:szCs w:val="32"/>
        </w:rPr>
        <w:t>DNA</w:t>
      </w:r>
      <w:r w:rsidRPr="00460DB1">
        <w:rPr>
          <w:rFonts w:eastAsia="仿宋_GB2312"/>
          <w:color w:val="000000"/>
          <w:kern w:val="0"/>
          <w:sz w:val="32"/>
          <w:szCs w:val="32"/>
        </w:rPr>
        <w:t>浓度，确定为产品检出限。</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KRAS</w:t>
      </w:r>
      <w:r w:rsidRPr="00460DB1">
        <w:rPr>
          <w:rFonts w:eastAsia="仿宋_GB2312"/>
          <w:color w:val="000000"/>
          <w:kern w:val="0"/>
          <w:sz w:val="32"/>
          <w:szCs w:val="32"/>
        </w:rPr>
        <w:t>基因不同突变百分率样本混合应注意，每种突变类型样本储存液按照不同突变序列所占比例进行混合，应至少包括目标检出限和检出限上下至少各</w:t>
      </w:r>
      <w:r w:rsidRPr="00460DB1">
        <w:rPr>
          <w:rFonts w:eastAsia="仿宋_GB2312"/>
          <w:color w:val="000000"/>
          <w:kern w:val="0"/>
          <w:sz w:val="32"/>
          <w:szCs w:val="32"/>
        </w:rPr>
        <w:t>2</w:t>
      </w:r>
      <w:r w:rsidRPr="00460DB1">
        <w:rPr>
          <w:rFonts w:eastAsia="仿宋_GB2312"/>
          <w:color w:val="000000"/>
          <w:kern w:val="0"/>
          <w:sz w:val="32"/>
          <w:szCs w:val="32"/>
        </w:rPr>
        <w:t>个梯度比例范围。对于按不同比例混合后的样本，建议采用合理的方法验证各样本的实际混合比例。同时，在</w:t>
      </w:r>
      <w:r w:rsidRPr="00460DB1">
        <w:rPr>
          <w:rFonts w:eastAsia="仿宋_GB2312"/>
          <w:color w:val="000000"/>
          <w:kern w:val="0"/>
          <w:sz w:val="32"/>
          <w:szCs w:val="32"/>
        </w:rPr>
        <w:t>KRAS</w:t>
      </w:r>
      <w:r w:rsidRPr="00460DB1">
        <w:rPr>
          <w:rFonts w:eastAsia="仿宋_GB2312"/>
          <w:color w:val="000000"/>
          <w:kern w:val="0"/>
          <w:sz w:val="32"/>
          <w:szCs w:val="32"/>
        </w:rPr>
        <w:t>基因突变不同比例研究过程中应设置</w:t>
      </w:r>
      <w:r w:rsidRPr="00460DB1">
        <w:rPr>
          <w:rFonts w:eastAsia="仿宋_GB2312"/>
          <w:color w:val="000000"/>
          <w:kern w:val="0"/>
          <w:sz w:val="32"/>
          <w:szCs w:val="32"/>
        </w:rPr>
        <w:t>KRAS</w:t>
      </w:r>
      <w:r w:rsidRPr="00460DB1">
        <w:rPr>
          <w:rFonts w:eastAsia="仿宋_GB2312"/>
          <w:color w:val="000000"/>
          <w:kern w:val="0"/>
          <w:sz w:val="32"/>
          <w:szCs w:val="32"/>
        </w:rPr>
        <w:t>野生型样本作为空白对照。</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不同人基因组</w:t>
      </w:r>
      <w:r w:rsidRPr="00460DB1">
        <w:rPr>
          <w:rFonts w:eastAsia="仿宋_GB2312"/>
          <w:color w:val="000000"/>
          <w:kern w:val="0"/>
          <w:sz w:val="32"/>
          <w:szCs w:val="32"/>
        </w:rPr>
        <w:t>DNA</w:t>
      </w:r>
      <w:r w:rsidRPr="00460DB1">
        <w:rPr>
          <w:rFonts w:eastAsia="仿宋_GB2312"/>
          <w:color w:val="000000"/>
          <w:kern w:val="0"/>
          <w:sz w:val="32"/>
          <w:szCs w:val="32"/>
        </w:rPr>
        <w:t>量样本混合稀释应注意，使用的</w:t>
      </w:r>
      <w:r w:rsidRPr="00460DB1">
        <w:rPr>
          <w:rFonts w:eastAsia="仿宋_GB2312"/>
          <w:color w:val="000000"/>
          <w:kern w:val="0"/>
          <w:sz w:val="32"/>
          <w:szCs w:val="32"/>
        </w:rPr>
        <w:t>FFPE</w:t>
      </w:r>
      <w:r w:rsidRPr="00460DB1">
        <w:rPr>
          <w:rFonts w:eastAsia="仿宋_GB2312"/>
          <w:color w:val="000000"/>
          <w:kern w:val="0"/>
          <w:sz w:val="32"/>
          <w:szCs w:val="32"/>
        </w:rPr>
        <w:t>样本应与待混合配置样本类型相同。建议申请人在实际的</w:t>
      </w:r>
      <w:r w:rsidRPr="00460DB1">
        <w:rPr>
          <w:rFonts w:eastAsia="仿宋_GB2312"/>
          <w:color w:val="000000"/>
          <w:kern w:val="0"/>
          <w:sz w:val="32"/>
          <w:szCs w:val="32"/>
        </w:rPr>
        <w:t>KRAS</w:t>
      </w:r>
      <w:r w:rsidRPr="00460DB1">
        <w:rPr>
          <w:rFonts w:eastAsia="仿宋_GB2312"/>
          <w:color w:val="000000"/>
          <w:kern w:val="0"/>
          <w:sz w:val="32"/>
          <w:szCs w:val="32"/>
        </w:rPr>
        <w:t>不同突变比例下，进行不同梯度</w:t>
      </w:r>
      <w:r w:rsidRPr="00460DB1">
        <w:rPr>
          <w:rFonts w:eastAsia="仿宋_GB2312"/>
          <w:color w:val="000000"/>
          <w:kern w:val="0"/>
          <w:sz w:val="32"/>
          <w:szCs w:val="32"/>
        </w:rPr>
        <w:t>DNA</w:t>
      </w:r>
      <w:r w:rsidRPr="00460DB1">
        <w:rPr>
          <w:rFonts w:eastAsia="仿宋_GB2312"/>
          <w:color w:val="000000"/>
          <w:kern w:val="0"/>
          <w:sz w:val="32"/>
          <w:szCs w:val="32"/>
        </w:rPr>
        <w:t>浓度的检测。不同梯度</w:t>
      </w:r>
      <w:r w:rsidRPr="00460DB1">
        <w:rPr>
          <w:rFonts w:eastAsia="仿宋_GB2312"/>
          <w:color w:val="000000"/>
          <w:kern w:val="0"/>
          <w:sz w:val="32"/>
          <w:szCs w:val="32"/>
        </w:rPr>
        <w:t>DNA</w:t>
      </w:r>
      <w:r w:rsidRPr="00460DB1">
        <w:rPr>
          <w:rFonts w:eastAsia="仿宋_GB2312"/>
          <w:color w:val="000000"/>
          <w:kern w:val="0"/>
          <w:sz w:val="32"/>
          <w:szCs w:val="32"/>
        </w:rPr>
        <w:t>浓度范围应涵盖申报产品反应体系中设定的最高</w:t>
      </w:r>
      <w:r w:rsidRPr="00460DB1">
        <w:rPr>
          <w:rFonts w:eastAsia="仿宋_GB2312"/>
          <w:color w:val="000000"/>
          <w:kern w:val="0"/>
          <w:sz w:val="32"/>
          <w:szCs w:val="32"/>
        </w:rPr>
        <w:t>DNA</w:t>
      </w:r>
      <w:r w:rsidRPr="00460DB1">
        <w:rPr>
          <w:rFonts w:eastAsia="仿宋_GB2312"/>
          <w:color w:val="000000"/>
          <w:kern w:val="0"/>
          <w:sz w:val="32"/>
          <w:szCs w:val="32"/>
        </w:rPr>
        <w:t>浓度和最低</w:t>
      </w:r>
      <w:r w:rsidRPr="00460DB1">
        <w:rPr>
          <w:rFonts w:eastAsia="仿宋_GB2312"/>
          <w:color w:val="000000"/>
          <w:kern w:val="0"/>
          <w:sz w:val="32"/>
          <w:szCs w:val="32"/>
        </w:rPr>
        <w:t>DNA</w:t>
      </w:r>
      <w:r w:rsidRPr="00460DB1">
        <w:rPr>
          <w:rFonts w:eastAsia="仿宋_GB2312"/>
          <w:color w:val="000000"/>
          <w:kern w:val="0"/>
          <w:sz w:val="32"/>
          <w:szCs w:val="32"/>
        </w:rPr>
        <w:t>浓度。</w:t>
      </w:r>
    </w:p>
    <w:p w:rsidR="00451AC3" w:rsidRPr="00460DB1" w:rsidRDefault="009F29AF" w:rsidP="00460DB1">
      <w:pPr>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2.6.2</w:t>
      </w:r>
      <w:r w:rsidRPr="00460DB1">
        <w:rPr>
          <w:rFonts w:eastAsia="仿宋_GB2312"/>
          <w:bCs/>
          <w:color w:val="000000"/>
          <w:sz w:val="32"/>
          <w:szCs w:val="32"/>
        </w:rPr>
        <w:t>检出限的验证</w:t>
      </w:r>
    </w:p>
    <w:p w:rsidR="00451AC3" w:rsidRPr="00460DB1" w:rsidRDefault="009F29AF" w:rsidP="00460DB1">
      <w:pPr>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针对每个突变位点选择不同于建立的临床样本，对已建立的检出限水平进行验证，建议对最低检出限水平的样本进行至少</w:t>
      </w:r>
      <w:r w:rsidRPr="00460DB1">
        <w:rPr>
          <w:rFonts w:eastAsia="仿宋_GB2312"/>
          <w:bCs/>
          <w:color w:val="000000"/>
          <w:sz w:val="32"/>
          <w:szCs w:val="32"/>
        </w:rPr>
        <w:t>20</w:t>
      </w:r>
      <w:r w:rsidRPr="00460DB1">
        <w:rPr>
          <w:rFonts w:eastAsia="仿宋_GB2312"/>
          <w:bCs/>
          <w:color w:val="000000"/>
          <w:sz w:val="32"/>
          <w:szCs w:val="32"/>
        </w:rPr>
        <w:t>次的重复检测，应满足</w:t>
      </w:r>
      <w:r w:rsidRPr="00460DB1">
        <w:rPr>
          <w:rFonts w:eastAsia="仿宋_GB2312"/>
          <w:bCs/>
          <w:color w:val="000000"/>
          <w:sz w:val="32"/>
          <w:szCs w:val="32"/>
        </w:rPr>
        <w:t>95%</w:t>
      </w:r>
      <w:r w:rsidRPr="00460DB1">
        <w:rPr>
          <w:rFonts w:eastAsia="仿宋_GB2312"/>
          <w:bCs/>
          <w:color w:val="000000"/>
          <w:sz w:val="32"/>
          <w:szCs w:val="32"/>
        </w:rPr>
        <w:t>以上检出率要求。</w:t>
      </w:r>
    </w:p>
    <w:p w:rsidR="00451AC3" w:rsidRPr="00460DB1" w:rsidRDefault="009F29AF" w:rsidP="00460DB1">
      <w:pPr>
        <w:adjustRightInd w:val="0"/>
        <w:snapToGrid w:val="0"/>
        <w:spacing w:line="520" w:lineRule="exact"/>
        <w:ind w:firstLineChars="200" w:firstLine="640"/>
        <w:rPr>
          <w:rFonts w:eastAsia="仿宋_GB2312"/>
          <w:bCs/>
          <w:color w:val="000000"/>
          <w:sz w:val="32"/>
          <w:szCs w:val="32"/>
        </w:rPr>
      </w:pPr>
      <w:r w:rsidRPr="00460DB1">
        <w:rPr>
          <w:rFonts w:eastAsia="仿宋_GB2312"/>
          <w:color w:val="000000"/>
          <w:sz w:val="32"/>
          <w:szCs w:val="32"/>
        </w:rPr>
        <w:t>2.7</w:t>
      </w:r>
      <w:r w:rsidRPr="00460DB1">
        <w:rPr>
          <w:rFonts w:eastAsia="仿宋_GB2312"/>
          <w:bCs/>
          <w:color w:val="000000"/>
          <w:sz w:val="32"/>
          <w:szCs w:val="32"/>
        </w:rPr>
        <w:t>分析特异性</w:t>
      </w:r>
    </w:p>
    <w:p w:rsidR="00451AC3" w:rsidRPr="00460DB1" w:rsidRDefault="009F29AF" w:rsidP="00460DB1">
      <w:pPr>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lastRenderedPageBreak/>
        <w:t>2.7.1</w:t>
      </w:r>
      <w:r w:rsidRPr="00460DB1">
        <w:rPr>
          <w:rFonts w:eastAsia="仿宋_GB2312"/>
          <w:bCs/>
          <w:color w:val="000000"/>
          <w:sz w:val="32"/>
          <w:szCs w:val="32"/>
        </w:rPr>
        <w:t>交叉反应</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该类产品主要与结直肠部位肿瘤存在较强关联性，申请人在设计交叉反应研究时应将此点纳入考虑。</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申请人应考虑与靶序列的核酸序列相近或具有同源性、易引起交叉反应的野生型或其他突变类型序列的交叉反应。建议交叉反应验证考虑以下因素：</w:t>
      </w:r>
      <w:r w:rsidRPr="00460DB1">
        <w:rPr>
          <w:rFonts w:eastAsia="仿宋_GB2312"/>
          <w:color w:val="000000"/>
          <w:kern w:val="0"/>
          <w:sz w:val="32"/>
          <w:szCs w:val="32"/>
        </w:rPr>
        <w:t>KRAS</w:t>
      </w:r>
      <w:r w:rsidRPr="00460DB1">
        <w:rPr>
          <w:rFonts w:eastAsia="仿宋_GB2312"/>
          <w:color w:val="000000"/>
          <w:kern w:val="0"/>
          <w:sz w:val="32"/>
          <w:szCs w:val="32"/>
        </w:rPr>
        <w:t>基因不同序列；</w:t>
      </w:r>
      <w:r w:rsidRPr="00460DB1">
        <w:rPr>
          <w:rFonts w:eastAsia="仿宋_GB2312"/>
          <w:color w:val="000000"/>
          <w:kern w:val="0"/>
          <w:sz w:val="32"/>
          <w:szCs w:val="32"/>
        </w:rPr>
        <w:t>RAS</w:t>
      </w:r>
      <w:r w:rsidRPr="00460DB1">
        <w:rPr>
          <w:rFonts w:eastAsia="仿宋_GB2312"/>
          <w:color w:val="000000"/>
          <w:kern w:val="0"/>
          <w:sz w:val="32"/>
          <w:szCs w:val="32"/>
        </w:rPr>
        <w:t>家族不同基因等；高浓度野生型人</w:t>
      </w:r>
      <w:r w:rsidRPr="00460DB1">
        <w:rPr>
          <w:rFonts w:eastAsia="仿宋_GB2312"/>
          <w:color w:val="000000"/>
          <w:kern w:val="0"/>
          <w:sz w:val="32"/>
          <w:szCs w:val="32"/>
        </w:rPr>
        <w:t>DNA</w:t>
      </w:r>
      <w:r w:rsidRPr="00460DB1">
        <w:rPr>
          <w:rFonts w:eastAsia="仿宋_GB2312"/>
          <w:color w:val="000000"/>
          <w:kern w:val="0"/>
          <w:sz w:val="32"/>
          <w:szCs w:val="32"/>
        </w:rPr>
        <w:t>样本、非人类基因组基因、产品检测范围内各突变位点间的交叉干扰等。</w:t>
      </w:r>
    </w:p>
    <w:p w:rsidR="00451AC3" w:rsidRPr="00460DB1" w:rsidRDefault="009F29AF" w:rsidP="00460DB1">
      <w:pPr>
        <w:adjustRightInd w:val="0"/>
        <w:snapToGrid w:val="0"/>
        <w:spacing w:line="520" w:lineRule="exact"/>
        <w:ind w:firstLineChars="200" w:firstLine="640"/>
        <w:rPr>
          <w:rFonts w:eastAsia="仿宋_GB2312"/>
          <w:kern w:val="0"/>
          <w:sz w:val="32"/>
          <w:szCs w:val="32"/>
        </w:rPr>
      </w:pPr>
      <w:r w:rsidRPr="00460DB1">
        <w:rPr>
          <w:rFonts w:eastAsia="仿宋_GB2312"/>
          <w:color w:val="000000"/>
          <w:kern w:val="0"/>
          <w:sz w:val="32"/>
          <w:szCs w:val="32"/>
        </w:rPr>
        <w:t>非人类基因组基因样本应包括</w:t>
      </w:r>
      <w:r w:rsidRPr="00460DB1">
        <w:rPr>
          <w:rFonts w:eastAsia="仿宋_GB2312"/>
          <w:kern w:val="0"/>
          <w:sz w:val="32"/>
          <w:szCs w:val="32"/>
        </w:rPr>
        <w:t>可能产生交叉反应的常见肠道感染病原体、</w:t>
      </w:r>
      <w:r w:rsidRPr="00460DB1">
        <w:rPr>
          <w:rFonts w:eastAsia="仿宋_GB2312"/>
          <w:kern w:val="0"/>
          <w:sz w:val="32"/>
          <w:szCs w:val="32"/>
        </w:rPr>
        <w:t>CRC</w:t>
      </w:r>
      <w:r w:rsidRPr="00460DB1">
        <w:rPr>
          <w:rFonts w:eastAsia="仿宋_GB2312"/>
          <w:kern w:val="0"/>
          <w:sz w:val="32"/>
          <w:szCs w:val="32"/>
        </w:rPr>
        <w:t>组织获取时易感染病原体等，需在有临床意义相关浓度下进行检测，细菌浓度水平建议至少</w:t>
      </w:r>
      <w:r w:rsidRPr="00460DB1">
        <w:rPr>
          <w:rFonts w:eastAsia="仿宋_GB2312"/>
          <w:kern w:val="0"/>
          <w:sz w:val="32"/>
          <w:szCs w:val="32"/>
        </w:rPr>
        <w:t>10</w:t>
      </w:r>
      <w:r w:rsidRPr="00460DB1">
        <w:rPr>
          <w:rFonts w:eastAsia="仿宋_GB2312"/>
          <w:kern w:val="0"/>
          <w:sz w:val="32"/>
          <w:szCs w:val="32"/>
          <w:vertAlign w:val="superscript"/>
        </w:rPr>
        <w:t>6</w:t>
      </w:r>
      <w:r w:rsidRPr="00460DB1">
        <w:rPr>
          <w:rFonts w:eastAsia="仿宋_GB2312"/>
          <w:kern w:val="0"/>
          <w:sz w:val="32"/>
          <w:szCs w:val="32"/>
        </w:rPr>
        <w:t xml:space="preserve"> cfu/mL</w:t>
      </w:r>
      <w:r w:rsidRPr="00460DB1">
        <w:rPr>
          <w:rFonts w:eastAsia="仿宋_GB2312"/>
          <w:kern w:val="0"/>
          <w:sz w:val="32"/>
          <w:szCs w:val="32"/>
        </w:rPr>
        <w:t>，病毒浓度水平建议至少</w:t>
      </w:r>
      <w:r w:rsidRPr="00460DB1">
        <w:rPr>
          <w:rFonts w:eastAsia="仿宋_GB2312"/>
          <w:kern w:val="0"/>
          <w:sz w:val="32"/>
          <w:szCs w:val="32"/>
        </w:rPr>
        <w:t>10</w:t>
      </w:r>
      <w:r w:rsidRPr="00460DB1">
        <w:rPr>
          <w:rFonts w:eastAsia="仿宋_GB2312"/>
          <w:kern w:val="0"/>
          <w:sz w:val="32"/>
          <w:szCs w:val="32"/>
          <w:vertAlign w:val="superscript"/>
        </w:rPr>
        <w:t>5</w:t>
      </w:r>
      <w:r w:rsidRPr="00460DB1">
        <w:rPr>
          <w:rFonts w:eastAsia="仿宋_GB2312"/>
          <w:kern w:val="0"/>
          <w:sz w:val="32"/>
          <w:szCs w:val="32"/>
        </w:rPr>
        <w:t xml:space="preserve"> pfu/mL</w:t>
      </w:r>
      <w:r w:rsidRPr="00460DB1">
        <w:rPr>
          <w:rFonts w:eastAsia="仿宋_GB2312"/>
          <w:kern w:val="0"/>
          <w:sz w:val="32"/>
          <w:szCs w:val="32"/>
        </w:rPr>
        <w:t>。</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kern w:val="0"/>
          <w:sz w:val="32"/>
          <w:szCs w:val="32"/>
        </w:rPr>
        <w:t>试验方案需明确用于交叉反应验</w:t>
      </w:r>
      <w:r w:rsidRPr="00460DB1">
        <w:rPr>
          <w:rFonts w:eastAsia="仿宋_GB2312"/>
          <w:color w:val="000000"/>
          <w:kern w:val="0"/>
          <w:sz w:val="32"/>
          <w:szCs w:val="32"/>
        </w:rPr>
        <w:t>证的样本来源、制备方法、核酸序列确认和浓度选择等，并提交详细的研究资料。</w:t>
      </w:r>
    </w:p>
    <w:p w:rsidR="00451AC3" w:rsidRPr="00460DB1" w:rsidRDefault="009F29AF" w:rsidP="00460DB1">
      <w:pPr>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2.7.2</w:t>
      </w:r>
      <w:r w:rsidRPr="00460DB1">
        <w:rPr>
          <w:rFonts w:eastAsia="仿宋_GB2312"/>
          <w:bCs/>
          <w:color w:val="000000"/>
          <w:sz w:val="32"/>
          <w:szCs w:val="32"/>
        </w:rPr>
        <w:t>干扰研究</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应针对可能的内源和外源性干扰物进行干扰试验研究。对于</w:t>
      </w:r>
      <w:r w:rsidRPr="00460DB1">
        <w:rPr>
          <w:rFonts w:eastAsia="仿宋_GB2312"/>
          <w:color w:val="000000"/>
          <w:kern w:val="0"/>
          <w:sz w:val="32"/>
          <w:szCs w:val="32"/>
        </w:rPr>
        <w:t>FFPE</w:t>
      </w:r>
      <w:r w:rsidRPr="00460DB1">
        <w:rPr>
          <w:rFonts w:eastAsia="仿宋_GB2312"/>
          <w:color w:val="000000"/>
          <w:kern w:val="0"/>
          <w:sz w:val="32"/>
          <w:szCs w:val="32"/>
        </w:rPr>
        <w:t>样本，内源性干扰物质应包括血红蛋白、甘油三酯、坏死组织等，外源性干扰物质应包括福尔马林、石蜡、二甲苯、乙醇、蛋白酶</w:t>
      </w:r>
      <w:r w:rsidRPr="00460DB1">
        <w:rPr>
          <w:rFonts w:eastAsia="仿宋_GB2312"/>
          <w:color w:val="000000"/>
          <w:kern w:val="0"/>
          <w:sz w:val="32"/>
          <w:szCs w:val="32"/>
        </w:rPr>
        <w:t>K</w:t>
      </w:r>
      <w:r w:rsidRPr="00460DB1">
        <w:rPr>
          <w:rFonts w:eastAsia="仿宋_GB2312"/>
          <w:color w:val="000000"/>
          <w:kern w:val="0"/>
          <w:sz w:val="32"/>
          <w:szCs w:val="32"/>
        </w:rPr>
        <w:t>、常用相关治疗药物等。</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干扰试验可通过在所有突变类型检出限水平处样本存储液中加入干扰物质的方式，评价干扰物质对目标基因检测的影响，也可直接采用暴露于干扰因素后的受试者样本，进行干扰试验评价。建议申请人在每种干扰物质的潜在最大浓度（</w:t>
      </w:r>
      <w:r w:rsidRPr="00460DB1">
        <w:rPr>
          <w:rFonts w:eastAsia="仿宋_GB2312"/>
          <w:color w:val="000000"/>
          <w:kern w:val="0"/>
          <w:sz w:val="32"/>
          <w:szCs w:val="32"/>
        </w:rPr>
        <w:t>“</w:t>
      </w:r>
      <w:r w:rsidRPr="00460DB1">
        <w:rPr>
          <w:rFonts w:eastAsia="仿宋_GB2312"/>
          <w:color w:val="000000"/>
          <w:kern w:val="0"/>
          <w:sz w:val="32"/>
          <w:szCs w:val="32"/>
        </w:rPr>
        <w:t>最差条件</w:t>
      </w:r>
      <w:r w:rsidRPr="00460DB1">
        <w:rPr>
          <w:rFonts w:eastAsia="仿宋_GB2312"/>
          <w:color w:val="000000"/>
          <w:kern w:val="0"/>
          <w:sz w:val="32"/>
          <w:szCs w:val="32"/>
        </w:rPr>
        <w:t>”</w:t>
      </w:r>
      <w:r w:rsidRPr="00460DB1">
        <w:rPr>
          <w:rFonts w:eastAsia="仿宋_GB2312"/>
          <w:color w:val="000000"/>
          <w:kern w:val="0"/>
          <w:sz w:val="32"/>
          <w:szCs w:val="32"/>
        </w:rPr>
        <w:t>）条件下进行评价；如有干扰，应确定不产生干扰的最高浓度。</w:t>
      </w:r>
    </w:p>
    <w:p w:rsidR="00451AC3" w:rsidRPr="00460DB1" w:rsidRDefault="009F29AF" w:rsidP="00460DB1">
      <w:pPr>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2.8</w:t>
      </w:r>
      <w:r w:rsidRPr="00460DB1">
        <w:rPr>
          <w:rFonts w:eastAsia="仿宋_GB2312"/>
          <w:bCs/>
          <w:color w:val="000000"/>
          <w:sz w:val="32"/>
          <w:szCs w:val="32"/>
        </w:rPr>
        <w:t>核酸提取</w:t>
      </w:r>
      <w:r w:rsidRPr="00460DB1">
        <w:rPr>
          <w:rFonts w:eastAsia="仿宋_GB2312"/>
          <w:bCs/>
          <w:color w:val="000000"/>
          <w:sz w:val="32"/>
          <w:szCs w:val="32"/>
        </w:rPr>
        <w:t>/</w:t>
      </w:r>
      <w:r w:rsidRPr="00460DB1">
        <w:rPr>
          <w:rFonts w:eastAsia="仿宋_GB2312"/>
          <w:bCs/>
          <w:color w:val="000000"/>
          <w:sz w:val="32"/>
          <w:szCs w:val="32"/>
        </w:rPr>
        <w:t>纯化性能</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石蜡包埋组织样本在福尔马林固定过程中，会使样品中的核</w:t>
      </w:r>
      <w:r w:rsidRPr="00460DB1">
        <w:rPr>
          <w:rFonts w:eastAsia="仿宋_GB2312"/>
          <w:color w:val="000000"/>
          <w:kern w:val="0"/>
          <w:sz w:val="32"/>
          <w:szCs w:val="32"/>
        </w:rPr>
        <w:lastRenderedPageBreak/>
        <w:t>酸与核酸之间、核酸与蛋白之间发生交联。因此，在进行核酸检测之前，应有核酸提取</w:t>
      </w:r>
      <w:r w:rsidRPr="00460DB1">
        <w:rPr>
          <w:rFonts w:eastAsia="仿宋_GB2312"/>
          <w:color w:val="000000"/>
          <w:kern w:val="0"/>
          <w:sz w:val="32"/>
          <w:szCs w:val="32"/>
        </w:rPr>
        <w:t>/</w:t>
      </w:r>
      <w:r w:rsidRPr="00460DB1">
        <w:rPr>
          <w:rFonts w:eastAsia="仿宋_GB2312"/>
          <w:color w:val="000000"/>
          <w:kern w:val="0"/>
          <w:sz w:val="32"/>
          <w:szCs w:val="32"/>
        </w:rPr>
        <w:t>纯化步骤。该步骤的目的除最大量分离出目的核酸外，还有尽可能去除</w:t>
      </w:r>
      <w:r w:rsidRPr="00460DB1">
        <w:rPr>
          <w:rFonts w:eastAsia="仿宋_GB2312"/>
          <w:color w:val="000000"/>
          <w:kern w:val="0"/>
          <w:sz w:val="32"/>
          <w:szCs w:val="32"/>
        </w:rPr>
        <w:t>PCR</w:t>
      </w:r>
      <w:r w:rsidRPr="00460DB1">
        <w:rPr>
          <w:rFonts w:eastAsia="仿宋_GB2312"/>
          <w:color w:val="000000"/>
          <w:kern w:val="0"/>
          <w:sz w:val="32"/>
          <w:szCs w:val="32"/>
        </w:rPr>
        <w:t>抑制物的纯化作用。申请人需设置合理的评价方案（如：对同一</w:t>
      </w:r>
      <w:r w:rsidRPr="00460DB1">
        <w:rPr>
          <w:rFonts w:eastAsia="仿宋_GB2312"/>
          <w:color w:val="000000"/>
          <w:kern w:val="0"/>
          <w:sz w:val="32"/>
          <w:szCs w:val="32"/>
        </w:rPr>
        <w:t>CRC FFPE</w:t>
      </w:r>
      <w:r w:rsidRPr="00460DB1">
        <w:rPr>
          <w:rFonts w:eastAsia="仿宋_GB2312"/>
          <w:color w:val="000000"/>
          <w:kern w:val="0"/>
          <w:sz w:val="32"/>
          <w:szCs w:val="32"/>
        </w:rPr>
        <w:t>临床样本中段部分进行多份连续切片，等）和评价指标，评价样本核酸提取过程的重复性。</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无论检测试剂是否含有核酸提取</w:t>
      </w:r>
      <w:r w:rsidRPr="00460DB1">
        <w:rPr>
          <w:rFonts w:eastAsia="仿宋_GB2312"/>
          <w:color w:val="000000"/>
          <w:kern w:val="0"/>
          <w:sz w:val="32"/>
          <w:szCs w:val="32"/>
        </w:rPr>
        <w:t>/</w:t>
      </w:r>
      <w:r w:rsidRPr="00460DB1">
        <w:rPr>
          <w:rFonts w:eastAsia="仿宋_GB2312"/>
          <w:color w:val="000000"/>
          <w:kern w:val="0"/>
          <w:sz w:val="32"/>
          <w:szCs w:val="32"/>
        </w:rPr>
        <w:t>纯化的组分，企业都应结合检测试剂的特性，对配合使用的所有核酸提取试剂进行提取核酸纯度、浓度、提取效率、提取过程重复性的研究，并评价该方法能否满足</w:t>
      </w:r>
      <w:r w:rsidRPr="00460DB1">
        <w:rPr>
          <w:rFonts w:eastAsia="仿宋_GB2312"/>
          <w:color w:val="000000"/>
          <w:kern w:val="0"/>
          <w:sz w:val="32"/>
          <w:szCs w:val="32"/>
        </w:rPr>
        <w:t>KRAS</w:t>
      </w:r>
      <w:r w:rsidRPr="00460DB1">
        <w:rPr>
          <w:rFonts w:eastAsia="仿宋_GB2312"/>
          <w:color w:val="000000"/>
          <w:kern w:val="0"/>
          <w:sz w:val="32"/>
          <w:szCs w:val="32"/>
        </w:rPr>
        <w:t>基因突变检测试剂的要求，提供详细的评价资料。</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若产品适用两种或以上核酸提取试剂，则每种核酸提取试剂均需配合检测试剂进行精密度、检出限和抗干扰的验证。</w:t>
      </w:r>
    </w:p>
    <w:p w:rsidR="00451AC3" w:rsidRPr="00460DB1" w:rsidRDefault="009F29AF" w:rsidP="00460DB1">
      <w:pPr>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2.9</w:t>
      </w:r>
      <w:r w:rsidRPr="00460DB1">
        <w:rPr>
          <w:rFonts w:eastAsia="仿宋_GB2312"/>
          <w:bCs/>
          <w:color w:val="000000"/>
          <w:sz w:val="32"/>
          <w:szCs w:val="32"/>
        </w:rPr>
        <w:t>反应体系</w:t>
      </w:r>
    </w:p>
    <w:p w:rsidR="00451AC3" w:rsidRPr="00460DB1" w:rsidRDefault="009F29AF" w:rsidP="00460DB1">
      <w:pPr>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2.9.1</w:t>
      </w:r>
      <w:r w:rsidRPr="00460DB1">
        <w:rPr>
          <w:rFonts w:eastAsia="仿宋_GB2312"/>
          <w:bCs/>
          <w:color w:val="000000"/>
          <w:sz w:val="32"/>
          <w:szCs w:val="32"/>
        </w:rPr>
        <w:t>样本采集和处理</w:t>
      </w:r>
    </w:p>
    <w:p w:rsidR="00451AC3" w:rsidRPr="00460DB1" w:rsidRDefault="009F29AF" w:rsidP="00460DB1">
      <w:pPr>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应确定样本中的最低肿瘤细胞含量，提交确定方法及研究数据，肿瘤细胞所占比例需达到所用扩增检测方法的要求。当样本中肿瘤细胞含量低于标准要求时，如需采用样本富集等方法来满足肿瘤细胞含量要求，应提交详细的样本富集方法、步骤及研究数据，并对该方法所制备样本进行精密度和检测限验证研究。</w:t>
      </w:r>
    </w:p>
    <w:p w:rsidR="00451AC3" w:rsidRPr="00460DB1" w:rsidRDefault="009F29AF" w:rsidP="00460DB1">
      <w:pPr>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2.9.2</w:t>
      </w:r>
      <w:r w:rsidRPr="00460DB1">
        <w:rPr>
          <w:rFonts w:eastAsia="仿宋_GB2312"/>
          <w:bCs/>
          <w:color w:val="000000"/>
          <w:sz w:val="32"/>
          <w:szCs w:val="32"/>
        </w:rPr>
        <w:t>核酸提取和反应体系</w:t>
      </w:r>
    </w:p>
    <w:p w:rsidR="00451AC3" w:rsidRPr="00460DB1" w:rsidRDefault="009F29AF" w:rsidP="00460DB1">
      <w:pPr>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研究确定最佳核酸提取和反应体系，包括核酸提取用的样本体积、洗脱体积和</w:t>
      </w:r>
      <w:r w:rsidRPr="00460DB1">
        <w:rPr>
          <w:rFonts w:eastAsia="仿宋_GB2312"/>
          <w:bCs/>
          <w:color w:val="000000"/>
          <w:sz w:val="32"/>
          <w:szCs w:val="32"/>
        </w:rPr>
        <w:t>PCR</w:t>
      </w:r>
      <w:r w:rsidRPr="00460DB1">
        <w:rPr>
          <w:rFonts w:eastAsia="仿宋_GB2312"/>
          <w:bCs/>
          <w:color w:val="000000"/>
          <w:sz w:val="32"/>
          <w:szCs w:val="32"/>
        </w:rPr>
        <w:t>加样体积、各种酶浓度、引物</w:t>
      </w:r>
      <w:r w:rsidRPr="00460DB1">
        <w:rPr>
          <w:rFonts w:eastAsia="仿宋_GB2312"/>
          <w:bCs/>
          <w:color w:val="000000"/>
          <w:sz w:val="32"/>
          <w:szCs w:val="32"/>
        </w:rPr>
        <w:t>/</w:t>
      </w:r>
      <w:r w:rsidRPr="00460DB1">
        <w:rPr>
          <w:rFonts w:eastAsia="仿宋_GB2312"/>
          <w:bCs/>
          <w:color w:val="000000"/>
          <w:sz w:val="32"/>
          <w:szCs w:val="32"/>
        </w:rPr>
        <w:t>探针浓度、</w:t>
      </w:r>
      <w:r w:rsidRPr="00460DB1">
        <w:rPr>
          <w:rFonts w:eastAsia="仿宋_GB2312"/>
          <w:bCs/>
          <w:color w:val="000000"/>
          <w:sz w:val="32"/>
          <w:szCs w:val="32"/>
        </w:rPr>
        <w:t>dNTPs</w:t>
      </w:r>
      <w:r w:rsidRPr="00460DB1">
        <w:rPr>
          <w:rFonts w:eastAsia="仿宋_GB2312"/>
          <w:bCs/>
          <w:color w:val="000000"/>
          <w:sz w:val="32"/>
          <w:szCs w:val="32"/>
        </w:rPr>
        <w:t>浓度、阳离子浓度及反应各阶段温度、时间、循环数等。明确每</w:t>
      </w:r>
      <w:r w:rsidRPr="00460DB1">
        <w:rPr>
          <w:rFonts w:eastAsia="仿宋_GB2312"/>
          <w:bCs/>
          <w:color w:val="000000"/>
          <w:sz w:val="32"/>
          <w:szCs w:val="32"/>
        </w:rPr>
        <w:t>μL</w:t>
      </w:r>
      <w:r w:rsidRPr="00460DB1">
        <w:rPr>
          <w:rFonts w:eastAsia="仿宋_GB2312"/>
          <w:bCs/>
          <w:color w:val="000000"/>
          <w:sz w:val="32"/>
          <w:szCs w:val="32"/>
        </w:rPr>
        <w:t>反应体系的</w:t>
      </w:r>
      <w:r w:rsidRPr="00460DB1">
        <w:rPr>
          <w:rFonts w:eastAsia="仿宋_GB2312"/>
          <w:bCs/>
          <w:color w:val="000000"/>
          <w:sz w:val="32"/>
          <w:szCs w:val="32"/>
        </w:rPr>
        <w:t>DNA</w:t>
      </w:r>
      <w:r w:rsidRPr="00460DB1">
        <w:rPr>
          <w:rFonts w:eastAsia="仿宋_GB2312"/>
          <w:bCs/>
          <w:color w:val="000000"/>
          <w:sz w:val="32"/>
          <w:szCs w:val="32"/>
        </w:rPr>
        <w:t>加样量和总</w:t>
      </w:r>
      <w:r w:rsidRPr="00460DB1">
        <w:rPr>
          <w:rFonts w:eastAsia="仿宋_GB2312"/>
          <w:bCs/>
          <w:color w:val="000000"/>
          <w:sz w:val="32"/>
          <w:szCs w:val="32"/>
        </w:rPr>
        <w:t>DNA</w:t>
      </w:r>
      <w:r w:rsidRPr="00460DB1">
        <w:rPr>
          <w:rFonts w:eastAsia="仿宋_GB2312"/>
          <w:bCs/>
          <w:color w:val="000000"/>
          <w:sz w:val="32"/>
          <w:szCs w:val="32"/>
        </w:rPr>
        <w:t>浓度确定方法，建议在保证核酸提取质量的情况下尽量扩大总反应体系和加样量，</w:t>
      </w:r>
      <w:r w:rsidRPr="00460DB1">
        <w:rPr>
          <w:rFonts w:eastAsia="仿宋_GB2312"/>
          <w:bCs/>
          <w:color w:val="000000"/>
          <w:sz w:val="32"/>
          <w:szCs w:val="32"/>
        </w:rPr>
        <w:lastRenderedPageBreak/>
        <w:t>以提高检测灵敏度。</w:t>
      </w:r>
    </w:p>
    <w:p w:rsidR="00451AC3" w:rsidRPr="00460DB1" w:rsidRDefault="009F29AF" w:rsidP="00460DB1">
      <w:pPr>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如有多个适用机型，需提供每个适用机型基线和阈值的确定资料。不同适用机型的反应条件如果有差异应分别详述，并提交验证资料。</w:t>
      </w:r>
    </w:p>
    <w:p w:rsidR="00451AC3" w:rsidRPr="00460DB1" w:rsidRDefault="009F29AF" w:rsidP="00460DB1">
      <w:pPr>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3.</w:t>
      </w:r>
      <w:r w:rsidRPr="00460DB1">
        <w:rPr>
          <w:rFonts w:eastAsia="仿宋_GB2312"/>
          <w:bCs/>
          <w:color w:val="000000"/>
          <w:sz w:val="32"/>
          <w:szCs w:val="32"/>
        </w:rPr>
        <w:t>稳定性研究</w:t>
      </w:r>
    </w:p>
    <w:p w:rsidR="00451AC3" w:rsidRPr="00460DB1" w:rsidRDefault="009F29AF" w:rsidP="00460DB1">
      <w:pPr>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包括实时稳定性（有效期）、运输稳定性、开封稳定性及冻融次数限制等研究，申请人可根据实际需要选择合理的稳定性研究方案。稳定性研究资料应包括研究方法的确定依据、具体的实施方案、详细的研究数据以及结论。对于实时稳定性研究，应提供至少三批试剂在实际储存条件下保存至成品有效期后的研究资料。</w:t>
      </w:r>
    </w:p>
    <w:p w:rsidR="00451AC3" w:rsidRPr="00460DB1" w:rsidRDefault="009F29AF" w:rsidP="00460DB1">
      <w:pPr>
        <w:adjustRightInd w:val="0"/>
        <w:snapToGrid w:val="0"/>
        <w:spacing w:line="520" w:lineRule="exact"/>
        <w:ind w:firstLineChars="200" w:firstLine="640"/>
        <w:rPr>
          <w:rFonts w:eastAsia="仿宋_GB2312"/>
          <w:sz w:val="32"/>
          <w:szCs w:val="32"/>
        </w:rPr>
      </w:pPr>
      <w:r w:rsidRPr="00460DB1">
        <w:rPr>
          <w:rFonts w:eastAsia="仿宋_GB2312"/>
          <w:color w:val="000000"/>
          <w:sz w:val="32"/>
          <w:szCs w:val="32"/>
        </w:rPr>
        <w:t>4.</w:t>
      </w:r>
      <w:r w:rsidRPr="00460DB1">
        <w:rPr>
          <w:rFonts w:eastAsia="仿宋_GB2312"/>
          <w:sz w:val="32"/>
          <w:szCs w:val="32"/>
        </w:rPr>
        <w:t>阳性判断值研究</w:t>
      </w:r>
    </w:p>
    <w:p w:rsidR="00451AC3" w:rsidRPr="00460DB1" w:rsidRDefault="009F29AF" w:rsidP="00460DB1">
      <w:pPr>
        <w:adjustRightInd w:val="0"/>
        <w:snapToGrid w:val="0"/>
        <w:spacing w:line="520" w:lineRule="exact"/>
        <w:ind w:firstLineChars="200" w:firstLine="640"/>
        <w:rPr>
          <w:rFonts w:eastAsia="仿宋_GB2312"/>
          <w:bCs/>
          <w:color w:val="000000"/>
          <w:sz w:val="32"/>
          <w:szCs w:val="32"/>
        </w:rPr>
      </w:pPr>
      <w:r w:rsidRPr="00460DB1">
        <w:rPr>
          <w:rFonts w:eastAsia="仿宋_GB2312"/>
          <w:color w:val="000000"/>
          <w:kern w:val="0"/>
          <w:sz w:val="32"/>
          <w:szCs w:val="32"/>
        </w:rPr>
        <w:t>阳性判断值即为能够获得理想的检测准确性的临界值（</w:t>
      </w:r>
      <w:r w:rsidRPr="00460DB1">
        <w:rPr>
          <w:rFonts w:eastAsia="仿宋_GB2312"/>
          <w:color w:val="000000"/>
          <w:kern w:val="0"/>
          <w:sz w:val="32"/>
          <w:szCs w:val="32"/>
        </w:rPr>
        <w:t>Cut-off</w:t>
      </w:r>
      <w:r w:rsidRPr="00460DB1">
        <w:rPr>
          <w:rFonts w:eastAsia="仿宋_GB2312"/>
          <w:color w:val="000000"/>
          <w:kern w:val="0"/>
          <w:sz w:val="32"/>
          <w:szCs w:val="32"/>
        </w:rPr>
        <w:t>）。研究建议纳入一定数量的临床样本，涵盖人</w:t>
      </w:r>
      <w:r w:rsidRPr="00460DB1">
        <w:rPr>
          <w:rFonts w:eastAsia="仿宋_GB2312"/>
          <w:color w:val="000000"/>
          <w:kern w:val="0"/>
          <w:sz w:val="32"/>
          <w:szCs w:val="32"/>
        </w:rPr>
        <w:t>KRAS</w:t>
      </w:r>
      <w:r w:rsidRPr="00460DB1">
        <w:rPr>
          <w:rFonts w:eastAsia="仿宋_GB2312"/>
          <w:color w:val="000000"/>
          <w:kern w:val="0"/>
          <w:sz w:val="32"/>
          <w:szCs w:val="32"/>
        </w:rPr>
        <w:t>野生型和可检测的不同突变类型，采用受试者工作特征（</w:t>
      </w:r>
      <w:r w:rsidRPr="00460DB1">
        <w:rPr>
          <w:rFonts w:eastAsia="仿宋_GB2312"/>
          <w:color w:val="000000"/>
          <w:kern w:val="0"/>
          <w:sz w:val="32"/>
          <w:szCs w:val="32"/>
        </w:rPr>
        <w:t>ROC</w:t>
      </w:r>
      <w:r w:rsidRPr="00460DB1">
        <w:rPr>
          <w:rFonts w:eastAsia="仿宋_GB2312"/>
          <w:color w:val="000000"/>
          <w:kern w:val="0"/>
          <w:sz w:val="32"/>
          <w:szCs w:val="32"/>
        </w:rPr>
        <w:t>）曲线的方式进行研究，亦可采用其他科学合理的方法进行阳性判断值研究。如果试剂判读存在灰区，应提交灰区范围确定的研究资料。</w:t>
      </w:r>
      <w:r w:rsidRPr="00460DB1">
        <w:rPr>
          <w:rFonts w:eastAsia="仿宋_GB2312"/>
          <w:bCs/>
          <w:color w:val="000000"/>
          <w:sz w:val="32"/>
          <w:szCs w:val="32"/>
        </w:rPr>
        <w:t>提交阳性判断值建立及验证研究资料时，应包括研究方案、设定评价标准、研究过程以及研究原始数据等。其中，所用样本的背景信息列表应至少包括性别、年龄、临床诊断信息、样本来源机构、检测结果等信息。</w:t>
      </w:r>
    </w:p>
    <w:p w:rsidR="00451AC3" w:rsidRPr="00460DB1" w:rsidRDefault="009F29AF" w:rsidP="00460DB1">
      <w:pPr>
        <w:adjustRightInd w:val="0"/>
        <w:snapToGrid w:val="0"/>
        <w:spacing w:line="520" w:lineRule="exact"/>
        <w:ind w:firstLineChars="200" w:firstLine="640"/>
        <w:rPr>
          <w:rFonts w:eastAsia="仿宋_GB2312"/>
          <w:sz w:val="32"/>
        </w:rPr>
      </w:pPr>
      <w:r w:rsidRPr="00460DB1">
        <w:rPr>
          <w:rFonts w:eastAsia="仿宋_GB2312"/>
          <w:sz w:val="32"/>
        </w:rPr>
        <w:t>5.</w:t>
      </w:r>
      <w:r w:rsidRPr="00460DB1">
        <w:rPr>
          <w:rFonts w:eastAsia="仿宋_GB2312"/>
          <w:sz w:val="32"/>
        </w:rPr>
        <w:t>其他资料</w:t>
      </w:r>
    </w:p>
    <w:p w:rsidR="00451AC3" w:rsidRPr="00460DB1" w:rsidRDefault="009F29AF" w:rsidP="00460DB1">
      <w:pPr>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5.1</w:t>
      </w:r>
      <w:r w:rsidRPr="00460DB1">
        <w:rPr>
          <w:rFonts w:eastAsia="仿宋_GB2312"/>
          <w:bCs/>
          <w:color w:val="000000"/>
          <w:sz w:val="32"/>
          <w:szCs w:val="32"/>
        </w:rPr>
        <w:t>主要原材料研究</w:t>
      </w:r>
    </w:p>
    <w:p w:rsidR="00451AC3" w:rsidRPr="00460DB1" w:rsidRDefault="009F29AF" w:rsidP="00460DB1">
      <w:pPr>
        <w:adjustRightInd w:val="0"/>
        <w:snapToGrid w:val="0"/>
        <w:spacing w:line="520" w:lineRule="exact"/>
        <w:ind w:firstLineChars="200" w:firstLine="640"/>
        <w:rPr>
          <w:rFonts w:eastAsia="仿宋_GB2312"/>
          <w:sz w:val="32"/>
          <w:szCs w:val="32"/>
        </w:rPr>
      </w:pPr>
      <w:bookmarkStart w:id="1" w:name="_Hlk148822207"/>
      <w:r w:rsidRPr="00460DB1">
        <w:rPr>
          <w:rFonts w:eastAsia="仿宋_GB2312"/>
          <w:color w:val="000000"/>
          <w:sz w:val="32"/>
          <w:szCs w:val="32"/>
        </w:rPr>
        <w:t>此类产品的主要原材料应包括引物、探针、酶、</w:t>
      </w:r>
      <w:r w:rsidRPr="00460DB1">
        <w:rPr>
          <w:rFonts w:eastAsia="仿宋_GB2312"/>
          <w:sz w:val="32"/>
          <w:szCs w:val="32"/>
        </w:rPr>
        <w:t>dNTPs</w:t>
      </w:r>
      <w:r w:rsidRPr="00460DB1">
        <w:rPr>
          <w:rFonts w:eastAsia="仿宋_GB2312"/>
          <w:sz w:val="32"/>
          <w:szCs w:val="32"/>
        </w:rPr>
        <w:t>、核酸分离</w:t>
      </w:r>
      <w:r w:rsidRPr="00460DB1">
        <w:rPr>
          <w:rFonts w:eastAsia="仿宋_GB2312"/>
          <w:sz w:val="32"/>
          <w:szCs w:val="32"/>
        </w:rPr>
        <w:t>/</w:t>
      </w:r>
      <w:r w:rsidRPr="00460DB1">
        <w:rPr>
          <w:rFonts w:eastAsia="仿宋_GB2312"/>
          <w:sz w:val="32"/>
          <w:szCs w:val="32"/>
        </w:rPr>
        <w:t>纯化组分（如有）、质控品、企业参考品等。应提供主要原材料的选择与来源、制备过程、质量控制标准等相关研究资料、</w:t>
      </w:r>
      <w:r w:rsidRPr="00460DB1">
        <w:rPr>
          <w:rFonts w:eastAsia="仿宋_GB2312"/>
          <w:sz w:val="32"/>
          <w:szCs w:val="32"/>
        </w:rPr>
        <w:lastRenderedPageBreak/>
        <w:t>质控品的定值试验资料等。如主要原材料为企业自制，应提供其详细制备过程；如主要原材料源于外购，应提供资料包括：选择该原材料的依据及对比筛选试验资料、生产商提供的质量标准</w:t>
      </w:r>
      <w:r w:rsidRPr="00460DB1">
        <w:rPr>
          <w:rFonts w:eastAsia="仿宋_GB2312"/>
          <w:sz w:val="32"/>
          <w:szCs w:val="32"/>
        </w:rPr>
        <w:t>/</w:t>
      </w:r>
      <w:r w:rsidRPr="00460DB1">
        <w:rPr>
          <w:rFonts w:eastAsia="仿宋_GB2312"/>
          <w:sz w:val="32"/>
          <w:szCs w:val="32"/>
        </w:rPr>
        <w:t>出厂检验报告，以及该原材料到货后的质量检验资料。生产商应固定，不得随意更换。</w:t>
      </w:r>
    </w:p>
    <w:bookmarkEnd w:id="1"/>
    <w:p w:rsidR="00451AC3" w:rsidRPr="00460DB1" w:rsidRDefault="009F29AF" w:rsidP="00460DB1">
      <w:pPr>
        <w:adjustRightInd w:val="0"/>
        <w:snapToGrid w:val="0"/>
        <w:spacing w:line="520" w:lineRule="exact"/>
        <w:ind w:firstLineChars="200" w:firstLine="640"/>
        <w:rPr>
          <w:rFonts w:eastAsia="仿宋_GB2312"/>
          <w:color w:val="000000"/>
          <w:sz w:val="32"/>
          <w:szCs w:val="32"/>
        </w:rPr>
      </w:pPr>
      <w:r w:rsidRPr="00460DB1">
        <w:rPr>
          <w:rFonts w:eastAsia="仿宋_GB2312"/>
          <w:color w:val="000000"/>
          <w:sz w:val="32"/>
          <w:szCs w:val="32"/>
        </w:rPr>
        <w:t xml:space="preserve">5.1.1 </w:t>
      </w:r>
      <w:r w:rsidRPr="00460DB1">
        <w:rPr>
          <w:rFonts w:eastAsia="仿宋_GB2312"/>
          <w:color w:val="000000"/>
          <w:sz w:val="32"/>
          <w:szCs w:val="32"/>
        </w:rPr>
        <w:t>引物和探针</w:t>
      </w:r>
    </w:p>
    <w:p w:rsidR="00451AC3" w:rsidRPr="00460DB1" w:rsidRDefault="009F29AF" w:rsidP="00460DB1">
      <w:pPr>
        <w:adjustRightInd w:val="0"/>
        <w:snapToGrid w:val="0"/>
        <w:spacing w:line="520" w:lineRule="exact"/>
        <w:ind w:firstLineChars="200" w:firstLine="640"/>
        <w:rPr>
          <w:rFonts w:eastAsia="仿宋_GB2312"/>
          <w:color w:val="000000"/>
          <w:sz w:val="32"/>
          <w:szCs w:val="32"/>
        </w:rPr>
      </w:pPr>
      <w:r w:rsidRPr="00460DB1">
        <w:rPr>
          <w:rFonts w:eastAsia="仿宋_GB2312"/>
          <w:color w:val="000000"/>
          <w:sz w:val="32"/>
          <w:szCs w:val="32"/>
        </w:rPr>
        <w:t>应详述每一待测位点检测用引物、探针的设计原则，分别提供引物探针序列、靶基因序列及两者的对应情况。建议设计两套或多套引物探针以供筛选，针对待测位点的检测灵敏度和特异性等进行评价，选择最佳引物探针组合，并提交详细的筛选研究数据。同时应针对引物、探针及检测靶序列与公开数据库进行同源性分析，如有同源序列应着重评价是否会有交叉反应。</w:t>
      </w:r>
    </w:p>
    <w:p w:rsidR="00451AC3" w:rsidRPr="00460DB1" w:rsidRDefault="009F29AF" w:rsidP="00460DB1">
      <w:pPr>
        <w:adjustRightInd w:val="0"/>
        <w:snapToGrid w:val="0"/>
        <w:spacing w:line="520" w:lineRule="exact"/>
        <w:ind w:firstLineChars="200" w:firstLine="640"/>
        <w:rPr>
          <w:rFonts w:eastAsia="仿宋_GB2312"/>
          <w:color w:val="000000"/>
          <w:sz w:val="32"/>
          <w:szCs w:val="32"/>
        </w:rPr>
      </w:pPr>
      <w:r w:rsidRPr="00460DB1">
        <w:rPr>
          <w:rFonts w:eastAsia="仿宋_GB2312"/>
          <w:color w:val="000000"/>
          <w:sz w:val="32"/>
          <w:szCs w:val="32"/>
        </w:rPr>
        <w:t>申请人应针对选定的引物、探针原材料进行质量评价，一般包括：外观、分子量、纯度、浓度、序列准确度、探针荧光标记基团，以及功能性试验等，并依据评价结果建立合理的质量标准。</w:t>
      </w:r>
    </w:p>
    <w:p w:rsidR="00451AC3" w:rsidRPr="00460DB1" w:rsidRDefault="009F29AF" w:rsidP="00460DB1">
      <w:pPr>
        <w:adjustRightInd w:val="0"/>
        <w:snapToGrid w:val="0"/>
        <w:spacing w:line="520" w:lineRule="exact"/>
        <w:ind w:firstLineChars="200" w:firstLine="640"/>
        <w:rPr>
          <w:rFonts w:eastAsia="仿宋_GB2312"/>
          <w:color w:val="000000"/>
          <w:sz w:val="32"/>
          <w:szCs w:val="32"/>
        </w:rPr>
      </w:pPr>
      <w:r w:rsidRPr="00460DB1">
        <w:rPr>
          <w:rFonts w:eastAsia="仿宋_GB2312"/>
          <w:color w:val="000000"/>
          <w:sz w:val="32"/>
          <w:szCs w:val="32"/>
        </w:rPr>
        <w:t>5.1.2</w:t>
      </w:r>
      <w:r w:rsidRPr="00460DB1">
        <w:rPr>
          <w:rFonts w:eastAsia="仿宋_GB2312"/>
          <w:color w:val="000000"/>
          <w:sz w:val="32"/>
          <w:szCs w:val="32"/>
        </w:rPr>
        <w:t>脱氧三磷酸核苷（</w:t>
      </w:r>
      <w:r w:rsidRPr="00460DB1">
        <w:rPr>
          <w:rFonts w:eastAsia="仿宋_GB2312"/>
          <w:color w:val="000000"/>
          <w:sz w:val="32"/>
          <w:szCs w:val="32"/>
        </w:rPr>
        <w:t>dNTPs</w:t>
      </w:r>
      <w:r w:rsidRPr="00460DB1">
        <w:rPr>
          <w:rFonts w:eastAsia="仿宋_GB2312"/>
          <w:color w:val="000000"/>
          <w:sz w:val="32"/>
          <w:szCs w:val="32"/>
        </w:rPr>
        <w:t>）：包括</w:t>
      </w:r>
      <w:r w:rsidRPr="00460DB1">
        <w:rPr>
          <w:rFonts w:eastAsia="仿宋_GB2312"/>
          <w:bCs/>
          <w:sz w:val="32"/>
          <w:szCs w:val="32"/>
        </w:rPr>
        <w:t>dATP</w:t>
      </w:r>
      <w:r w:rsidRPr="00460DB1">
        <w:rPr>
          <w:rFonts w:eastAsia="仿宋_GB2312"/>
          <w:bCs/>
          <w:sz w:val="32"/>
          <w:szCs w:val="32"/>
        </w:rPr>
        <w:t>、</w:t>
      </w:r>
      <w:r w:rsidRPr="00460DB1">
        <w:rPr>
          <w:rFonts w:eastAsia="仿宋_GB2312"/>
          <w:bCs/>
          <w:sz w:val="32"/>
          <w:szCs w:val="32"/>
        </w:rPr>
        <w:t>dCTP</w:t>
      </w:r>
      <w:r w:rsidRPr="00460DB1">
        <w:rPr>
          <w:rFonts w:eastAsia="仿宋_GB2312"/>
          <w:bCs/>
          <w:sz w:val="32"/>
          <w:szCs w:val="32"/>
        </w:rPr>
        <w:t>、</w:t>
      </w:r>
      <w:r w:rsidRPr="00460DB1">
        <w:rPr>
          <w:rFonts w:eastAsia="仿宋_GB2312"/>
          <w:bCs/>
          <w:sz w:val="32"/>
          <w:szCs w:val="32"/>
        </w:rPr>
        <w:t>dGTP</w:t>
      </w:r>
      <w:r w:rsidRPr="00460DB1">
        <w:rPr>
          <w:rFonts w:eastAsia="仿宋_GB2312"/>
          <w:bCs/>
          <w:sz w:val="32"/>
          <w:szCs w:val="32"/>
        </w:rPr>
        <w:t>、</w:t>
      </w:r>
      <w:r w:rsidRPr="00460DB1">
        <w:rPr>
          <w:rFonts w:eastAsia="仿宋_GB2312"/>
          <w:bCs/>
          <w:sz w:val="32"/>
          <w:szCs w:val="32"/>
        </w:rPr>
        <w:t>dTTP</w:t>
      </w:r>
      <w:r w:rsidRPr="00460DB1">
        <w:rPr>
          <w:rFonts w:eastAsia="仿宋_GB2312"/>
          <w:bCs/>
          <w:sz w:val="32"/>
          <w:szCs w:val="32"/>
        </w:rPr>
        <w:t>或</w:t>
      </w:r>
      <w:r w:rsidRPr="00460DB1">
        <w:rPr>
          <w:rFonts w:eastAsia="仿宋_GB2312"/>
          <w:bCs/>
          <w:sz w:val="32"/>
          <w:szCs w:val="32"/>
        </w:rPr>
        <w:t>dUTP</w:t>
      </w:r>
      <w:r w:rsidRPr="00460DB1">
        <w:rPr>
          <w:rFonts w:eastAsia="仿宋_GB2312"/>
          <w:color w:val="000000"/>
          <w:sz w:val="32"/>
          <w:szCs w:val="32"/>
        </w:rPr>
        <w:t>，应提交对其纯度、浓度等的验证资料，以及功能性试验资料，并确定质量标准。</w:t>
      </w:r>
    </w:p>
    <w:p w:rsidR="00451AC3" w:rsidRPr="00460DB1" w:rsidRDefault="009F29AF" w:rsidP="00460DB1">
      <w:pPr>
        <w:adjustRightInd w:val="0"/>
        <w:snapToGrid w:val="0"/>
        <w:spacing w:line="520" w:lineRule="exact"/>
        <w:ind w:firstLineChars="200" w:firstLine="640"/>
        <w:rPr>
          <w:rFonts w:eastAsia="仿宋_GB2312"/>
          <w:color w:val="000000"/>
          <w:sz w:val="32"/>
          <w:szCs w:val="32"/>
        </w:rPr>
      </w:pPr>
      <w:r w:rsidRPr="00460DB1">
        <w:rPr>
          <w:rFonts w:eastAsia="仿宋_GB2312"/>
          <w:color w:val="000000"/>
          <w:sz w:val="32"/>
          <w:szCs w:val="32"/>
        </w:rPr>
        <w:t>5.1.3</w:t>
      </w:r>
      <w:r w:rsidRPr="00460DB1">
        <w:rPr>
          <w:rFonts w:eastAsia="仿宋_GB2312"/>
          <w:color w:val="000000"/>
          <w:sz w:val="32"/>
          <w:szCs w:val="32"/>
        </w:rPr>
        <w:t>酶：主要包括</w:t>
      </w:r>
      <w:r w:rsidRPr="00460DB1">
        <w:rPr>
          <w:rFonts w:eastAsia="仿宋_GB2312"/>
          <w:color w:val="000000"/>
          <w:sz w:val="32"/>
          <w:szCs w:val="32"/>
        </w:rPr>
        <w:t>DNA</w:t>
      </w:r>
      <w:r w:rsidRPr="00460DB1">
        <w:rPr>
          <w:rFonts w:eastAsia="仿宋_GB2312"/>
          <w:color w:val="000000"/>
          <w:sz w:val="32"/>
          <w:szCs w:val="32"/>
        </w:rPr>
        <w:t>聚合酶、尿嘧啶</w:t>
      </w:r>
      <w:r w:rsidRPr="00460DB1">
        <w:rPr>
          <w:rFonts w:eastAsia="仿宋_GB2312"/>
          <w:color w:val="000000"/>
          <w:sz w:val="32"/>
          <w:szCs w:val="32"/>
        </w:rPr>
        <w:t>DNA</w:t>
      </w:r>
      <w:r w:rsidRPr="00460DB1">
        <w:rPr>
          <w:rFonts w:eastAsia="仿宋_GB2312"/>
          <w:color w:val="000000"/>
          <w:sz w:val="32"/>
          <w:szCs w:val="32"/>
        </w:rPr>
        <w:t>糖基化酶（</w:t>
      </w:r>
      <w:r w:rsidRPr="00460DB1">
        <w:rPr>
          <w:rFonts w:eastAsia="仿宋_GB2312"/>
          <w:color w:val="000000"/>
          <w:sz w:val="32"/>
          <w:szCs w:val="32"/>
        </w:rPr>
        <w:t>UDG/UNG</w:t>
      </w:r>
      <w:r w:rsidRPr="00460DB1">
        <w:rPr>
          <w:rFonts w:eastAsia="仿宋_GB2312"/>
          <w:color w:val="000000"/>
          <w:sz w:val="32"/>
          <w:szCs w:val="32"/>
        </w:rPr>
        <w:t>）等，应分别对酶活性、热稳定性、功能性试验等进行评价和验证，并确定质量标准。</w:t>
      </w:r>
    </w:p>
    <w:p w:rsidR="00451AC3" w:rsidRPr="00460DB1" w:rsidRDefault="009F29AF" w:rsidP="00460DB1">
      <w:pPr>
        <w:adjustRightInd w:val="0"/>
        <w:snapToGrid w:val="0"/>
        <w:spacing w:line="520" w:lineRule="exact"/>
        <w:ind w:firstLineChars="200" w:firstLine="640"/>
        <w:rPr>
          <w:rFonts w:eastAsia="仿宋_GB2312"/>
          <w:color w:val="000000"/>
          <w:sz w:val="32"/>
          <w:szCs w:val="32"/>
        </w:rPr>
      </w:pPr>
      <w:r w:rsidRPr="00460DB1">
        <w:rPr>
          <w:rFonts w:eastAsia="仿宋_GB2312"/>
          <w:color w:val="000000"/>
          <w:sz w:val="32"/>
          <w:szCs w:val="32"/>
        </w:rPr>
        <w:t>5.1.4</w:t>
      </w:r>
      <w:r w:rsidRPr="00460DB1">
        <w:rPr>
          <w:rFonts w:eastAsia="仿宋_GB2312"/>
          <w:color w:val="000000"/>
          <w:sz w:val="32"/>
          <w:szCs w:val="32"/>
        </w:rPr>
        <w:t>质控品</w:t>
      </w:r>
    </w:p>
    <w:p w:rsidR="00451AC3" w:rsidRPr="00460DB1" w:rsidRDefault="009F29AF" w:rsidP="00460DB1">
      <w:pPr>
        <w:adjustRightInd w:val="0"/>
        <w:snapToGrid w:val="0"/>
        <w:spacing w:line="520" w:lineRule="exact"/>
        <w:ind w:firstLineChars="200" w:firstLine="640"/>
        <w:rPr>
          <w:rFonts w:eastAsia="仿宋_GB2312"/>
          <w:color w:val="000000"/>
          <w:sz w:val="32"/>
          <w:szCs w:val="32"/>
        </w:rPr>
      </w:pPr>
      <w:r w:rsidRPr="00460DB1">
        <w:rPr>
          <w:rFonts w:eastAsia="仿宋_GB2312"/>
          <w:color w:val="000000"/>
          <w:sz w:val="32"/>
          <w:szCs w:val="32"/>
        </w:rPr>
        <w:t>试剂盒一般包含阴性质控品和阳性质控品。阳性质控品应包含较常见的突变序列或理论上较难测得的突变序列，可采用质粒、细胞系或临床样本的核酸提取液等进行制备。阴性质控品可采用含有野生型核酸序列的核酸溶液，也可采用不含待测靶序列的空</w:t>
      </w:r>
      <w:r w:rsidRPr="00460DB1">
        <w:rPr>
          <w:rFonts w:eastAsia="仿宋_GB2312"/>
          <w:color w:val="000000"/>
          <w:sz w:val="32"/>
          <w:szCs w:val="32"/>
        </w:rPr>
        <w:lastRenderedPageBreak/>
        <w:t>白对照，对交叉污染导致的假阳性结果进行质控。质控品应参与样本核酸的平行提取和检测的全过程。提交试剂盒质控品有关原料选择、制备、定值过程、浓度范围等试验资料，对质控品的检测结果</w:t>
      </w:r>
      <w:r w:rsidRPr="00460DB1">
        <w:rPr>
          <w:rFonts w:eastAsia="仿宋_GB2312"/>
          <w:color w:val="000000"/>
          <w:sz w:val="32"/>
          <w:szCs w:val="32"/>
        </w:rPr>
        <w:t>Ct</w:t>
      </w:r>
      <w:r w:rsidRPr="00460DB1">
        <w:rPr>
          <w:rFonts w:eastAsia="仿宋_GB2312"/>
          <w:color w:val="000000"/>
          <w:sz w:val="32"/>
          <w:szCs w:val="32"/>
        </w:rPr>
        <w:t>值范围做出明确的要求。</w:t>
      </w:r>
    </w:p>
    <w:p w:rsidR="00451AC3" w:rsidRPr="00460DB1" w:rsidRDefault="009F29AF" w:rsidP="00460DB1">
      <w:pPr>
        <w:adjustRightInd w:val="0"/>
        <w:snapToGrid w:val="0"/>
        <w:spacing w:line="520" w:lineRule="exact"/>
        <w:ind w:firstLineChars="200" w:firstLine="640"/>
        <w:rPr>
          <w:rFonts w:eastAsia="仿宋_GB2312"/>
          <w:sz w:val="32"/>
          <w:szCs w:val="32"/>
        </w:rPr>
      </w:pPr>
      <w:r w:rsidRPr="00460DB1">
        <w:rPr>
          <w:rFonts w:eastAsia="仿宋_GB2312"/>
          <w:sz w:val="32"/>
          <w:szCs w:val="32"/>
        </w:rPr>
        <w:t>5.1.5</w:t>
      </w:r>
      <w:r w:rsidRPr="00460DB1">
        <w:rPr>
          <w:rFonts w:eastAsia="仿宋_GB2312"/>
          <w:sz w:val="32"/>
          <w:szCs w:val="32"/>
        </w:rPr>
        <w:t>内标</w:t>
      </w:r>
    </w:p>
    <w:p w:rsidR="00451AC3" w:rsidRPr="00460DB1" w:rsidRDefault="009F29AF" w:rsidP="00460DB1">
      <w:pPr>
        <w:adjustRightInd w:val="0"/>
        <w:snapToGrid w:val="0"/>
        <w:spacing w:line="520" w:lineRule="exact"/>
        <w:ind w:firstLineChars="200" w:firstLine="640"/>
        <w:rPr>
          <w:rFonts w:eastAsia="仿宋_GB2312"/>
          <w:sz w:val="32"/>
          <w:szCs w:val="32"/>
        </w:rPr>
      </w:pPr>
      <w:r w:rsidRPr="00460DB1">
        <w:rPr>
          <w:rFonts w:eastAsia="仿宋_GB2312"/>
          <w:sz w:val="32"/>
          <w:szCs w:val="32"/>
        </w:rPr>
        <w:t>内标，又称内对照，可以对管内抑制导致的假阴性结果进行质量控制，应与靶核酸一同提取及扩增。申请人需对内标的引物、探针和模板浓度做精确验证，既要保证内标荧光通道呈明显的阳性曲线又要尽量降低对靶基因检测造成的抑制。明确内标的检测结果</w:t>
      </w:r>
      <w:r w:rsidRPr="00460DB1">
        <w:rPr>
          <w:rFonts w:eastAsia="仿宋_GB2312"/>
          <w:sz w:val="32"/>
          <w:szCs w:val="32"/>
        </w:rPr>
        <w:t>Ct</w:t>
      </w:r>
      <w:r w:rsidRPr="00460DB1">
        <w:rPr>
          <w:rFonts w:eastAsia="仿宋_GB2312"/>
          <w:sz w:val="32"/>
          <w:szCs w:val="32"/>
        </w:rPr>
        <w:t>值范围。建议科学设置内标，对待测样本的取样质量、试剂的反应体系进行监控。</w:t>
      </w:r>
    </w:p>
    <w:p w:rsidR="00451AC3" w:rsidRPr="00460DB1" w:rsidRDefault="009F29AF" w:rsidP="00460DB1">
      <w:pPr>
        <w:adjustRightInd w:val="0"/>
        <w:snapToGrid w:val="0"/>
        <w:spacing w:line="520" w:lineRule="exact"/>
        <w:ind w:firstLineChars="200" w:firstLine="640"/>
        <w:rPr>
          <w:rFonts w:eastAsia="仿宋_GB2312"/>
          <w:sz w:val="32"/>
          <w:szCs w:val="32"/>
        </w:rPr>
      </w:pPr>
      <w:r w:rsidRPr="00460DB1">
        <w:rPr>
          <w:rFonts w:eastAsia="仿宋_GB2312"/>
          <w:sz w:val="32"/>
          <w:szCs w:val="32"/>
        </w:rPr>
        <w:t>5.1.6</w:t>
      </w:r>
      <w:r w:rsidRPr="00460DB1">
        <w:rPr>
          <w:rFonts w:eastAsia="仿宋_GB2312"/>
          <w:sz w:val="32"/>
          <w:szCs w:val="32"/>
        </w:rPr>
        <w:t>企业参考品制备</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企业参考品一般包括阳性参考品、阴性参考品、检出限参考品和重复性参考品。应根据产品性能验证的实际需要设置企业参考品。</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常见基因突变位点建议采用临床样本提取的</w:t>
      </w:r>
      <w:r w:rsidRPr="00460DB1">
        <w:rPr>
          <w:rFonts w:eastAsia="仿宋_GB2312"/>
          <w:color w:val="000000"/>
          <w:kern w:val="0"/>
          <w:sz w:val="32"/>
          <w:szCs w:val="32"/>
        </w:rPr>
        <w:t>DNA</w:t>
      </w:r>
      <w:r w:rsidRPr="00460DB1">
        <w:rPr>
          <w:rFonts w:eastAsia="仿宋_GB2312"/>
          <w:color w:val="000000"/>
          <w:kern w:val="0"/>
          <w:sz w:val="32"/>
          <w:szCs w:val="32"/>
        </w:rPr>
        <w:t>储备液作为原料，对于罕见基因突变类型可采用临床样本提取的</w:t>
      </w:r>
      <w:r w:rsidRPr="00460DB1">
        <w:rPr>
          <w:rFonts w:eastAsia="仿宋_GB2312"/>
          <w:color w:val="000000"/>
          <w:kern w:val="0"/>
          <w:sz w:val="32"/>
          <w:szCs w:val="32"/>
        </w:rPr>
        <w:t>DNA</w:t>
      </w:r>
      <w:r w:rsidRPr="00460DB1">
        <w:rPr>
          <w:rFonts w:eastAsia="仿宋_GB2312"/>
          <w:color w:val="000000"/>
          <w:kern w:val="0"/>
          <w:sz w:val="32"/>
          <w:szCs w:val="32"/>
        </w:rPr>
        <w:t>储备液、细胞系或质粒作为原料。企业参考品基质应与样本储存液基质相同。应提交企业参考品的原料来源、选择、制备、浓度、突变样本的突变类型及突变百分率确认方法或试剂等相关验证资料。企业参考品的设置建议如下：</w:t>
      </w:r>
      <w:r w:rsidRPr="00460DB1">
        <w:rPr>
          <w:rFonts w:eastAsia="仿宋_GB2312"/>
          <w:color w:val="000000"/>
          <w:kern w:val="0"/>
          <w:sz w:val="32"/>
          <w:szCs w:val="32"/>
        </w:rPr>
        <w:t xml:space="preserve"> </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sz w:val="32"/>
          <w:szCs w:val="32"/>
        </w:rPr>
        <w:t>阳性参考品：针对试剂盒检测范围内</w:t>
      </w:r>
      <w:r w:rsidRPr="00460DB1">
        <w:rPr>
          <w:rFonts w:eastAsia="仿宋_GB2312"/>
          <w:kern w:val="0"/>
          <w:sz w:val="32"/>
          <w:szCs w:val="32"/>
        </w:rPr>
        <w:t>所有突变位点均应设置相应的阳性参考品，设置多个突变百分率梯度。</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sz w:val="32"/>
          <w:szCs w:val="32"/>
        </w:rPr>
        <w:t>阴性参考品：</w:t>
      </w:r>
      <w:r w:rsidRPr="00460DB1">
        <w:rPr>
          <w:rFonts w:eastAsia="仿宋_GB2312"/>
          <w:color w:val="000000"/>
          <w:kern w:val="0"/>
          <w:sz w:val="32"/>
          <w:szCs w:val="32"/>
        </w:rPr>
        <w:t>应包括经确认无相应靶突变序列的样本（如野生型人基因组，</w:t>
      </w:r>
      <w:r w:rsidRPr="00460DB1">
        <w:rPr>
          <w:rFonts w:eastAsia="仿宋_GB2312"/>
          <w:color w:val="000000"/>
          <w:kern w:val="0"/>
          <w:sz w:val="32"/>
          <w:szCs w:val="32"/>
        </w:rPr>
        <w:t>RAS</w:t>
      </w:r>
      <w:r w:rsidRPr="00460DB1">
        <w:rPr>
          <w:rFonts w:eastAsia="仿宋_GB2312"/>
          <w:color w:val="000000"/>
          <w:kern w:val="0"/>
          <w:sz w:val="32"/>
          <w:szCs w:val="32"/>
        </w:rPr>
        <w:t>家族不同基因型等）。</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检出限参考品：针对试剂盒检测范围内所有突变位点均应设</w:t>
      </w:r>
      <w:r w:rsidRPr="00460DB1">
        <w:rPr>
          <w:rFonts w:eastAsia="仿宋_GB2312"/>
          <w:color w:val="000000"/>
          <w:kern w:val="0"/>
          <w:sz w:val="32"/>
          <w:szCs w:val="32"/>
        </w:rPr>
        <w:lastRenderedPageBreak/>
        <w:t>置相应的检出限参考品，其中每个突变位点应从扩增反应终体系总核酸浓度和突变序列所占百分率两个方面进行评价，可选择检出限水平（例如：</w:t>
      </w:r>
      <w:r w:rsidRPr="00460DB1">
        <w:rPr>
          <w:rFonts w:eastAsia="仿宋_GB2312"/>
          <w:color w:val="000000"/>
          <w:kern w:val="0"/>
          <w:sz w:val="32"/>
          <w:szCs w:val="32"/>
        </w:rPr>
        <w:t>95%</w:t>
      </w:r>
      <w:r w:rsidRPr="00460DB1">
        <w:rPr>
          <w:rFonts w:eastAsia="仿宋_GB2312"/>
          <w:color w:val="000000"/>
          <w:kern w:val="0"/>
          <w:sz w:val="32"/>
          <w:szCs w:val="32"/>
        </w:rPr>
        <w:t>检出率）或略高于检出限的水平的样本。</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重复性参考品：应包括略高于检出限浓度水平的阳性样本、中或强阳性水平样本、阴性样本（野生型样本），其中阳性重复性参考品以常见突变类型或理论上较难测得的突变序列为主。</w:t>
      </w:r>
    </w:p>
    <w:p w:rsidR="00460DB1" w:rsidRDefault="009F29AF" w:rsidP="00460DB1">
      <w:pPr>
        <w:adjustRightInd w:val="0"/>
        <w:snapToGrid w:val="0"/>
        <w:spacing w:line="520" w:lineRule="exact"/>
        <w:ind w:firstLineChars="200" w:firstLine="640"/>
        <w:rPr>
          <w:rFonts w:eastAsia="仿宋_GB2312"/>
          <w:sz w:val="32"/>
          <w:szCs w:val="32"/>
        </w:rPr>
      </w:pPr>
      <w:r w:rsidRPr="00460DB1">
        <w:rPr>
          <w:rFonts w:eastAsia="仿宋_GB2312"/>
          <w:sz w:val="32"/>
          <w:szCs w:val="32"/>
        </w:rPr>
        <w:t>5.2</w:t>
      </w:r>
      <w:r w:rsidRPr="00460DB1">
        <w:rPr>
          <w:rFonts w:eastAsia="仿宋_GB2312"/>
          <w:sz w:val="32"/>
          <w:szCs w:val="32"/>
        </w:rPr>
        <w:t>生产工艺研究</w:t>
      </w:r>
    </w:p>
    <w:p w:rsidR="00451AC3" w:rsidRPr="00460DB1" w:rsidRDefault="009F29AF" w:rsidP="00460DB1">
      <w:pPr>
        <w:adjustRightInd w:val="0"/>
        <w:snapToGrid w:val="0"/>
        <w:spacing w:line="520" w:lineRule="exact"/>
        <w:ind w:firstLineChars="200" w:firstLine="640"/>
        <w:rPr>
          <w:rFonts w:eastAsia="仿宋_GB2312"/>
          <w:sz w:val="32"/>
          <w:szCs w:val="32"/>
        </w:rPr>
      </w:pPr>
      <w:r w:rsidRPr="00460DB1">
        <w:rPr>
          <w:rFonts w:eastAsia="仿宋_GB2312"/>
          <w:sz w:val="32"/>
          <w:szCs w:val="32"/>
        </w:rPr>
        <w:t>生产工艺研究资料主要包括工作液配制（引物、探针浓度、酶浓度、</w:t>
      </w:r>
      <w:r w:rsidRPr="00460DB1">
        <w:rPr>
          <w:rFonts w:eastAsia="仿宋_GB2312"/>
          <w:sz w:val="32"/>
          <w:szCs w:val="32"/>
        </w:rPr>
        <w:t>dNTPs</w:t>
      </w:r>
      <w:r w:rsidRPr="00460DB1">
        <w:rPr>
          <w:rFonts w:eastAsia="仿宋_GB2312"/>
          <w:sz w:val="32"/>
          <w:szCs w:val="32"/>
        </w:rPr>
        <w:t>浓度、缓冲液离子浓度等）、分装和冻干（如适用）、荧光标记（如适用）等工艺过程的描述及确定依据。生产过程应对关键参数进行有效控制，可采用流程图方式描述生产工艺，标明关键工艺质控步骤，并详细说明该步骤的质控方法及质控标准。提交主要生产工艺的确定及优化研究资料。</w:t>
      </w:r>
    </w:p>
    <w:p w:rsidR="00451AC3" w:rsidRPr="00460DB1" w:rsidRDefault="009F29AF" w:rsidP="00460DB1">
      <w:pPr>
        <w:adjustRightInd w:val="0"/>
        <w:snapToGrid w:val="0"/>
        <w:spacing w:line="520" w:lineRule="exact"/>
        <w:ind w:firstLineChars="200" w:firstLine="640"/>
        <w:rPr>
          <w:rFonts w:eastAsia="楷体_GB2312"/>
          <w:sz w:val="32"/>
          <w:szCs w:val="32"/>
        </w:rPr>
      </w:pPr>
      <w:r w:rsidRPr="00460DB1">
        <w:rPr>
          <w:rFonts w:eastAsia="楷体_GB2312"/>
          <w:sz w:val="32"/>
          <w:szCs w:val="32"/>
        </w:rPr>
        <w:t>（四）临床</w:t>
      </w:r>
      <w:bookmarkStart w:id="2" w:name="_GoBack"/>
      <w:bookmarkEnd w:id="2"/>
      <w:r w:rsidRPr="00460DB1">
        <w:rPr>
          <w:rFonts w:eastAsia="楷体_GB2312"/>
          <w:sz w:val="32"/>
          <w:szCs w:val="32"/>
        </w:rPr>
        <w:t>评价资料</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人</w:t>
      </w:r>
      <w:r w:rsidRPr="00460DB1">
        <w:rPr>
          <w:rFonts w:eastAsia="仿宋_GB2312"/>
          <w:color w:val="000000"/>
          <w:kern w:val="0"/>
          <w:sz w:val="32"/>
          <w:szCs w:val="32"/>
        </w:rPr>
        <w:t>KRAS</w:t>
      </w:r>
      <w:r w:rsidRPr="00460DB1">
        <w:rPr>
          <w:rFonts w:eastAsia="仿宋_GB2312"/>
          <w:color w:val="000000"/>
          <w:kern w:val="0"/>
          <w:sz w:val="32"/>
          <w:szCs w:val="32"/>
        </w:rPr>
        <w:t>基因突变检测试剂针对结直肠癌适应证，预期用途为用于西妥昔单抗的伴随诊断。针对该预期用途，</w:t>
      </w:r>
      <w:r w:rsidRPr="00460DB1">
        <w:rPr>
          <w:rFonts w:eastAsia="仿宋_GB2312"/>
          <w:color w:val="000000"/>
          <w:kern w:val="0"/>
          <w:sz w:val="32"/>
          <w:szCs w:val="32"/>
        </w:rPr>
        <w:t>KRAS</w:t>
      </w:r>
      <w:r w:rsidRPr="00460DB1">
        <w:rPr>
          <w:rFonts w:eastAsia="仿宋_GB2312"/>
          <w:color w:val="000000"/>
          <w:kern w:val="0"/>
          <w:sz w:val="32"/>
          <w:szCs w:val="32"/>
        </w:rPr>
        <w:t>突变一般为第</w:t>
      </w:r>
      <w:r w:rsidRPr="00460DB1">
        <w:rPr>
          <w:rFonts w:eastAsia="仿宋_GB2312"/>
          <w:color w:val="000000"/>
          <w:kern w:val="0"/>
          <w:sz w:val="32"/>
          <w:szCs w:val="32"/>
        </w:rPr>
        <w:t>2</w:t>
      </w:r>
      <w:r w:rsidRPr="00460DB1">
        <w:rPr>
          <w:rFonts w:eastAsia="仿宋_GB2312"/>
          <w:color w:val="000000"/>
          <w:kern w:val="0"/>
          <w:sz w:val="32"/>
          <w:szCs w:val="32"/>
        </w:rPr>
        <w:t>号外显子（密码子</w:t>
      </w:r>
      <w:r w:rsidRPr="00460DB1">
        <w:rPr>
          <w:rFonts w:eastAsia="仿宋_GB2312"/>
          <w:color w:val="000000"/>
          <w:kern w:val="0"/>
          <w:sz w:val="32"/>
          <w:szCs w:val="32"/>
        </w:rPr>
        <w:t>12</w:t>
      </w:r>
      <w:r w:rsidRPr="00460DB1">
        <w:rPr>
          <w:rFonts w:eastAsia="仿宋_GB2312"/>
          <w:color w:val="000000"/>
          <w:kern w:val="0"/>
          <w:sz w:val="32"/>
          <w:szCs w:val="32"/>
        </w:rPr>
        <w:t>和</w:t>
      </w:r>
      <w:r w:rsidRPr="00460DB1">
        <w:rPr>
          <w:rFonts w:eastAsia="仿宋_GB2312"/>
          <w:color w:val="000000"/>
          <w:kern w:val="0"/>
          <w:sz w:val="32"/>
          <w:szCs w:val="32"/>
        </w:rPr>
        <w:t>13</w:t>
      </w:r>
      <w:r w:rsidRPr="00460DB1">
        <w:rPr>
          <w:rFonts w:eastAsia="仿宋_GB2312"/>
          <w:color w:val="000000"/>
          <w:kern w:val="0"/>
          <w:sz w:val="32"/>
          <w:szCs w:val="32"/>
        </w:rPr>
        <w:t>）、第</w:t>
      </w:r>
      <w:r w:rsidRPr="00460DB1">
        <w:rPr>
          <w:rFonts w:eastAsia="仿宋_GB2312"/>
          <w:color w:val="000000"/>
          <w:kern w:val="0"/>
          <w:sz w:val="32"/>
          <w:szCs w:val="32"/>
        </w:rPr>
        <w:t>3</w:t>
      </w:r>
      <w:r w:rsidRPr="00460DB1">
        <w:rPr>
          <w:rFonts w:eastAsia="仿宋_GB2312"/>
          <w:color w:val="000000"/>
          <w:kern w:val="0"/>
          <w:sz w:val="32"/>
          <w:szCs w:val="32"/>
        </w:rPr>
        <w:t>号外显子（密码子</w:t>
      </w:r>
      <w:r w:rsidRPr="00460DB1">
        <w:rPr>
          <w:rFonts w:eastAsia="仿宋_GB2312"/>
          <w:color w:val="000000"/>
          <w:kern w:val="0"/>
          <w:sz w:val="32"/>
          <w:szCs w:val="32"/>
        </w:rPr>
        <w:t>59</w:t>
      </w:r>
      <w:r w:rsidRPr="00460DB1">
        <w:rPr>
          <w:rFonts w:eastAsia="仿宋_GB2312"/>
          <w:color w:val="000000"/>
          <w:kern w:val="0"/>
          <w:sz w:val="32"/>
          <w:szCs w:val="32"/>
        </w:rPr>
        <w:t>和</w:t>
      </w:r>
      <w:r w:rsidRPr="00460DB1">
        <w:rPr>
          <w:rFonts w:eastAsia="仿宋_GB2312"/>
          <w:color w:val="000000"/>
          <w:kern w:val="0"/>
          <w:sz w:val="32"/>
          <w:szCs w:val="32"/>
        </w:rPr>
        <w:t>61</w:t>
      </w:r>
      <w:r w:rsidRPr="00460DB1">
        <w:rPr>
          <w:rFonts w:eastAsia="仿宋_GB2312"/>
          <w:color w:val="000000"/>
          <w:kern w:val="0"/>
          <w:sz w:val="32"/>
          <w:szCs w:val="32"/>
        </w:rPr>
        <w:t>）以及第</w:t>
      </w:r>
      <w:r w:rsidRPr="00460DB1">
        <w:rPr>
          <w:rFonts w:eastAsia="仿宋_GB2312"/>
          <w:color w:val="000000"/>
          <w:kern w:val="0"/>
          <w:sz w:val="32"/>
          <w:szCs w:val="32"/>
        </w:rPr>
        <w:t>4</w:t>
      </w:r>
      <w:r w:rsidRPr="00460DB1">
        <w:rPr>
          <w:rFonts w:eastAsia="仿宋_GB2312"/>
          <w:color w:val="000000"/>
          <w:kern w:val="0"/>
          <w:sz w:val="32"/>
          <w:szCs w:val="32"/>
        </w:rPr>
        <w:t>号外显子（密码子</w:t>
      </w:r>
      <w:r w:rsidRPr="00460DB1">
        <w:rPr>
          <w:rFonts w:eastAsia="仿宋_GB2312"/>
          <w:color w:val="000000"/>
          <w:kern w:val="0"/>
          <w:sz w:val="32"/>
          <w:szCs w:val="32"/>
        </w:rPr>
        <w:t>117</w:t>
      </w:r>
      <w:r w:rsidRPr="00460DB1">
        <w:rPr>
          <w:rFonts w:eastAsia="仿宋_GB2312"/>
          <w:color w:val="000000"/>
          <w:kern w:val="0"/>
          <w:sz w:val="32"/>
          <w:szCs w:val="32"/>
        </w:rPr>
        <w:t>和</w:t>
      </w:r>
      <w:r w:rsidRPr="00460DB1">
        <w:rPr>
          <w:rFonts w:eastAsia="仿宋_GB2312"/>
          <w:color w:val="000000"/>
          <w:kern w:val="0"/>
          <w:sz w:val="32"/>
          <w:szCs w:val="32"/>
        </w:rPr>
        <w:t>146</w:t>
      </w:r>
      <w:r w:rsidRPr="00460DB1">
        <w:rPr>
          <w:rFonts w:eastAsia="仿宋_GB2312"/>
          <w:color w:val="000000"/>
          <w:kern w:val="0"/>
          <w:sz w:val="32"/>
          <w:szCs w:val="32"/>
        </w:rPr>
        <w:t>）的突变。申报产品所覆盖的突变位点，根据其不同突变位点的突变率，建议至少包括第</w:t>
      </w:r>
      <w:r w:rsidRPr="00460DB1">
        <w:rPr>
          <w:rFonts w:eastAsia="仿宋_GB2312"/>
          <w:color w:val="000000"/>
          <w:kern w:val="0"/>
          <w:sz w:val="32"/>
          <w:szCs w:val="32"/>
        </w:rPr>
        <w:t>2</w:t>
      </w:r>
      <w:r w:rsidRPr="00460DB1">
        <w:rPr>
          <w:rFonts w:eastAsia="仿宋_GB2312"/>
          <w:color w:val="000000"/>
          <w:kern w:val="0"/>
          <w:sz w:val="32"/>
          <w:szCs w:val="32"/>
        </w:rPr>
        <w:t>号外显子的第</w:t>
      </w:r>
      <w:r w:rsidRPr="00460DB1">
        <w:rPr>
          <w:rFonts w:eastAsia="仿宋_GB2312"/>
          <w:color w:val="000000"/>
          <w:kern w:val="0"/>
          <w:sz w:val="32"/>
          <w:szCs w:val="32"/>
        </w:rPr>
        <w:t>12</w:t>
      </w:r>
      <w:r w:rsidRPr="00460DB1">
        <w:rPr>
          <w:rFonts w:eastAsia="仿宋_GB2312"/>
          <w:color w:val="000000"/>
          <w:kern w:val="0"/>
          <w:sz w:val="32"/>
          <w:szCs w:val="32"/>
        </w:rPr>
        <w:t>号和</w:t>
      </w:r>
      <w:r w:rsidRPr="00460DB1">
        <w:rPr>
          <w:rFonts w:eastAsia="仿宋_GB2312"/>
          <w:color w:val="000000"/>
          <w:kern w:val="0"/>
          <w:sz w:val="32"/>
          <w:szCs w:val="32"/>
        </w:rPr>
        <w:t>13</w:t>
      </w:r>
      <w:r w:rsidRPr="00460DB1">
        <w:rPr>
          <w:rFonts w:eastAsia="仿宋_GB2312"/>
          <w:color w:val="000000"/>
          <w:kern w:val="0"/>
          <w:sz w:val="32"/>
          <w:szCs w:val="32"/>
        </w:rPr>
        <w:t>号密码子的</w:t>
      </w:r>
      <w:r w:rsidRPr="00460DB1">
        <w:rPr>
          <w:rFonts w:eastAsia="仿宋_GB2312"/>
          <w:color w:val="000000"/>
          <w:kern w:val="0"/>
          <w:sz w:val="32"/>
          <w:szCs w:val="32"/>
        </w:rPr>
        <w:t>7</w:t>
      </w:r>
      <w:r w:rsidRPr="00460DB1">
        <w:rPr>
          <w:rFonts w:eastAsia="仿宋_GB2312"/>
          <w:color w:val="000000"/>
          <w:kern w:val="0"/>
          <w:sz w:val="32"/>
          <w:szCs w:val="32"/>
        </w:rPr>
        <w:t>种热点突变，包括</w:t>
      </w:r>
      <w:r w:rsidRPr="00460DB1">
        <w:rPr>
          <w:rFonts w:eastAsia="仿宋_GB2312"/>
          <w:color w:val="000000"/>
          <w:kern w:val="0"/>
          <w:sz w:val="32"/>
          <w:szCs w:val="32"/>
        </w:rPr>
        <w:t>G12D</w:t>
      </w:r>
      <w:r w:rsidRPr="00460DB1">
        <w:rPr>
          <w:rFonts w:eastAsia="仿宋_GB2312"/>
          <w:color w:val="000000"/>
          <w:kern w:val="0"/>
          <w:sz w:val="32"/>
          <w:szCs w:val="32"/>
        </w:rPr>
        <w:t>、</w:t>
      </w:r>
      <w:r w:rsidRPr="00460DB1">
        <w:rPr>
          <w:rFonts w:eastAsia="仿宋_GB2312"/>
          <w:color w:val="000000"/>
          <w:kern w:val="0"/>
          <w:sz w:val="32"/>
          <w:szCs w:val="32"/>
        </w:rPr>
        <w:t>G12C</w:t>
      </w:r>
      <w:r w:rsidRPr="00460DB1">
        <w:rPr>
          <w:rFonts w:eastAsia="仿宋_GB2312"/>
          <w:color w:val="000000"/>
          <w:kern w:val="0"/>
          <w:sz w:val="32"/>
          <w:szCs w:val="32"/>
        </w:rPr>
        <w:t>、</w:t>
      </w:r>
      <w:r w:rsidRPr="00460DB1">
        <w:rPr>
          <w:rFonts w:eastAsia="仿宋_GB2312"/>
          <w:color w:val="000000"/>
          <w:kern w:val="0"/>
          <w:sz w:val="32"/>
          <w:szCs w:val="32"/>
        </w:rPr>
        <w:t>G12S</w:t>
      </w:r>
      <w:r w:rsidRPr="00460DB1">
        <w:rPr>
          <w:rFonts w:eastAsia="仿宋_GB2312"/>
          <w:color w:val="000000"/>
          <w:kern w:val="0"/>
          <w:sz w:val="32"/>
          <w:szCs w:val="32"/>
        </w:rPr>
        <w:t>、</w:t>
      </w:r>
      <w:r w:rsidRPr="00460DB1">
        <w:rPr>
          <w:rFonts w:eastAsia="仿宋_GB2312"/>
          <w:color w:val="000000"/>
          <w:kern w:val="0"/>
          <w:sz w:val="32"/>
          <w:szCs w:val="32"/>
        </w:rPr>
        <w:t>G12R</w:t>
      </w:r>
      <w:r w:rsidRPr="00460DB1">
        <w:rPr>
          <w:rFonts w:eastAsia="仿宋_GB2312"/>
          <w:color w:val="000000"/>
          <w:kern w:val="0"/>
          <w:sz w:val="32"/>
          <w:szCs w:val="32"/>
        </w:rPr>
        <w:t>、</w:t>
      </w:r>
      <w:r w:rsidRPr="00460DB1">
        <w:rPr>
          <w:rFonts w:eastAsia="仿宋_GB2312"/>
          <w:color w:val="000000"/>
          <w:kern w:val="0"/>
          <w:sz w:val="32"/>
          <w:szCs w:val="32"/>
        </w:rPr>
        <w:t>G12V</w:t>
      </w:r>
      <w:r w:rsidRPr="00460DB1">
        <w:rPr>
          <w:rFonts w:eastAsia="仿宋_GB2312"/>
          <w:color w:val="000000"/>
          <w:kern w:val="0"/>
          <w:sz w:val="32"/>
          <w:szCs w:val="32"/>
        </w:rPr>
        <w:t>、</w:t>
      </w:r>
      <w:r w:rsidRPr="00460DB1">
        <w:rPr>
          <w:rFonts w:eastAsia="仿宋_GB2312"/>
          <w:color w:val="000000"/>
          <w:kern w:val="0"/>
          <w:sz w:val="32"/>
          <w:szCs w:val="32"/>
        </w:rPr>
        <w:t>G12A</w:t>
      </w:r>
      <w:r w:rsidRPr="00460DB1">
        <w:rPr>
          <w:rFonts w:eastAsia="仿宋_GB2312"/>
          <w:color w:val="000000"/>
          <w:kern w:val="0"/>
          <w:sz w:val="32"/>
          <w:szCs w:val="32"/>
        </w:rPr>
        <w:t>、</w:t>
      </w:r>
      <w:r w:rsidRPr="00460DB1">
        <w:rPr>
          <w:rFonts w:eastAsia="仿宋_GB2312"/>
          <w:color w:val="000000"/>
          <w:kern w:val="0"/>
          <w:sz w:val="32"/>
          <w:szCs w:val="32"/>
        </w:rPr>
        <w:t>G13D</w:t>
      </w:r>
      <w:r w:rsidRPr="00460DB1">
        <w:rPr>
          <w:rFonts w:eastAsia="仿宋_GB2312"/>
          <w:color w:val="000000"/>
          <w:kern w:val="0"/>
          <w:sz w:val="32"/>
          <w:szCs w:val="32"/>
        </w:rPr>
        <w:t>。</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该类试剂应通过临床试验路径进行临床评价，临床试验包括产品临床检测性能研究和伴随诊断试剂临床意义研究两部分。临床试验应符合《体外诊断试剂注册与备案管理办法》《医疗器械临床试验质量管理规范》和《体外诊断试剂临床试验技术指导原则》的要求，如相关法规、文件有更新，临床试验应符合更新后</w:t>
      </w:r>
      <w:r w:rsidRPr="00460DB1">
        <w:rPr>
          <w:rFonts w:eastAsia="仿宋_GB2312"/>
          <w:color w:val="000000"/>
          <w:kern w:val="0"/>
          <w:sz w:val="32"/>
          <w:szCs w:val="32"/>
        </w:rPr>
        <w:lastRenderedPageBreak/>
        <w:t>的要求。</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1.</w:t>
      </w:r>
      <w:r w:rsidRPr="00460DB1">
        <w:rPr>
          <w:rFonts w:eastAsia="仿宋_GB2312"/>
          <w:color w:val="000000"/>
          <w:kern w:val="0"/>
          <w:sz w:val="32"/>
          <w:szCs w:val="32"/>
        </w:rPr>
        <w:t>临床检测性能研究</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1.1</w:t>
      </w:r>
      <w:r w:rsidRPr="00460DB1">
        <w:rPr>
          <w:rFonts w:eastAsia="仿宋_GB2312"/>
          <w:color w:val="000000"/>
          <w:kern w:val="0"/>
          <w:sz w:val="32"/>
          <w:szCs w:val="32"/>
        </w:rPr>
        <w:t>临床试验机构及人员</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申请人应选择不少于</w:t>
      </w:r>
      <w:r w:rsidRPr="00460DB1">
        <w:rPr>
          <w:rFonts w:eastAsia="仿宋_GB2312"/>
          <w:color w:val="000000"/>
          <w:kern w:val="0"/>
          <w:sz w:val="32"/>
          <w:szCs w:val="32"/>
        </w:rPr>
        <w:t>3</w:t>
      </w:r>
      <w:r w:rsidRPr="00460DB1">
        <w:rPr>
          <w:rFonts w:eastAsia="仿宋_GB2312"/>
          <w:color w:val="000000"/>
          <w:kern w:val="0"/>
          <w:sz w:val="32"/>
          <w:szCs w:val="32"/>
        </w:rPr>
        <w:t>家经备案的临床试验机构开展临床试验。临床试验机构应常规开展结直肠癌分子病理检测，具有病理诊断、分子生物学检测的优势，试验操作人员应有足够的时间熟悉检测系统的各环节（仪器、试剂、质控及操作程序等），熟悉评价方案。临床试验整个过程均应处于有效的质量控制下，最大限度保证试验数据的准确性及可重复性。</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1.2</w:t>
      </w:r>
      <w:r w:rsidRPr="00460DB1">
        <w:rPr>
          <w:rFonts w:eastAsia="仿宋_GB2312"/>
          <w:color w:val="000000"/>
          <w:kern w:val="0"/>
          <w:sz w:val="32"/>
          <w:szCs w:val="32"/>
        </w:rPr>
        <w:t>临床试验适用人群和样本类型</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适用人群为经病理诊断为结直肠癌的人群。应注意纳入人群应覆盖结直肠癌不同分期的病例。阳性样本应包括一部分弱阳性的样本。</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临床试验所用的样本类型应为病理质控合格的</w:t>
      </w:r>
      <w:r w:rsidRPr="00460DB1">
        <w:rPr>
          <w:rFonts w:eastAsia="仿宋_GB2312"/>
          <w:color w:val="000000"/>
          <w:kern w:val="0"/>
          <w:sz w:val="32"/>
          <w:szCs w:val="32"/>
        </w:rPr>
        <w:t>FFPE</w:t>
      </w:r>
      <w:r w:rsidRPr="00460DB1">
        <w:rPr>
          <w:rFonts w:eastAsia="仿宋_GB2312"/>
          <w:color w:val="000000"/>
          <w:kern w:val="0"/>
          <w:sz w:val="32"/>
          <w:szCs w:val="32"/>
        </w:rPr>
        <w:t>样本。如对于活检标本及手术标本均适用，则临床试验中对于两种标本均应纳入。临床样本的处理、保存和核酸提取等应分别满足申报产品说明书及对比试剂说明书的相关要求。</w:t>
      </w:r>
    </w:p>
    <w:p w:rsidR="00451AC3" w:rsidRPr="00460DB1" w:rsidRDefault="009F29AF" w:rsidP="00460DB1">
      <w:pPr>
        <w:tabs>
          <w:tab w:val="left" w:pos="709"/>
        </w:tabs>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1.3</w:t>
      </w:r>
      <w:r w:rsidRPr="00460DB1">
        <w:rPr>
          <w:rFonts w:eastAsia="仿宋_GB2312"/>
          <w:color w:val="000000"/>
          <w:kern w:val="0"/>
          <w:sz w:val="32"/>
          <w:szCs w:val="32"/>
        </w:rPr>
        <w:t>对比方法选择</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可选择实验室参考方法或</w:t>
      </w:r>
      <w:bookmarkStart w:id="3" w:name="_Hlk176166478"/>
      <w:r w:rsidRPr="00460DB1">
        <w:rPr>
          <w:rFonts w:eastAsia="仿宋_GB2312"/>
          <w:color w:val="000000"/>
          <w:kern w:val="0"/>
          <w:sz w:val="32"/>
          <w:szCs w:val="32"/>
        </w:rPr>
        <w:t>已上市同类产品</w:t>
      </w:r>
      <w:bookmarkEnd w:id="3"/>
      <w:r w:rsidRPr="00460DB1">
        <w:rPr>
          <w:rFonts w:eastAsia="仿宋_GB2312"/>
          <w:color w:val="000000"/>
          <w:kern w:val="0"/>
          <w:sz w:val="32"/>
          <w:szCs w:val="32"/>
        </w:rPr>
        <w:t>作为对比方法。参考方法的检测可在临床试验机构完成也可委托具有资质的第三方机构完成。已上市同类产品的选择应从预期用途、样本要求、检测性能、检测范围、所检突变是否可以分型等方面，确认其与申报产品具有较好的可比性。</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如选择核酸序列测定方法作为此类试剂临床试验研究的对比方法，验证申报试剂检测结果与核酸序列测定（测序）结果之间的一致性情况，临床研究报告中应对选用的测序方法作详细介</w:t>
      </w:r>
      <w:r w:rsidRPr="00460DB1">
        <w:rPr>
          <w:rFonts w:eastAsia="仿宋_GB2312"/>
          <w:color w:val="000000"/>
          <w:kern w:val="0"/>
          <w:sz w:val="32"/>
          <w:szCs w:val="32"/>
        </w:rPr>
        <w:lastRenderedPageBreak/>
        <w:t>绍。</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1.4</w:t>
      </w:r>
      <w:r w:rsidRPr="00460DB1">
        <w:rPr>
          <w:rFonts w:eastAsia="仿宋_GB2312"/>
          <w:color w:val="000000"/>
          <w:kern w:val="0"/>
          <w:sz w:val="32"/>
          <w:szCs w:val="32"/>
        </w:rPr>
        <w:t>临床试验样本量</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临床试验样本量应采用适当的统计学方法进行估算，并详细描述所使用统计方法及各参数的确定依据。此部分临床试验目的为评估两种检测方法之间的一致性，因此建议采用单组目标值法进行最低样本量的估算。通过阳性符合率和阴性符合率来分别计算所需阳性样本和阴性样本的例数。样本量估算公式如下：</w:t>
      </w:r>
    </w:p>
    <w:p w:rsidR="00451AC3" w:rsidRPr="00460DB1" w:rsidRDefault="00451AC3" w:rsidP="00460DB1">
      <w:pPr>
        <w:adjustRightInd w:val="0"/>
        <w:snapToGrid w:val="0"/>
        <w:spacing w:line="520" w:lineRule="exact"/>
        <w:ind w:firstLineChars="200" w:firstLine="640"/>
        <w:rPr>
          <w:rFonts w:eastAsia="仿宋_GB2312"/>
          <w:color w:val="000000"/>
          <w:kern w:val="0"/>
          <w:sz w:val="32"/>
          <w:szCs w:val="32"/>
        </w:rPr>
      </w:pPr>
    </w:p>
    <w:p w:rsidR="00451AC3" w:rsidRPr="00460DB1" w:rsidRDefault="00451AC3" w:rsidP="00460DB1">
      <w:pPr>
        <w:adjustRightInd w:val="0"/>
        <w:snapToGrid w:val="0"/>
        <w:spacing w:line="520" w:lineRule="exact"/>
        <w:ind w:firstLineChars="200" w:firstLine="640"/>
        <w:rPr>
          <w:rFonts w:eastAsia="仿宋_GB2312"/>
          <w:color w:val="000000"/>
          <w:kern w:val="0"/>
          <w:sz w:val="32"/>
          <w:szCs w:val="32"/>
        </w:rPr>
      </w:pP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noProof/>
          <w:color w:val="000000"/>
          <w:kern w:val="0"/>
          <w:sz w:val="32"/>
          <w:szCs w:val="32"/>
        </w:rPr>
        <w:drawing>
          <wp:anchor distT="0" distB="0" distL="114300" distR="114300" simplePos="0" relativeHeight="251658240" behindDoc="0" locked="0" layoutInCell="1" allowOverlap="1">
            <wp:simplePos x="0" y="0"/>
            <wp:positionH relativeFrom="column">
              <wp:posOffset>405130</wp:posOffset>
            </wp:positionH>
            <wp:positionV relativeFrom="paragraph">
              <wp:posOffset>-519430</wp:posOffset>
            </wp:positionV>
            <wp:extent cx="3487420" cy="792480"/>
            <wp:effectExtent l="0" t="0" r="1778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87420" cy="792480"/>
                    </a:xfrm>
                    <a:prstGeom prst="rect">
                      <a:avLst/>
                    </a:prstGeom>
                    <a:noFill/>
                    <a:ln>
                      <a:noFill/>
                    </a:ln>
                  </pic:spPr>
                </pic:pic>
              </a:graphicData>
            </a:graphic>
          </wp:anchor>
        </w:drawing>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公式中，</w:t>
      </w:r>
      <w:r w:rsidRPr="00460DB1">
        <w:rPr>
          <w:rFonts w:eastAsia="仿宋_GB2312"/>
          <w:color w:val="000000"/>
          <w:kern w:val="0"/>
          <w:sz w:val="32"/>
          <w:szCs w:val="32"/>
        </w:rPr>
        <w:t>n</w:t>
      </w:r>
      <w:r w:rsidRPr="00460DB1">
        <w:rPr>
          <w:rFonts w:eastAsia="仿宋_GB2312"/>
          <w:color w:val="000000"/>
          <w:kern w:val="0"/>
          <w:sz w:val="32"/>
          <w:szCs w:val="32"/>
        </w:rPr>
        <w:t>为样本量；</w:t>
      </w:r>
      <w:r w:rsidRPr="00460DB1">
        <w:rPr>
          <w:rFonts w:eastAsia="仿宋_GB2312"/>
          <w:color w:val="000000"/>
          <w:kern w:val="0"/>
          <w:sz w:val="32"/>
          <w:szCs w:val="32"/>
        </w:rPr>
        <w:t>Z</w:t>
      </w:r>
      <w:r w:rsidRPr="00460DB1">
        <w:rPr>
          <w:rFonts w:eastAsia="仿宋_GB2312"/>
          <w:color w:val="000000"/>
          <w:kern w:val="0"/>
          <w:sz w:val="32"/>
          <w:szCs w:val="32"/>
          <w:vertAlign w:val="subscript"/>
        </w:rPr>
        <w:t>1-α/2</w:t>
      </w:r>
      <w:r w:rsidRPr="00460DB1">
        <w:rPr>
          <w:rFonts w:eastAsia="仿宋_GB2312"/>
          <w:color w:val="000000"/>
          <w:kern w:val="0"/>
          <w:sz w:val="32"/>
          <w:szCs w:val="32"/>
        </w:rPr>
        <w:t>、</w:t>
      </w:r>
      <w:r w:rsidRPr="00460DB1">
        <w:rPr>
          <w:rFonts w:eastAsia="仿宋_GB2312"/>
          <w:color w:val="000000"/>
          <w:kern w:val="0"/>
          <w:sz w:val="32"/>
          <w:szCs w:val="32"/>
        </w:rPr>
        <w:t>Z</w:t>
      </w:r>
      <w:r w:rsidRPr="00460DB1">
        <w:rPr>
          <w:rFonts w:eastAsia="仿宋_GB2312"/>
          <w:color w:val="000000"/>
          <w:kern w:val="0"/>
          <w:sz w:val="32"/>
          <w:szCs w:val="32"/>
          <w:vertAlign w:val="subscript"/>
        </w:rPr>
        <w:t>1-β</w:t>
      </w:r>
      <w:r w:rsidRPr="00460DB1">
        <w:rPr>
          <w:rFonts w:eastAsia="仿宋_GB2312"/>
          <w:color w:val="000000"/>
          <w:kern w:val="0"/>
          <w:sz w:val="32"/>
          <w:szCs w:val="32"/>
        </w:rPr>
        <w:t>为显著性水平和把握度的标准正态分布的分数位，</w:t>
      </w:r>
      <w:r w:rsidRPr="00460DB1">
        <w:rPr>
          <w:rFonts w:eastAsia="仿宋_GB2312"/>
          <w:color w:val="000000"/>
          <w:kern w:val="0"/>
          <w:sz w:val="32"/>
          <w:szCs w:val="32"/>
        </w:rPr>
        <w:t>P</w:t>
      </w:r>
      <w:r w:rsidRPr="00460DB1">
        <w:rPr>
          <w:rFonts w:eastAsia="仿宋_GB2312"/>
          <w:color w:val="000000"/>
          <w:kern w:val="0"/>
          <w:sz w:val="32"/>
          <w:szCs w:val="32"/>
          <w:vertAlign w:val="subscript"/>
        </w:rPr>
        <w:t>0</w:t>
      </w:r>
      <w:r w:rsidRPr="00460DB1">
        <w:rPr>
          <w:rFonts w:eastAsia="仿宋_GB2312"/>
          <w:color w:val="000000"/>
          <w:kern w:val="0"/>
          <w:sz w:val="32"/>
          <w:szCs w:val="32"/>
        </w:rPr>
        <w:t>为评价指标的临床可接受标准，</w:t>
      </w:r>
      <w:r w:rsidRPr="00460DB1">
        <w:rPr>
          <w:rFonts w:eastAsia="仿宋_GB2312"/>
          <w:color w:val="000000"/>
          <w:kern w:val="0"/>
          <w:sz w:val="32"/>
          <w:szCs w:val="32"/>
        </w:rPr>
        <w:t>P</w:t>
      </w:r>
      <w:r w:rsidRPr="00460DB1">
        <w:rPr>
          <w:rFonts w:eastAsia="仿宋_GB2312"/>
          <w:color w:val="000000"/>
          <w:kern w:val="0"/>
          <w:sz w:val="32"/>
          <w:szCs w:val="32"/>
          <w:vertAlign w:val="subscript"/>
        </w:rPr>
        <w:t>T</w:t>
      </w:r>
      <w:r w:rsidRPr="00460DB1">
        <w:rPr>
          <w:rFonts w:eastAsia="仿宋_GB2312"/>
          <w:color w:val="000000"/>
          <w:kern w:val="0"/>
          <w:sz w:val="32"/>
          <w:szCs w:val="32"/>
        </w:rPr>
        <w:t>为申报产品评价指标预期值。</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其中阳性符合率和阴性符合率的临床可接受标准（</w:t>
      </w:r>
      <w:r w:rsidRPr="00460DB1">
        <w:rPr>
          <w:rFonts w:eastAsia="仿宋_GB2312"/>
          <w:color w:val="000000"/>
          <w:kern w:val="0"/>
          <w:sz w:val="32"/>
          <w:szCs w:val="32"/>
        </w:rPr>
        <w:t>P</w:t>
      </w:r>
      <w:r w:rsidRPr="00460DB1">
        <w:rPr>
          <w:rFonts w:eastAsia="仿宋_GB2312"/>
          <w:color w:val="000000"/>
          <w:kern w:val="0"/>
          <w:sz w:val="32"/>
          <w:szCs w:val="32"/>
          <w:vertAlign w:val="subscript"/>
        </w:rPr>
        <w:t>0</w:t>
      </w:r>
      <w:r w:rsidRPr="00460DB1">
        <w:rPr>
          <w:rFonts w:eastAsia="仿宋_GB2312"/>
          <w:color w:val="000000"/>
          <w:kern w:val="0"/>
          <w:sz w:val="32"/>
          <w:szCs w:val="32"/>
        </w:rPr>
        <w:t>）建议不低于</w:t>
      </w:r>
      <w:r w:rsidRPr="00460DB1">
        <w:rPr>
          <w:rFonts w:eastAsia="仿宋_GB2312"/>
          <w:color w:val="000000"/>
          <w:kern w:val="0"/>
          <w:sz w:val="32"/>
          <w:szCs w:val="32"/>
        </w:rPr>
        <w:t>90%</w:t>
      </w:r>
      <w:r w:rsidRPr="00460DB1">
        <w:rPr>
          <w:rFonts w:eastAsia="仿宋_GB2312"/>
          <w:color w:val="000000"/>
          <w:kern w:val="0"/>
          <w:sz w:val="32"/>
          <w:szCs w:val="32"/>
        </w:rPr>
        <w:t>。临床试验结果中，相关评价指标的</w:t>
      </w:r>
      <w:r w:rsidRPr="00460DB1">
        <w:rPr>
          <w:rFonts w:eastAsia="仿宋_GB2312"/>
          <w:color w:val="000000"/>
          <w:kern w:val="0"/>
          <w:sz w:val="32"/>
          <w:szCs w:val="32"/>
        </w:rPr>
        <w:t>95%</w:t>
      </w:r>
      <w:r w:rsidRPr="00460DB1">
        <w:rPr>
          <w:rFonts w:eastAsia="仿宋_GB2312"/>
          <w:color w:val="000000"/>
          <w:kern w:val="0"/>
          <w:sz w:val="32"/>
          <w:szCs w:val="32"/>
        </w:rPr>
        <w:t>置信区间下限应不低于预设的临床可接受标准。</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基于申报产品的方法学为</w:t>
      </w:r>
      <w:r w:rsidRPr="00460DB1">
        <w:rPr>
          <w:rFonts w:eastAsia="仿宋_GB2312"/>
          <w:color w:val="000000"/>
          <w:kern w:val="0"/>
          <w:sz w:val="32"/>
          <w:szCs w:val="32"/>
        </w:rPr>
        <w:t>PCR</w:t>
      </w:r>
      <w:r w:rsidRPr="00460DB1">
        <w:rPr>
          <w:rFonts w:eastAsia="仿宋_GB2312"/>
          <w:color w:val="000000"/>
          <w:kern w:val="0"/>
          <w:sz w:val="32"/>
          <w:szCs w:val="32"/>
        </w:rPr>
        <w:t>方法，临床试验中应对所声称的每个突变位点均进行验证，且每个突变位点均应具有一定的阳性病例。对于临床罕见的突变位点，在临床前进行了充分研究的基础上，例数可酌情减少，申请人应提供相关的支持性资料。</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临床试验总样本量确定时应在上述阴、阳性样本最低样本量估算的基础上，同时考虑其他可能造成受试者脱落的情况以及申报产品所覆盖的突变位点，根据实际情况适当增加入组样本量。</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1.5</w:t>
      </w:r>
      <w:r w:rsidRPr="00460DB1">
        <w:rPr>
          <w:rFonts w:eastAsia="仿宋_GB2312"/>
          <w:color w:val="000000"/>
          <w:kern w:val="0"/>
          <w:sz w:val="32"/>
          <w:szCs w:val="32"/>
        </w:rPr>
        <w:t>统计分析</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首先应针对所入组人群进行人口学分析，包括性别、年龄、治疗状态、组织分型、分期、样本类型、肿瘤细胞比例等方面进</w:t>
      </w:r>
      <w:r w:rsidRPr="00460DB1">
        <w:rPr>
          <w:rFonts w:eastAsia="仿宋_GB2312"/>
          <w:color w:val="000000"/>
          <w:kern w:val="0"/>
          <w:sz w:val="32"/>
          <w:szCs w:val="32"/>
        </w:rPr>
        <w:lastRenderedPageBreak/>
        <w:t>行分析，还应分析临床试验中所纳入的弱阳性样本情况。</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以四格表分别总结申报产品与对比方法的定性检测结果，计算阳性符合率、阴性符合率及相应的</w:t>
      </w:r>
      <w:r w:rsidRPr="00460DB1">
        <w:rPr>
          <w:rFonts w:eastAsia="仿宋_GB2312"/>
          <w:color w:val="000000"/>
          <w:kern w:val="0"/>
          <w:sz w:val="32"/>
          <w:szCs w:val="32"/>
        </w:rPr>
        <w:t>95%</w:t>
      </w:r>
      <w:r w:rsidRPr="00460DB1">
        <w:rPr>
          <w:rFonts w:eastAsia="仿宋_GB2312"/>
          <w:color w:val="000000"/>
          <w:kern w:val="0"/>
          <w:sz w:val="32"/>
          <w:szCs w:val="32"/>
        </w:rPr>
        <w:t>置信区间。除总体统计外，还要针对每个突变位点以及弱阳性样本进行亚组分析，以验证申报产品与对比方法检测结果的一致性。</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针对两种方法检测不一致样本，应采用合理的方法进行确认，对不一致的原因综合进行分析。</w:t>
      </w:r>
    </w:p>
    <w:p w:rsidR="00451AC3" w:rsidRPr="00460DB1" w:rsidRDefault="009F29AF" w:rsidP="00460DB1">
      <w:pPr>
        <w:adjustRightInd w:val="0"/>
        <w:snapToGrid w:val="0"/>
        <w:spacing w:line="520" w:lineRule="exact"/>
        <w:ind w:firstLineChars="200" w:firstLine="640"/>
        <w:rPr>
          <w:rFonts w:eastAsia="仿宋_GB2312"/>
          <w:color w:val="000000"/>
          <w:kern w:val="0"/>
          <w:sz w:val="32"/>
          <w:szCs w:val="32"/>
        </w:rPr>
      </w:pPr>
      <w:r w:rsidRPr="00460DB1">
        <w:rPr>
          <w:rFonts w:eastAsia="仿宋_GB2312"/>
          <w:kern w:val="0"/>
          <w:sz w:val="32"/>
          <w:szCs w:val="32"/>
        </w:rPr>
        <w:t>2.</w:t>
      </w:r>
      <w:r w:rsidRPr="00460DB1">
        <w:t xml:space="preserve"> </w:t>
      </w:r>
      <w:r w:rsidRPr="00460DB1">
        <w:rPr>
          <w:rFonts w:eastAsia="仿宋_GB2312"/>
          <w:kern w:val="0"/>
          <w:sz w:val="32"/>
          <w:szCs w:val="32"/>
        </w:rPr>
        <w:t>伴随诊断临床意义的确认</w:t>
      </w:r>
    </w:p>
    <w:p w:rsidR="00451AC3" w:rsidRPr="00460DB1" w:rsidRDefault="009F29AF" w:rsidP="00460DB1">
      <w:pPr>
        <w:overflowPunct w:val="0"/>
        <w:adjustRightInd w:val="0"/>
        <w:snapToGrid w:val="0"/>
        <w:spacing w:line="520" w:lineRule="exact"/>
        <w:ind w:firstLineChars="200" w:firstLine="640"/>
        <w:rPr>
          <w:rFonts w:eastAsia="仿宋_GB2312"/>
          <w:kern w:val="0"/>
          <w:sz w:val="32"/>
          <w:szCs w:val="32"/>
        </w:rPr>
      </w:pPr>
      <w:r w:rsidRPr="00460DB1">
        <w:rPr>
          <w:rFonts w:eastAsia="仿宋_GB2312"/>
          <w:kern w:val="0"/>
          <w:sz w:val="32"/>
          <w:szCs w:val="32"/>
        </w:rPr>
        <w:t xml:space="preserve">2.1 </w:t>
      </w:r>
      <w:r w:rsidRPr="00460DB1">
        <w:rPr>
          <w:rFonts w:eastAsia="仿宋_GB2312"/>
          <w:kern w:val="0"/>
          <w:sz w:val="32"/>
          <w:szCs w:val="32"/>
        </w:rPr>
        <w:t>与西妥昔单抗同步开发的原研伴随诊断试剂</w:t>
      </w:r>
    </w:p>
    <w:p w:rsidR="00451AC3" w:rsidRPr="00460DB1" w:rsidRDefault="009F29AF" w:rsidP="00460DB1">
      <w:pPr>
        <w:overflowPunct w:val="0"/>
        <w:adjustRightInd w:val="0"/>
        <w:snapToGrid w:val="0"/>
        <w:spacing w:line="520" w:lineRule="exact"/>
        <w:ind w:firstLineChars="200" w:firstLine="640"/>
        <w:rPr>
          <w:rFonts w:eastAsia="仿宋_GB2312"/>
          <w:kern w:val="0"/>
          <w:sz w:val="32"/>
          <w:szCs w:val="32"/>
        </w:rPr>
      </w:pPr>
      <w:r w:rsidRPr="00460DB1">
        <w:rPr>
          <w:rFonts w:eastAsia="仿宋_GB2312"/>
          <w:kern w:val="0"/>
          <w:sz w:val="32"/>
          <w:szCs w:val="32"/>
        </w:rPr>
        <w:t>申请人应提供与药物同步开发的药物临床试验资料，也可由药企通过主文档形式递交。</w:t>
      </w:r>
    </w:p>
    <w:p w:rsidR="00451AC3" w:rsidRPr="00460DB1" w:rsidRDefault="009F29AF" w:rsidP="00460DB1">
      <w:pPr>
        <w:overflowPunct w:val="0"/>
        <w:adjustRightInd w:val="0"/>
        <w:snapToGrid w:val="0"/>
        <w:spacing w:line="520" w:lineRule="exact"/>
        <w:ind w:firstLineChars="200" w:firstLine="640"/>
        <w:rPr>
          <w:rFonts w:eastAsia="仿宋_GB2312"/>
          <w:kern w:val="0"/>
          <w:sz w:val="32"/>
          <w:szCs w:val="32"/>
        </w:rPr>
      </w:pPr>
      <w:r w:rsidRPr="00460DB1">
        <w:rPr>
          <w:rFonts w:eastAsia="仿宋_GB2312"/>
          <w:kern w:val="0"/>
          <w:sz w:val="32"/>
          <w:szCs w:val="32"/>
        </w:rPr>
        <w:t xml:space="preserve">2.2 </w:t>
      </w:r>
      <w:r w:rsidRPr="00460DB1">
        <w:rPr>
          <w:rFonts w:eastAsia="仿宋_GB2312"/>
          <w:kern w:val="0"/>
          <w:sz w:val="32"/>
          <w:szCs w:val="32"/>
        </w:rPr>
        <w:t>与西妥昔单抗药物临床试验中</w:t>
      </w:r>
      <w:r w:rsidRPr="00460DB1">
        <w:rPr>
          <w:rFonts w:eastAsia="仿宋_GB2312"/>
          <w:kern w:val="0"/>
          <w:sz w:val="32"/>
          <w:szCs w:val="32"/>
        </w:rPr>
        <w:t>CTA</w:t>
      </w:r>
      <w:r w:rsidRPr="00460DB1">
        <w:rPr>
          <w:rFonts w:eastAsia="仿宋_GB2312"/>
          <w:kern w:val="0"/>
          <w:sz w:val="32"/>
          <w:szCs w:val="32"/>
        </w:rPr>
        <w:t>方法进行一致性比对的原研伴随诊断试剂</w:t>
      </w:r>
    </w:p>
    <w:p w:rsidR="00451AC3" w:rsidRPr="00460DB1" w:rsidRDefault="009F29AF" w:rsidP="00460DB1">
      <w:pPr>
        <w:overflowPunct w:val="0"/>
        <w:adjustRightInd w:val="0"/>
        <w:snapToGrid w:val="0"/>
        <w:spacing w:line="520" w:lineRule="exact"/>
        <w:ind w:firstLineChars="200" w:firstLine="640"/>
        <w:rPr>
          <w:rFonts w:eastAsia="仿宋_GB2312"/>
          <w:kern w:val="0"/>
          <w:sz w:val="32"/>
          <w:szCs w:val="32"/>
        </w:rPr>
      </w:pPr>
      <w:r w:rsidRPr="00460DB1">
        <w:rPr>
          <w:rFonts w:eastAsia="仿宋_GB2312"/>
          <w:kern w:val="0"/>
          <w:sz w:val="32"/>
          <w:szCs w:val="32"/>
        </w:rPr>
        <w:t>2.2.1</w:t>
      </w:r>
      <w:r w:rsidRPr="00460DB1">
        <w:rPr>
          <w:rFonts w:eastAsia="仿宋_GB2312"/>
          <w:kern w:val="0"/>
          <w:sz w:val="32"/>
          <w:szCs w:val="32"/>
        </w:rPr>
        <w:t>临床试验机构数量</w:t>
      </w:r>
    </w:p>
    <w:p w:rsidR="00451AC3" w:rsidRPr="00460DB1" w:rsidRDefault="009F29AF" w:rsidP="00460DB1">
      <w:pPr>
        <w:overflowPunct w:val="0"/>
        <w:adjustRightInd w:val="0"/>
        <w:snapToGrid w:val="0"/>
        <w:spacing w:line="520" w:lineRule="exact"/>
        <w:ind w:firstLineChars="200" w:firstLine="640"/>
        <w:rPr>
          <w:rFonts w:eastAsia="仿宋_GB2312"/>
          <w:kern w:val="0"/>
          <w:sz w:val="32"/>
          <w:szCs w:val="32"/>
        </w:rPr>
      </w:pPr>
      <w:r w:rsidRPr="00460DB1">
        <w:rPr>
          <w:rFonts w:eastAsia="仿宋_GB2312"/>
          <w:kern w:val="0"/>
          <w:sz w:val="32"/>
          <w:szCs w:val="32"/>
        </w:rPr>
        <w:t>针对此部分临床研究，申请人应选择不少于</w:t>
      </w:r>
      <w:r w:rsidRPr="00460DB1">
        <w:rPr>
          <w:rFonts w:eastAsia="仿宋_GB2312"/>
          <w:kern w:val="0"/>
          <w:sz w:val="32"/>
          <w:szCs w:val="32"/>
        </w:rPr>
        <w:t>3</w:t>
      </w:r>
      <w:r w:rsidRPr="00460DB1">
        <w:rPr>
          <w:rFonts w:eastAsia="仿宋_GB2312"/>
          <w:kern w:val="0"/>
          <w:sz w:val="32"/>
          <w:szCs w:val="32"/>
        </w:rPr>
        <w:t>家按要求备案的临床试验机构开展临床试验。</w:t>
      </w:r>
    </w:p>
    <w:p w:rsidR="00451AC3" w:rsidRPr="00460DB1" w:rsidRDefault="009F29AF" w:rsidP="00460DB1">
      <w:pPr>
        <w:overflowPunct w:val="0"/>
        <w:adjustRightInd w:val="0"/>
        <w:snapToGrid w:val="0"/>
        <w:spacing w:line="520" w:lineRule="exact"/>
        <w:ind w:firstLineChars="200" w:firstLine="640"/>
        <w:rPr>
          <w:rFonts w:eastAsia="仿宋_GB2312"/>
          <w:kern w:val="0"/>
          <w:sz w:val="32"/>
          <w:szCs w:val="32"/>
        </w:rPr>
      </w:pPr>
      <w:r w:rsidRPr="00460DB1">
        <w:rPr>
          <w:rFonts w:eastAsia="仿宋_GB2312"/>
          <w:kern w:val="0"/>
          <w:sz w:val="32"/>
          <w:szCs w:val="32"/>
        </w:rPr>
        <w:t xml:space="preserve">2.2.2 </w:t>
      </w:r>
      <w:r w:rsidRPr="00460DB1">
        <w:rPr>
          <w:rFonts w:eastAsia="仿宋_GB2312"/>
          <w:kern w:val="0"/>
          <w:sz w:val="32"/>
          <w:szCs w:val="32"/>
        </w:rPr>
        <w:t>临床试验设计及对比方法的选择</w:t>
      </w:r>
    </w:p>
    <w:p w:rsidR="00451AC3" w:rsidRPr="00460DB1" w:rsidRDefault="009F29AF" w:rsidP="00460DB1">
      <w:pPr>
        <w:overflowPunct w:val="0"/>
        <w:adjustRightInd w:val="0"/>
        <w:snapToGrid w:val="0"/>
        <w:spacing w:line="520" w:lineRule="exact"/>
        <w:ind w:firstLineChars="200" w:firstLine="640"/>
        <w:rPr>
          <w:rFonts w:eastAsia="仿宋_GB2312"/>
          <w:kern w:val="0"/>
          <w:sz w:val="32"/>
          <w:szCs w:val="32"/>
        </w:rPr>
      </w:pPr>
      <w:r w:rsidRPr="00460DB1">
        <w:rPr>
          <w:rFonts w:eastAsia="仿宋_GB2312"/>
          <w:kern w:val="0"/>
          <w:sz w:val="32"/>
          <w:szCs w:val="32"/>
        </w:rPr>
        <w:t>如申报试剂包括</w:t>
      </w:r>
      <w:r w:rsidRPr="00460DB1">
        <w:rPr>
          <w:rFonts w:eastAsia="仿宋_GB2312"/>
          <w:kern w:val="0"/>
          <w:sz w:val="32"/>
          <w:szCs w:val="32"/>
        </w:rPr>
        <w:t>KRAS</w:t>
      </w:r>
      <w:r w:rsidRPr="00460DB1">
        <w:rPr>
          <w:rFonts w:eastAsia="仿宋_GB2312"/>
          <w:kern w:val="0"/>
          <w:sz w:val="32"/>
          <w:szCs w:val="32"/>
        </w:rPr>
        <w:t>第</w:t>
      </w:r>
      <w:r w:rsidRPr="00460DB1">
        <w:rPr>
          <w:rFonts w:eastAsia="仿宋_GB2312"/>
          <w:kern w:val="0"/>
          <w:sz w:val="32"/>
          <w:szCs w:val="32"/>
        </w:rPr>
        <w:t xml:space="preserve"> 2</w:t>
      </w:r>
      <w:r w:rsidRPr="00460DB1">
        <w:rPr>
          <w:rFonts w:eastAsia="仿宋_GB2312"/>
          <w:kern w:val="0"/>
          <w:sz w:val="32"/>
          <w:szCs w:val="32"/>
        </w:rPr>
        <w:t>号外显子（密码子</w:t>
      </w:r>
      <w:r w:rsidRPr="00460DB1">
        <w:rPr>
          <w:rFonts w:eastAsia="仿宋_GB2312"/>
          <w:kern w:val="0"/>
          <w:sz w:val="32"/>
          <w:szCs w:val="32"/>
        </w:rPr>
        <w:t>12</w:t>
      </w:r>
      <w:r w:rsidRPr="00460DB1">
        <w:rPr>
          <w:rFonts w:eastAsia="仿宋_GB2312"/>
          <w:kern w:val="0"/>
          <w:sz w:val="32"/>
          <w:szCs w:val="32"/>
        </w:rPr>
        <w:t>和</w:t>
      </w:r>
      <w:r w:rsidRPr="00460DB1">
        <w:rPr>
          <w:rFonts w:eastAsia="仿宋_GB2312"/>
          <w:kern w:val="0"/>
          <w:sz w:val="32"/>
          <w:szCs w:val="32"/>
        </w:rPr>
        <w:t>13</w:t>
      </w:r>
      <w:r w:rsidRPr="00460DB1">
        <w:rPr>
          <w:rFonts w:eastAsia="仿宋_GB2312"/>
          <w:kern w:val="0"/>
          <w:sz w:val="32"/>
          <w:szCs w:val="32"/>
        </w:rPr>
        <w:t>）、第</w:t>
      </w:r>
      <w:r w:rsidRPr="00460DB1">
        <w:rPr>
          <w:rFonts w:eastAsia="仿宋_GB2312"/>
          <w:kern w:val="0"/>
          <w:sz w:val="32"/>
          <w:szCs w:val="32"/>
        </w:rPr>
        <w:t>3</w:t>
      </w:r>
      <w:r w:rsidRPr="00460DB1">
        <w:rPr>
          <w:rFonts w:eastAsia="仿宋_GB2312"/>
          <w:kern w:val="0"/>
          <w:sz w:val="32"/>
          <w:szCs w:val="32"/>
        </w:rPr>
        <w:t>号外显子（密码子</w:t>
      </w:r>
      <w:r w:rsidRPr="00460DB1">
        <w:rPr>
          <w:rFonts w:eastAsia="仿宋_GB2312"/>
          <w:kern w:val="0"/>
          <w:sz w:val="32"/>
          <w:szCs w:val="32"/>
        </w:rPr>
        <w:t>59</w:t>
      </w:r>
      <w:r w:rsidRPr="00460DB1">
        <w:rPr>
          <w:rFonts w:eastAsia="仿宋_GB2312"/>
          <w:kern w:val="0"/>
          <w:sz w:val="32"/>
          <w:szCs w:val="32"/>
        </w:rPr>
        <w:t>和</w:t>
      </w:r>
      <w:r w:rsidRPr="00460DB1">
        <w:rPr>
          <w:rFonts w:eastAsia="仿宋_GB2312"/>
          <w:kern w:val="0"/>
          <w:sz w:val="32"/>
          <w:szCs w:val="32"/>
        </w:rPr>
        <w:t>61</w:t>
      </w:r>
      <w:r w:rsidRPr="00460DB1">
        <w:rPr>
          <w:rFonts w:eastAsia="仿宋_GB2312"/>
          <w:kern w:val="0"/>
          <w:sz w:val="32"/>
          <w:szCs w:val="32"/>
        </w:rPr>
        <w:t>）以及第</w:t>
      </w:r>
      <w:r w:rsidRPr="00460DB1">
        <w:rPr>
          <w:rFonts w:eastAsia="仿宋_GB2312"/>
          <w:kern w:val="0"/>
          <w:sz w:val="32"/>
          <w:szCs w:val="32"/>
        </w:rPr>
        <w:t>4</w:t>
      </w:r>
      <w:r w:rsidRPr="00460DB1">
        <w:rPr>
          <w:rFonts w:eastAsia="仿宋_GB2312"/>
          <w:kern w:val="0"/>
          <w:sz w:val="32"/>
          <w:szCs w:val="32"/>
        </w:rPr>
        <w:t>号外显子（密码子</w:t>
      </w:r>
      <w:r w:rsidRPr="00460DB1">
        <w:rPr>
          <w:rFonts w:eastAsia="仿宋_GB2312"/>
          <w:kern w:val="0"/>
          <w:sz w:val="32"/>
          <w:szCs w:val="32"/>
        </w:rPr>
        <w:t>117</w:t>
      </w:r>
      <w:r w:rsidRPr="00460DB1">
        <w:rPr>
          <w:rFonts w:eastAsia="仿宋_GB2312"/>
          <w:kern w:val="0"/>
          <w:sz w:val="32"/>
          <w:szCs w:val="32"/>
        </w:rPr>
        <w:t>和</w:t>
      </w:r>
      <w:r w:rsidRPr="00460DB1">
        <w:rPr>
          <w:rFonts w:eastAsia="仿宋_GB2312"/>
          <w:kern w:val="0"/>
          <w:sz w:val="32"/>
          <w:szCs w:val="32"/>
        </w:rPr>
        <w:t>146</w:t>
      </w:r>
      <w:r w:rsidRPr="00460DB1">
        <w:rPr>
          <w:rFonts w:eastAsia="仿宋_GB2312"/>
          <w:kern w:val="0"/>
          <w:sz w:val="32"/>
          <w:szCs w:val="32"/>
        </w:rPr>
        <w:t>）的其他突变，可与西妥昔单抗药物临床试验中所采用的</w:t>
      </w:r>
      <w:r w:rsidRPr="00460DB1">
        <w:rPr>
          <w:rFonts w:eastAsia="仿宋_GB2312"/>
          <w:kern w:val="0"/>
          <w:sz w:val="32"/>
          <w:szCs w:val="32"/>
        </w:rPr>
        <w:t>CTA</w:t>
      </w:r>
      <w:r w:rsidRPr="00460DB1">
        <w:rPr>
          <w:rFonts w:eastAsia="仿宋_GB2312"/>
          <w:kern w:val="0"/>
          <w:sz w:val="32"/>
          <w:szCs w:val="32"/>
        </w:rPr>
        <w:t>方法进行比较研究。可采用重建</w:t>
      </w:r>
      <w:r w:rsidRPr="00460DB1">
        <w:rPr>
          <w:rFonts w:eastAsia="仿宋_GB2312"/>
          <w:kern w:val="0"/>
          <w:sz w:val="32"/>
          <w:szCs w:val="32"/>
        </w:rPr>
        <w:t>CTA</w:t>
      </w:r>
      <w:r w:rsidRPr="00460DB1">
        <w:rPr>
          <w:rFonts w:eastAsia="仿宋_GB2312"/>
          <w:kern w:val="0"/>
          <w:sz w:val="32"/>
          <w:szCs w:val="32"/>
        </w:rPr>
        <w:t>的方式，应注意重建</w:t>
      </w:r>
      <w:r w:rsidRPr="00460DB1">
        <w:rPr>
          <w:rFonts w:eastAsia="仿宋_GB2312"/>
          <w:kern w:val="0"/>
          <w:sz w:val="32"/>
          <w:szCs w:val="32"/>
        </w:rPr>
        <w:t>CTA</w:t>
      </w:r>
      <w:r w:rsidRPr="00460DB1">
        <w:rPr>
          <w:rFonts w:eastAsia="仿宋_GB2312"/>
          <w:kern w:val="0"/>
          <w:sz w:val="32"/>
          <w:szCs w:val="32"/>
        </w:rPr>
        <w:t>的实验流程、检测性能等应与</w:t>
      </w:r>
      <w:r w:rsidRPr="00460DB1">
        <w:rPr>
          <w:rFonts w:eastAsia="仿宋_GB2312"/>
          <w:kern w:val="0"/>
          <w:sz w:val="32"/>
          <w:szCs w:val="32"/>
        </w:rPr>
        <w:t>CTA</w:t>
      </w:r>
      <w:r w:rsidRPr="00460DB1">
        <w:rPr>
          <w:rFonts w:eastAsia="仿宋_GB2312"/>
          <w:kern w:val="0"/>
          <w:sz w:val="32"/>
          <w:szCs w:val="32"/>
        </w:rPr>
        <w:t>方法具有良好的一致性。</w:t>
      </w:r>
    </w:p>
    <w:p w:rsidR="00451AC3" w:rsidRPr="00460DB1" w:rsidRDefault="009F29AF" w:rsidP="00460DB1">
      <w:pPr>
        <w:overflowPunct w:val="0"/>
        <w:adjustRightInd w:val="0"/>
        <w:snapToGrid w:val="0"/>
        <w:spacing w:line="520" w:lineRule="exact"/>
        <w:ind w:firstLineChars="200" w:firstLine="640"/>
        <w:rPr>
          <w:rFonts w:eastAsia="仿宋_GB2312"/>
          <w:kern w:val="0"/>
          <w:sz w:val="32"/>
          <w:szCs w:val="32"/>
        </w:rPr>
      </w:pPr>
      <w:r w:rsidRPr="00460DB1">
        <w:rPr>
          <w:rFonts w:eastAsia="仿宋_GB2312"/>
          <w:kern w:val="0"/>
          <w:sz w:val="32"/>
          <w:szCs w:val="32"/>
        </w:rPr>
        <w:t>2.2.3</w:t>
      </w:r>
      <w:r w:rsidRPr="00460DB1">
        <w:rPr>
          <w:rFonts w:eastAsia="仿宋_GB2312"/>
          <w:kern w:val="0"/>
          <w:sz w:val="32"/>
          <w:szCs w:val="32"/>
        </w:rPr>
        <w:t>入组人群</w:t>
      </w:r>
    </w:p>
    <w:p w:rsidR="00451AC3" w:rsidRPr="00460DB1" w:rsidRDefault="009F29AF" w:rsidP="00460DB1">
      <w:pPr>
        <w:overflowPunct w:val="0"/>
        <w:adjustRightInd w:val="0"/>
        <w:snapToGrid w:val="0"/>
        <w:spacing w:line="520" w:lineRule="exact"/>
        <w:ind w:firstLineChars="200" w:firstLine="640"/>
        <w:rPr>
          <w:rFonts w:eastAsia="仿宋_GB2312"/>
          <w:kern w:val="0"/>
          <w:sz w:val="32"/>
          <w:szCs w:val="32"/>
        </w:rPr>
      </w:pPr>
      <w:r w:rsidRPr="00460DB1">
        <w:rPr>
          <w:rFonts w:eastAsia="仿宋_GB2312"/>
          <w:kern w:val="0"/>
          <w:sz w:val="32"/>
          <w:szCs w:val="32"/>
        </w:rPr>
        <w:t>入组人群应以西妥昔单抗药物的适应证人群，即转移性结直肠癌为主。</w:t>
      </w:r>
    </w:p>
    <w:p w:rsidR="00451AC3" w:rsidRPr="00460DB1" w:rsidRDefault="009F29AF" w:rsidP="00460DB1">
      <w:pPr>
        <w:overflowPunct w:val="0"/>
        <w:adjustRightInd w:val="0"/>
        <w:snapToGrid w:val="0"/>
        <w:spacing w:line="520" w:lineRule="exact"/>
        <w:ind w:firstLineChars="200" w:firstLine="640"/>
        <w:rPr>
          <w:rFonts w:eastAsia="仿宋_GB2312"/>
          <w:kern w:val="0"/>
          <w:sz w:val="32"/>
          <w:szCs w:val="32"/>
        </w:rPr>
      </w:pPr>
      <w:r w:rsidRPr="00460DB1">
        <w:rPr>
          <w:rFonts w:eastAsia="仿宋_GB2312"/>
          <w:kern w:val="0"/>
          <w:sz w:val="32"/>
          <w:szCs w:val="32"/>
        </w:rPr>
        <w:t>样本量的估算方法与上述</w:t>
      </w:r>
      <w:r w:rsidRPr="00460DB1">
        <w:rPr>
          <w:rFonts w:eastAsia="仿宋_GB2312"/>
          <w:kern w:val="0"/>
          <w:sz w:val="32"/>
          <w:szCs w:val="32"/>
        </w:rPr>
        <w:t>1.4</w:t>
      </w:r>
      <w:r w:rsidRPr="00460DB1">
        <w:rPr>
          <w:rFonts w:eastAsia="仿宋_GB2312"/>
          <w:kern w:val="0"/>
          <w:sz w:val="32"/>
          <w:szCs w:val="32"/>
        </w:rPr>
        <w:t>中的样本量估算方法相同，根</w:t>
      </w:r>
      <w:r w:rsidRPr="00460DB1">
        <w:rPr>
          <w:rFonts w:eastAsia="仿宋_GB2312"/>
          <w:kern w:val="0"/>
          <w:sz w:val="32"/>
          <w:szCs w:val="32"/>
        </w:rPr>
        <w:lastRenderedPageBreak/>
        <w:t>据与</w:t>
      </w:r>
      <w:r w:rsidRPr="00460DB1">
        <w:rPr>
          <w:rFonts w:eastAsia="仿宋_GB2312"/>
          <w:kern w:val="0"/>
          <w:sz w:val="32"/>
          <w:szCs w:val="32"/>
        </w:rPr>
        <w:t>CTA</w:t>
      </w:r>
      <w:r w:rsidRPr="00460DB1">
        <w:rPr>
          <w:rFonts w:eastAsia="仿宋_GB2312"/>
          <w:kern w:val="0"/>
          <w:sz w:val="32"/>
          <w:szCs w:val="32"/>
        </w:rPr>
        <w:t>的一致性水平设置合理的最低可接受标准。</w:t>
      </w:r>
    </w:p>
    <w:p w:rsidR="00451AC3" w:rsidRPr="00460DB1" w:rsidRDefault="009F29AF" w:rsidP="00460DB1">
      <w:pPr>
        <w:overflowPunct w:val="0"/>
        <w:adjustRightInd w:val="0"/>
        <w:snapToGrid w:val="0"/>
        <w:spacing w:line="520" w:lineRule="exact"/>
        <w:ind w:firstLineChars="200" w:firstLine="640"/>
        <w:rPr>
          <w:rFonts w:eastAsia="仿宋_GB2312"/>
          <w:kern w:val="0"/>
          <w:sz w:val="32"/>
          <w:szCs w:val="32"/>
        </w:rPr>
      </w:pPr>
      <w:r w:rsidRPr="00460DB1">
        <w:rPr>
          <w:rFonts w:eastAsia="仿宋_GB2312"/>
          <w:kern w:val="0"/>
          <w:sz w:val="32"/>
          <w:szCs w:val="32"/>
        </w:rPr>
        <w:t xml:space="preserve">2.3 </w:t>
      </w:r>
      <w:r w:rsidRPr="00460DB1">
        <w:rPr>
          <w:rFonts w:eastAsia="仿宋_GB2312"/>
          <w:kern w:val="0"/>
          <w:sz w:val="32"/>
          <w:szCs w:val="32"/>
        </w:rPr>
        <w:t>西妥昔单抗的非原研伴随诊断试剂</w:t>
      </w:r>
    </w:p>
    <w:p w:rsidR="00451AC3" w:rsidRPr="00460DB1" w:rsidRDefault="009F29AF" w:rsidP="00460DB1">
      <w:pPr>
        <w:overflowPunct w:val="0"/>
        <w:adjustRightInd w:val="0"/>
        <w:snapToGrid w:val="0"/>
        <w:spacing w:line="520" w:lineRule="exact"/>
        <w:ind w:firstLineChars="200" w:firstLine="640"/>
        <w:rPr>
          <w:rFonts w:eastAsia="仿宋_GB2312"/>
          <w:kern w:val="0"/>
          <w:sz w:val="32"/>
          <w:szCs w:val="32"/>
        </w:rPr>
      </w:pPr>
      <w:r w:rsidRPr="00460DB1">
        <w:rPr>
          <w:rFonts w:eastAsia="仿宋_GB2312"/>
          <w:kern w:val="0"/>
          <w:sz w:val="32"/>
          <w:szCs w:val="32"/>
        </w:rPr>
        <w:t>申报产品用于指导用药的灵敏度应与原研伴随诊断试剂相当，根据原研伴随诊断试剂的灵敏度水平设置相应的阳性判断值，以保证两者具有较好的一致性。</w:t>
      </w:r>
    </w:p>
    <w:p w:rsidR="00451AC3" w:rsidRPr="00460DB1" w:rsidRDefault="009F29AF" w:rsidP="00460DB1">
      <w:pPr>
        <w:overflowPunct w:val="0"/>
        <w:adjustRightInd w:val="0"/>
        <w:snapToGrid w:val="0"/>
        <w:spacing w:line="520" w:lineRule="exact"/>
        <w:ind w:firstLineChars="200" w:firstLine="640"/>
        <w:rPr>
          <w:rFonts w:eastAsia="仿宋_GB2312"/>
          <w:kern w:val="0"/>
          <w:sz w:val="32"/>
          <w:szCs w:val="32"/>
        </w:rPr>
      </w:pPr>
      <w:r w:rsidRPr="00460DB1">
        <w:rPr>
          <w:rFonts w:eastAsia="仿宋_GB2312"/>
          <w:kern w:val="0"/>
          <w:sz w:val="32"/>
          <w:szCs w:val="32"/>
        </w:rPr>
        <w:t>如申报试剂仅包括上述的</w:t>
      </w:r>
      <w:r w:rsidRPr="00460DB1">
        <w:rPr>
          <w:rFonts w:eastAsia="仿宋_GB2312"/>
          <w:kern w:val="0"/>
          <w:sz w:val="32"/>
          <w:szCs w:val="32"/>
        </w:rPr>
        <w:t>7</w:t>
      </w:r>
      <w:r w:rsidRPr="00460DB1">
        <w:rPr>
          <w:rFonts w:eastAsia="仿宋_GB2312"/>
          <w:kern w:val="0"/>
          <w:sz w:val="32"/>
          <w:szCs w:val="32"/>
        </w:rPr>
        <w:t>个热点突变，可采用具有可比性的原研伴随诊断试剂进行比较研究，评价两者之间的一致性。</w:t>
      </w:r>
    </w:p>
    <w:p w:rsidR="00451AC3" w:rsidRPr="00460DB1" w:rsidRDefault="009F29AF" w:rsidP="00460DB1">
      <w:pPr>
        <w:overflowPunct w:val="0"/>
        <w:adjustRightInd w:val="0"/>
        <w:snapToGrid w:val="0"/>
        <w:spacing w:line="520" w:lineRule="exact"/>
        <w:ind w:firstLineChars="200" w:firstLine="640"/>
        <w:rPr>
          <w:rFonts w:eastAsia="仿宋_GB2312"/>
          <w:kern w:val="0"/>
          <w:sz w:val="32"/>
          <w:szCs w:val="32"/>
        </w:rPr>
      </w:pPr>
      <w:r w:rsidRPr="00460DB1">
        <w:rPr>
          <w:rFonts w:eastAsia="仿宋_GB2312"/>
          <w:kern w:val="0"/>
          <w:sz w:val="32"/>
          <w:szCs w:val="32"/>
        </w:rPr>
        <w:t>如申报试剂包括</w:t>
      </w:r>
      <w:r w:rsidRPr="00460DB1">
        <w:rPr>
          <w:rFonts w:eastAsia="仿宋_GB2312"/>
          <w:kern w:val="0"/>
          <w:sz w:val="32"/>
          <w:szCs w:val="32"/>
        </w:rPr>
        <w:t>KRAS</w:t>
      </w:r>
      <w:r w:rsidRPr="00460DB1">
        <w:rPr>
          <w:rFonts w:eastAsia="仿宋_GB2312"/>
          <w:kern w:val="0"/>
          <w:sz w:val="32"/>
          <w:szCs w:val="32"/>
        </w:rPr>
        <w:t>第</w:t>
      </w:r>
      <w:r w:rsidRPr="00460DB1">
        <w:rPr>
          <w:rFonts w:eastAsia="仿宋_GB2312"/>
          <w:kern w:val="0"/>
          <w:sz w:val="32"/>
          <w:szCs w:val="32"/>
        </w:rPr>
        <w:t xml:space="preserve"> 2</w:t>
      </w:r>
      <w:r w:rsidRPr="00460DB1">
        <w:rPr>
          <w:rFonts w:eastAsia="仿宋_GB2312"/>
          <w:kern w:val="0"/>
          <w:sz w:val="32"/>
          <w:szCs w:val="32"/>
        </w:rPr>
        <w:t>号外显子（密码子</w:t>
      </w:r>
      <w:r w:rsidRPr="00460DB1">
        <w:rPr>
          <w:rFonts w:eastAsia="仿宋_GB2312"/>
          <w:kern w:val="0"/>
          <w:sz w:val="32"/>
          <w:szCs w:val="32"/>
        </w:rPr>
        <w:t>12</w:t>
      </w:r>
      <w:r w:rsidRPr="00460DB1">
        <w:rPr>
          <w:rFonts w:eastAsia="仿宋_GB2312"/>
          <w:kern w:val="0"/>
          <w:sz w:val="32"/>
          <w:szCs w:val="32"/>
        </w:rPr>
        <w:t>和</w:t>
      </w:r>
      <w:r w:rsidRPr="00460DB1">
        <w:rPr>
          <w:rFonts w:eastAsia="仿宋_GB2312"/>
          <w:kern w:val="0"/>
          <w:sz w:val="32"/>
          <w:szCs w:val="32"/>
        </w:rPr>
        <w:t>13</w:t>
      </w:r>
      <w:r w:rsidRPr="00460DB1">
        <w:rPr>
          <w:rFonts w:eastAsia="仿宋_GB2312"/>
          <w:kern w:val="0"/>
          <w:sz w:val="32"/>
          <w:szCs w:val="32"/>
        </w:rPr>
        <w:t>）、第</w:t>
      </w:r>
      <w:r w:rsidRPr="00460DB1">
        <w:rPr>
          <w:rFonts w:eastAsia="仿宋_GB2312"/>
          <w:kern w:val="0"/>
          <w:sz w:val="32"/>
          <w:szCs w:val="32"/>
        </w:rPr>
        <w:t>3</w:t>
      </w:r>
      <w:r w:rsidRPr="00460DB1">
        <w:rPr>
          <w:rFonts w:eastAsia="仿宋_GB2312"/>
          <w:kern w:val="0"/>
          <w:sz w:val="32"/>
          <w:szCs w:val="32"/>
        </w:rPr>
        <w:t>号外显子（密码子</w:t>
      </w:r>
      <w:r w:rsidRPr="00460DB1">
        <w:rPr>
          <w:rFonts w:eastAsia="仿宋_GB2312"/>
          <w:kern w:val="0"/>
          <w:sz w:val="32"/>
          <w:szCs w:val="32"/>
        </w:rPr>
        <w:t>59</w:t>
      </w:r>
      <w:r w:rsidRPr="00460DB1">
        <w:rPr>
          <w:rFonts w:eastAsia="仿宋_GB2312"/>
          <w:kern w:val="0"/>
          <w:sz w:val="32"/>
          <w:szCs w:val="32"/>
        </w:rPr>
        <w:t>和</w:t>
      </w:r>
      <w:r w:rsidRPr="00460DB1">
        <w:rPr>
          <w:rFonts w:eastAsia="仿宋_GB2312"/>
          <w:kern w:val="0"/>
          <w:sz w:val="32"/>
          <w:szCs w:val="32"/>
        </w:rPr>
        <w:t>61</w:t>
      </w:r>
      <w:r w:rsidRPr="00460DB1">
        <w:rPr>
          <w:rFonts w:eastAsia="仿宋_GB2312"/>
          <w:kern w:val="0"/>
          <w:sz w:val="32"/>
          <w:szCs w:val="32"/>
        </w:rPr>
        <w:t>）以及第</w:t>
      </w:r>
      <w:r w:rsidRPr="00460DB1">
        <w:rPr>
          <w:rFonts w:eastAsia="仿宋_GB2312"/>
          <w:kern w:val="0"/>
          <w:sz w:val="32"/>
          <w:szCs w:val="32"/>
        </w:rPr>
        <w:t>4</w:t>
      </w:r>
      <w:r w:rsidRPr="00460DB1">
        <w:rPr>
          <w:rFonts w:eastAsia="仿宋_GB2312"/>
          <w:kern w:val="0"/>
          <w:sz w:val="32"/>
          <w:szCs w:val="32"/>
        </w:rPr>
        <w:t>号外显子（密码子</w:t>
      </w:r>
      <w:r w:rsidRPr="00460DB1">
        <w:rPr>
          <w:rFonts w:eastAsia="仿宋_GB2312"/>
          <w:kern w:val="0"/>
          <w:sz w:val="32"/>
          <w:szCs w:val="32"/>
        </w:rPr>
        <w:t>117</w:t>
      </w:r>
      <w:r w:rsidRPr="00460DB1">
        <w:rPr>
          <w:rFonts w:eastAsia="仿宋_GB2312"/>
          <w:kern w:val="0"/>
          <w:sz w:val="32"/>
          <w:szCs w:val="32"/>
        </w:rPr>
        <w:t>和</w:t>
      </w:r>
      <w:r w:rsidRPr="00460DB1">
        <w:rPr>
          <w:rFonts w:eastAsia="仿宋_GB2312"/>
          <w:kern w:val="0"/>
          <w:sz w:val="32"/>
          <w:szCs w:val="32"/>
        </w:rPr>
        <w:t>146</w:t>
      </w:r>
      <w:r w:rsidRPr="00460DB1">
        <w:rPr>
          <w:rFonts w:eastAsia="仿宋_GB2312"/>
          <w:kern w:val="0"/>
          <w:sz w:val="32"/>
          <w:szCs w:val="32"/>
        </w:rPr>
        <w:t>）的其他突变，则可与其他通过重建</w:t>
      </w:r>
      <w:r w:rsidRPr="00460DB1">
        <w:rPr>
          <w:rFonts w:eastAsia="仿宋_GB2312"/>
          <w:kern w:val="0"/>
          <w:sz w:val="32"/>
          <w:szCs w:val="32"/>
        </w:rPr>
        <w:t>CTA</w:t>
      </w:r>
      <w:r w:rsidRPr="00460DB1">
        <w:rPr>
          <w:rFonts w:eastAsia="仿宋_GB2312"/>
          <w:kern w:val="0"/>
          <w:sz w:val="32"/>
          <w:szCs w:val="32"/>
        </w:rPr>
        <w:t>方式进行了伴随诊断评价的已上市产品进行比较研究。</w:t>
      </w:r>
    </w:p>
    <w:p w:rsidR="00451AC3" w:rsidRPr="00460DB1" w:rsidRDefault="009F29AF" w:rsidP="00460DB1">
      <w:pPr>
        <w:overflowPunct w:val="0"/>
        <w:adjustRightInd w:val="0"/>
        <w:snapToGrid w:val="0"/>
        <w:spacing w:line="520" w:lineRule="exact"/>
        <w:ind w:firstLineChars="200" w:firstLine="640"/>
        <w:rPr>
          <w:rFonts w:eastAsia="仿宋_GB2312"/>
          <w:strike/>
          <w:kern w:val="0"/>
          <w:sz w:val="32"/>
          <w:szCs w:val="32"/>
        </w:rPr>
      </w:pPr>
      <w:r w:rsidRPr="00460DB1">
        <w:rPr>
          <w:rFonts w:eastAsia="仿宋_GB2312"/>
          <w:kern w:val="0"/>
          <w:sz w:val="32"/>
          <w:szCs w:val="32"/>
        </w:rPr>
        <w:t>其他要求同</w:t>
      </w:r>
      <w:r w:rsidRPr="00460DB1">
        <w:rPr>
          <w:rFonts w:eastAsia="仿宋_GB2312"/>
          <w:kern w:val="0"/>
          <w:sz w:val="32"/>
          <w:szCs w:val="32"/>
        </w:rPr>
        <w:t>2.2</w:t>
      </w:r>
      <w:r w:rsidRPr="00460DB1">
        <w:rPr>
          <w:rFonts w:eastAsia="仿宋_GB2312"/>
          <w:kern w:val="0"/>
          <w:sz w:val="32"/>
          <w:szCs w:val="32"/>
        </w:rPr>
        <w:t>部分。</w:t>
      </w:r>
    </w:p>
    <w:p w:rsidR="00451AC3" w:rsidRPr="00460DB1" w:rsidRDefault="009F29AF" w:rsidP="00460DB1">
      <w:pPr>
        <w:overflowPunct w:val="0"/>
        <w:adjustRightInd w:val="0"/>
        <w:snapToGrid w:val="0"/>
        <w:spacing w:line="520" w:lineRule="exact"/>
        <w:ind w:firstLineChars="200" w:firstLine="640"/>
        <w:rPr>
          <w:rFonts w:eastAsia="仿宋_GB2312"/>
          <w:kern w:val="0"/>
          <w:sz w:val="32"/>
          <w:szCs w:val="32"/>
        </w:rPr>
      </w:pPr>
      <w:r w:rsidRPr="00460DB1">
        <w:rPr>
          <w:rFonts w:eastAsia="仿宋_GB2312"/>
          <w:kern w:val="0"/>
          <w:sz w:val="32"/>
          <w:szCs w:val="32"/>
        </w:rPr>
        <w:t xml:space="preserve">2.4 </w:t>
      </w:r>
      <w:r w:rsidRPr="00460DB1">
        <w:rPr>
          <w:rFonts w:eastAsia="仿宋_GB2312"/>
          <w:kern w:val="0"/>
          <w:sz w:val="32"/>
          <w:szCs w:val="32"/>
        </w:rPr>
        <w:t>其他</w:t>
      </w:r>
    </w:p>
    <w:p w:rsidR="00451AC3" w:rsidRPr="00460DB1" w:rsidRDefault="009F29AF" w:rsidP="00460DB1">
      <w:pPr>
        <w:overflowPunct w:val="0"/>
        <w:adjustRightInd w:val="0"/>
        <w:snapToGrid w:val="0"/>
        <w:spacing w:line="520" w:lineRule="exact"/>
        <w:ind w:firstLineChars="200" w:firstLine="640"/>
        <w:rPr>
          <w:rFonts w:eastAsia="仿宋_GB2312"/>
          <w:kern w:val="0"/>
          <w:sz w:val="32"/>
          <w:szCs w:val="32"/>
        </w:rPr>
      </w:pPr>
      <w:r w:rsidRPr="00460DB1">
        <w:rPr>
          <w:rFonts w:eastAsia="仿宋_GB2312"/>
          <w:kern w:val="0"/>
          <w:sz w:val="32"/>
          <w:szCs w:val="32"/>
        </w:rPr>
        <w:t>如申报产品所伴随药物为其他药物，则应根据伴随诊断试剂相关指导原则的要求提供伴随诊断证据。如申报产品为与新开发的抗肿瘤药物同步研发的伴随诊断试剂，则可提供与药物同步开发的药物临床试验资料作为其伴随诊断证据。药物临床试验报告中应明确所使用的伴随诊断试剂为申报产品，并明确申报产品在药物临床试验中所起的作用以及与药物疗效的关系。</w:t>
      </w:r>
    </w:p>
    <w:p w:rsidR="00451AC3" w:rsidRPr="00460DB1" w:rsidRDefault="009F29AF" w:rsidP="00460DB1">
      <w:pPr>
        <w:overflowPunct w:val="0"/>
        <w:adjustRightInd w:val="0"/>
        <w:snapToGrid w:val="0"/>
        <w:spacing w:line="520" w:lineRule="exact"/>
        <w:ind w:firstLineChars="200" w:firstLine="640"/>
        <w:rPr>
          <w:rFonts w:eastAsia="仿宋_GB2312"/>
          <w:kern w:val="0"/>
          <w:sz w:val="32"/>
          <w:szCs w:val="32"/>
        </w:rPr>
      </w:pPr>
      <w:r w:rsidRPr="00460DB1">
        <w:rPr>
          <w:rFonts w:eastAsia="仿宋_GB2312"/>
          <w:kern w:val="0"/>
          <w:sz w:val="32"/>
          <w:szCs w:val="32"/>
        </w:rPr>
        <w:t>3.</w:t>
      </w:r>
      <w:r w:rsidRPr="00460DB1">
        <w:rPr>
          <w:rFonts w:eastAsia="仿宋_GB2312"/>
          <w:kern w:val="0"/>
          <w:sz w:val="32"/>
          <w:szCs w:val="32"/>
        </w:rPr>
        <w:t>通用要求</w:t>
      </w:r>
    </w:p>
    <w:p w:rsidR="00451AC3" w:rsidRPr="00460DB1" w:rsidRDefault="009F29AF" w:rsidP="00460DB1">
      <w:pPr>
        <w:overflowPunct w:val="0"/>
        <w:adjustRightInd w:val="0"/>
        <w:snapToGrid w:val="0"/>
        <w:spacing w:line="520" w:lineRule="exact"/>
        <w:ind w:firstLineChars="200" w:firstLine="640"/>
        <w:rPr>
          <w:rFonts w:eastAsia="仿宋_GB2312"/>
          <w:kern w:val="0"/>
          <w:sz w:val="32"/>
          <w:szCs w:val="32"/>
        </w:rPr>
      </w:pPr>
      <w:r w:rsidRPr="00460DB1">
        <w:rPr>
          <w:rFonts w:eastAsia="仿宋_GB2312"/>
          <w:kern w:val="0"/>
          <w:sz w:val="32"/>
          <w:szCs w:val="32"/>
        </w:rPr>
        <w:t>3.1</w:t>
      </w:r>
      <w:r w:rsidRPr="00460DB1">
        <w:rPr>
          <w:rFonts w:eastAsia="仿宋_GB2312"/>
          <w:kern w:val="0"/>
          <w:sz w:val="32"/>
          <w:szCs w:val="32"/>
        </w:rPr>
        <w:t>临床试验方案</w:t>
      </w:r>
    </w:p>
    <w:p w:rsidR="00451AC3" w:rsidRPr="00460DB1" w:rsidRDefault="009F29AF" w:rsidP="00460DB1">
      <w:pPr>
        <w:overflowPunct w:val="0"/>
        <w:adjustRightInd w:val="0"/>
        <w:snapToGrid w:val="0"/>
        <w:spacing w:line="520" w:lineRule="exact"/>
        <w:ind w:firstLineChars="200" w:firstLine="640"/>
        <w:rPr>
          <w:rFonts w:eastAsia="仿宋_GB2312"/>
          <w:kern w:val="0"/>
          <w:sz w:val="32"/>
          <w:szCs w:val="32"/>
        </w:rPr>
      </w:pPr>
      <w:r w:rsidRPr="00460DB1">
        <w:rPr>
          <w:rFonts w:eastAsia="仿宋_GB2312"/>
          <w:kern w:val="0"/>
          <w:sz w:val="32"/>
          <w:szCs w:val="32"/>
        </w:rPr>
        <w:t>临床试验实施前，研究人员应从流行病学、统计学、临床医学、检验医学等多方面考虑，设计科学合理的临床试验方案。各临床试验机构应执行同一临床试验方案，且保证在整个临床试验过程中遵循预定的方案实施，不可随意改动。整个试验过程应在临床试验机构的实验室内并由本实验室的技术人员操作完成，申</w:t>
      </w:r>
      <w:r w:rsidRPr="00460DB1">
        <w:rPr>
          <w:rFonts w:eastAsia="仿宋_GB2312"/>
          <w:kern w:val="0"/>
          <w:sz w:val="32"/>
          <w:szCs w:val="32"/>
        </w:rPr>
        <w:lastRenderedPageBreak/>
        <w:t>请人的技术人员除进行必要的技术指导外，不得随意干涉实验进程，尤其是数据收集过程。</w:t>
      </w:r>
    </w:p>
    <w:p w:rsidR="00451AC3" w:rsidRPr="00460DB1" w:rsidRDefault="009F29AF" w:rsidP="00460DB1">
      <w:pPr>
        <w:overflowPunct w:val="0"/>
        <w:adjustRightInd w:val="0"/>
        <w:snapToGrid w:val="0"/>
        <w:spacing w:line="520" w:lineRule="exact"/>
        <w:ind w:firstLineChars="200" w:firstLine="640"/>
        <w:rPr>
          <w:rFonts w:eastAsia="仿宋_GB2312"/>
          <w:kern w:val="0"/>
          <w:sz w:val="32"/>
          <w:szCs w:val="32"/>
        </w:rPr>
      </w:pPr>
      <w:r w:rsidRPr="00460DB1">
        <w:rPr>
          <w:rFonts w:eastAsia="仿宋_GB2312"/>
          <w:kern w:val="0"/>
          <w:sz w:val="32"/>
          <w:szCs w:val="32"/>
        </w:rPr>
        <w:t>试验方案中应确定严格的病例纳入</w:t>
      </w:r>
      <w:r w:rsidRPr="00460DB1">
        <w:rPr>
          <w:rFonts w:eastAsia="仿宋_GB2312"/>
          <w:kern w:val="0"/>
          <w:sz w:val="32"/>
          <w:szCs w:val="32"/>
        </w:rPr>
        <w:t>/</w:t>
      </w:r>
      <w:r w:rsidRPr="00460DB1">
        <w:rPr>
          <w:rFonts w:eastAsia="仿宋_GB2312"/>
          <w:kern w:val="0"/>
          <w:sz w:val="32"/>
          <w:szCs w:val="32"/>
        </w:rPr>
        <w:t>排除标准，任何已经入选的病例再被剔除出临床试验都应记录在案并明确说明原因。在试验操作过程中和判定试验结果时应采用盲法以保证试验结果的客观性。</w:t>
      </w:r>
    </w:p>
    <w:p w:rsidR="00451AC3" w:rsidRPr="00460DB1" w:rsidRDefault="009F29AF" w:rsidP="00460DB1">
      <w:pPr>
        <w:overflowPunct w:val="0"/>
        <w:adjustRightInd w:val="0"/>
        <w:snapToGrid w:val="0"/>
        <w:spacing w:line="520" w:lineRule="exact"/>
        <w:ind w:firstLineChars="200" w:firstLine="640"/>
        <w:rPr>
          <w:rFonts w:eastAsia="仿宋_GB2312"/>
          <w:kern w:val="0"/>
          <w:sz w:val="32"/>
          <w:szCs w:val="32"/>
        </w:rPr>
      </w:pPr>
      <w:r w:rsidRPr="00460DB1">
        <w:rPr>
          <w:rFonts w:eastAsia="仿宋_GB2312"/>
          <w:kern w:val="0"/>
          <w:sz w:val="32"/>
          <w:szCs w:val="32"/>
        </w:rPr>
        <w:t>3.2</w:t>
      </w:r>
      <w:r w:rsidRPr="00460DB1">
        <w:rPr>
          <w:rFonts w:eastAsia="仿宋_GB2312"/>
          <w:kern w:val="0"/>
          <w:sz w:val="32"/>
          <w:szCs w:val="32"/>
        </w:rPr>
        <w:t>质量控制</w:t>
      </w:r>
    </w:p>
    <w:p w:rsidR="00451AC3" w:rsidRPr="00460DB1" w:rsidRDefault="009F29AF" w:rsidP="00460DB1">
      <w:pPr>
        <w:overflowPunct w:val="0"/>
        <w:adjustRightInd w:val="0"/>
        <w:snapToGrid w:val="0"/>
        <w:spacing w:line="520" w:lineRule="exact"/>
        <w:ind w:firstLineChars="200" w:firstLine="640"/>
        <w:rPr>
          <w:rFonts w:eastAsia="仿宋_GB2312"/>
          <w:kern w:val="0"/>
          <w:sz w:val="32"/>
          <w:szCs w:val="32"/>
        </w:rPr>
      </w:pPr>
      <w:r w:rsidRPr="00460DB1">
        <w:rPr>
          <w:rFonts w:eastAsia="仿宋_GB2312"/>
          <w:kern w:val="0"/>
          <w:sz w:val="32"/>
          <w:szCs w:val="32"/>
        </w:rPr>
        <w:t>临床试验开始前，建议进行临床试验方案的培训，以熟悉并掌握相关试验方法的操作、仪器、技术性能等，最大限度控制试验误差。整个试验过程都应处于有效的质量控制下，最大限度保证试验数据的准确性及可重复性。</w:t>
      </w:r>
    </w:p>
    <w:p w:rsidR="00451AC3" w:rsidRPr="00460DB1" w:rsidRDefault="009F29AF" w:rsidP="00460DB1">
      <w:pPr>
        <w:overflowPunct w:val="0"/>
        <w:adjustRightInd w:val="0"/>
        <w:snapToGrid w:val="0"/>
        <w:spacing w:line="520" w:lineRule="exact"/>
        <w:ind w:firstLineChars="200" w:firstLine="640"/>
        <w:rPr>
          <w:rFonts w:eastAsia="仿宋_GB2312"/>
          <w:kern w:val="0"/>
          <w:sz w:val="32"/>
          <w:szCs w:val="32"/>
        </w:rPr>
      </w:pPr>
      <w:r w:rsidRPr="00460DB1">
        <w:rPr>
          <w:rFonts w:eastAsia="仿宋_GB2312"/>
          <w:kern w:val="0"/>
          <w:sz w:val="32"/>
          <w:szCs w:val="32"/>
        </w:rPr>
        <w:t>3.3</w:t>
      </w:r>
      <w:r w:rsidRPr="00460DB1">
        <w:rPr>
          <w:rFonts w:eastAsia="仿宋_GB2312"/>
          <w:kern w:val="0"/>
          <w:sz w:val="32"/>
          <w:szCs w:val="32"/>
        </w:rPr>
        <w:t>临床试验报告</w:t>
      </w:r>
    </w:p>
    <w:p w:rsidR="00451AC3" w:rsidRPr="00460DB1" w:rsidRDefault="009F29AF" w:rsidP="00460DB1">
      <w:pPr>
        <w:adjustRightInd w:val="0"/>
        <w:snapToGrid w:val="0"/>
        <w:spacing w:line="520" w:lineRule="exact"/>
        <w:ind w:firstLineChars="200" w:firstLine="640"/>
        <w:rPr>
          <w:rFonts w:eastAsia="仿宋_GB2312"/>
          <w:sz w:val="32"/>
          <w:szCs w:val="32"/>
        </w:rPr>
      </w:pPr>
      <w:r w:rsidRPr="00460DB1">
        <w:rPr>
          <w:rFonts w:eastAsia="仿宋_GB2312"/>
          <w:kern w:val="0"/>
          <w:sz w:val="32"/>
          <w:szCs w:val="32"/>
        </w:rPr>
        <w:t>临床试验报告应该对试验的整体设计及各个关键点给予清晰、完整的阐述，应该对整个临床试验实施过程、结果分析、结论等进行条理分明的描述，并应包括必要的基础数据和统计分析方法，最后得出临床试验结论。临床试验报告的撰写应参考相关法规的要求。</w:t>
      </w:r>
    </w:p>
    <w:p w:rsidR="00451AC3" w:rsidRPr="00460DB1" w:rsidRDefault="009F29AF" w:rsidP="00460DB1">
      <w:pPr>
        <w:widowControl/>
        <w:adjustRightInd w:val="0"/>
        <w:snapToGrid w:val="0"/>
        <w:spacing w:line="520" w:lineRule="exact"/>
        <w:ind w:firstLineChars="200" w:firstLine="640"/>
        <w:rPr>
          <w:rFonts w:eastAsia="仿宋_GB2312"/>
          <w:bCs/>
          <w:color w:val="000000"/>
          <w:sz w:val="32"/>
          <w:szCs w:val="32"/>
        </w:rPr>
      </w:pPr>
      <w:r w:rsidRPr="00460DB1">
        <w:rPr>
          <w:rFonts w:eastAsia="楷体_GB2312"/>
          <w:kern w:val="0"/>
          <w:sz w:val="32"/>
          <w:szCs w:val="32"/>
        </w:rPr>
        <w:t>（五）</w:t>
      </w:r>
      <w:r w:rsidRPr="00460DB1">
        <w:rPr>
          <w:rFonts w:eastAsia="仿宋_GB2312"/>
          <w:bCs/>
          <w:color w:val="000000"/>
          <w:sz w:val="32"/>
          <w:szCs w:val="32"/>
        </w:rPr>
        <w:t>产品说明书和标签样稿</w:t>
      </w:r>
    </w:p>
    <w:p w:rsidR="00451AC3" w:rsidRPr="00460DB1" w:rsidRDefault="009F29AF" w:rsidP="00460DB1">
      <w:pPr>
        <w:widowControl/>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产品说明书格式应满足《体外诊断试剂说明书编写指导原则》的要求。产品说明书中技术内容应与注册申报资料中的相关研究结果保持一致，如某些内容引用自参考文献，应以规范格式进行标注，并单独列明文献的相关信息。人</w:t>
      </w:r>
      <w:r w:rsidRPr="00460DB1">
        <w:rPr>
          <w:rFonts w:eastAsia="仿宋_GB2312"/>
          <w:bCs/>
          <w:color w:val="000000"/>
          <w:sz w:val="32"/>
          <w:szCs w:val="32"/>
        </w:rPr>
        <w:t>KRAS</w:t>
      </w:r>
      <w:r w:rsidRPr="00460DB1">
        <w:rPr>
          <w:rFonts w:eastAsia="仿宋_GB2312"/>
          <w:bCs/>
          <w:color w:val="000000"/>
          <w:sz w:val="32"/>
          <w:szCs w:val="32"/>
        </w:rPr>
        <w:t>基因突变检测试剂说明书编写应重点关注以下内容。</w:t>
      </w:r>
    </w:p>
    <w:p w:rsidR="00451AC3" w:rsidRPr="00460DB1" w:rsidRDefault="009F29AF" w:rsidP="00460DB1">
      <w:pPr>
        <w:widowControl/>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1.</w:t>
      </w:r>
      <w:r w:rsidRPr="00460DB1">
        <w:rPr>
          <w:rFonts w:eastAsia="仿宋_GB2312"/>
          <w:bCs/>
          <w:color w:val="000000"/>
          <w:sz w:val="32"/>
          <w:szCs w:val="32"/>
        </w:rPr>
        <w:t>【预期用途】应至少包括以下几部分内容：</w:t>
      </w:r>
    </w:p>
    <w:p w:rsidR="00451AC3" w:rsidRPr="00460DB1" w:rsidRDefault="009F29AF" w:rsidP="00460DB1">
      <w:pPr>
        <w:overflowPunct w:val="0"/>
        <w:adjustRightInd w:val="0"/>
        <w:snapToGrid w:val="0"/>
        <w:spacing w:line="520" w:lineRule="exact"/>
        <w:ind w:firstLineChars="200" w:firstLine="640"/>
        <w:rPr>
          <w:rFonts w:eastAsia="仿宋_GB2312"/>
          <w:color w:val="000000"/>
          <w:kern w:val="0"/>
          <w:sz w:val="32"/>
          <w:szCs w:val="32"/>
        </w:rPr>
      </w:pPr>
      <w:r w:rsidRPr="00460DB1">
        <w:rPr>
          <w:rFonts w:eastAsia="仿宋_GB2312"/>
          <w:bCs/>
          <w:color w:val="000000"/>
          <w:sz w:val="32"/>
          <w:szCs w:val="32"/>
        </w:rPr>
        <w:t>1.1</w:t>
      </w:r>
      <w:r w:rsidRPr="00460DB1">
        <w:rPr>
          <w:rFonts w:eastAsia="仿宋_GB2312"/>
          <w:bCs/>
          <w:color w:val="000000"/>
          <w:sz w:val="32"/>
          <w:szCs w:val="32"/>
        </w:rPr>
        <w:t>试剂盒用于</w:t>
      </w:r>
      <w:r w:rsidRPr="00460DB1">
        <w:rPr>
          <w:rFonts w:eastAsia="仿宋_GB2312"/>
          <w:color w:val="000000"/>
          <w:kern w:val="0"/>
          <w:sz w:val="32"/>
          <w:szCs w:val="32"/>
        </w:rPr>
        <w:t>体外定</w:t>
      </w:r>
      <w:r w:rsidRPr="00460DB1">
        <w:rPr>
          <w:rFonts w:eastAsia="仿宋_GB2312"/>
          <w:bCs/>
          <w:color w:val="000000"/>
          <w:sz w:val="32"/>
          <w:szCs w:val="32"/>
        </w:rPr>
        <w:t>性检测结直肠癌患者经</w:t>
      </w:r>
      <w:r w:rsidRPr="00460DB1">
        <w:rPr>
          <w:rFonts w:eastAsia="仿宋_GB2312"/>
          <w:bCs/>
          <w:color w:val="000000"/>
          <w:sz w:val="32"/>
          <w:szCs w:val="32"/>
        </w:rPr>
        <w:t>10%</w:t>
      </w:r>
      <w:r w:rsidRPr="00460DB1">
        <w:rPr>
          <w:rFonts w:eastAsia="仿宋_GB2312"/>
          <w:bCs/>
          <w:color w:val="000000"/>
          <w:sz w:val="32"/>
          <w:szCs w:val="32"/>
        </w:rPr>
        <w:t>中性福尔马林固定石蜡包埋（</w:t>
      </w:r>
      <w:r w:rsidRPr="00460DB1">
        <w:rPr>
          <w:rFonts w:eastAsia="仿宋_GB2312"/>
          <w:bCs/>
          <w:color w:val="000000"/>
          <w:sz w:val="32"/>
          <w:szCs w:val="32"/>
        </w:rPr>
        <w:t>FFPE</w:t>
      </w:r>
      <w:r w:rsidRPr="00460DB1">
        <w:rPr>
          <w:rFonts w:eastAsia="仿宋_GB2312"/>
          <w:bCs/>
          <w:color w:val="000000"/>
          <w:sz w:val="32"/>
          <w:szCs w:val="32"/>
        </w:rPr>
        <w:t>）样本中</w:t>
      </w:r>
      <w:r w:rsidRPr="00460DB1">
        <w:rPr>
          <w:rFonts w:eastAsia="仿宋_GB2312"/>
          <w:bCs/>
          <w:color w:val="000000"/>
          <w:sz w:val="32"/>
          <w:szCs w:val="32"/>
        </w:rPr>
        <w:t>KRAS</w:t>
      </w:r>
      <w:r w:rsidRPr="00460DB1">
        <w:rPr>
          <w:rFonts w:eastAsia="仿宋_GB2312"/>
          <w:bCs/>
          <w:color w:val="000000"/>
          <w:sz w:val="32"/>
          <w:szCs w:val="32"/>
        </w:rPr>
        <w:t>基因第</w:t>
      </w:r>
      <w:r w:rsidRPr="00460DB1">
        <w:rPr>
          <w:rFonts w:eastAsia="仿宋_GB2312"/>
          <w:bCs/>
          <w:color w:val="000000"/>
          <w:sz w:val="32"/>
          <w:szCs w:val="32"/>
        </w:rPr>
        <w:t>X</w:t>
      </w:r>
      <w:r w:rsidRPr="00460DB1">
        <w:rPr>
          <w:rFonts w:eastAsia="仿宋_GB2312"/>
          <w:bCs/>
          <w:color w:val="000000"/>
          <w:sz w:val="32"/>
          <w:szCs w:val="32"/>
        </w:rPr>
        <w:t>号外显子</w:t>
      </w:r>
      <w:r w:rsidRPr="00460DB1">
        <w:rPr>
          <w:rFonts w:eastAsia="仿宋_GB2312"/>
          <w:bCs/>
          <w:color w:val="000000"/>
          <w:sz w:val="32"/>
          <w:szCs w:val="32"/>
        </w:rPr>
        <w:t>X</w:t>
      </w:r>
      <w:r w:rsidRPr="00460DB1">
        <w:rPr>
          <w:rFonts w:eastAsia="仿宋_GB2312"/>
          <w:bCs/>
          <w:color w:val="000000"/>
          <w:sz w:val="32"/>
          <w:szCs w:val="32"/>
        </w:rPr>
        <w:lastRenderedPageBreak/>
        <w:t>密码子的</w:t>
      </w:r>
      <w:r w:rsidRPr="00460DB1">
        <w:rPr>
          <w:rFonts w:eastAsia="仿宋_GB2312"/>
          <w:bCs/>
          <w:color w:val="000000"/>
          <w:sz w:val="32"/>
          <w:szCs w:val="32"/>
        </w:rPr>
        <w:t>X</w:t>
      </w:r>
      <w:r w:rsidRPr="00460DB1">
        <w:rPr>
          <w:rFonts w:eastAsia="仿宋_GB2312"/>
          <w:bCs/>
          <w:color w:val="000000"/>
          <w:sz w:val="32"/>
          <w:szCs w:val="32"/>
        </w:rPr>
        <w:t>个突变位点（明确突变型别）。用于</w:t>
      </w:r>
      <w:r w:rsidRPr="00460DB1">
        <w:rPr>
          <w:rFonts w:eastAsia="仿宋_GB2312"/>
          <w:bCs/>
          <w:color w:val="000000"/>
          <w:sz w:val="32"/>
          <w:szCs w:val="32"/>
        </w:rPr>
        <w:t>XX</w:t>
      </w:r>
      <w:r w:rsidRPr="00460DB1">
        <w:rPr>
          <w:rFonts w:eastAsia="仿宋_GB2312"/>
          <w:bCs/>
          <w:color w:val="000000"/>
          <w:sz w:val="32"/>
          <w:szCs w:val="32"/>
        </w:rPr>
        <w:t>药物的伴随诊断。</w:t>
      </w:r>
    </w:p>
    <w:p w:rsidR="00451AC3" w:rsidRPr="00460DB1" w:rsidRDefault="009F29AF" w:rsidP="00460DB1">
      <w:pPr>
        <w:overflowPunct w:val="0"/>
        <w:adjustRightInd w:val="0"/>
        <w:snapToGrid w:val="0"/>
        <w:spacing w:line="520" w:lineRule="exact"/>
        <w:ind w:firstLineChars="200" w:firstLine="640"/>
        <w:rPr>
          <w:rFonts w:eastAsia="仿宋_GB2312"/>
          <w:sz w:val="32"/>
          <w:szCs w:val="32"/>
        </w:rPr>
      </w:pPr>
      <w:r w:rsidRPr="00460DB1">
        <w:rPr>
          <w:rFonts w:eastAsia="仿宋_GB2312"/>
          <w:sz w:val="32"/>
          <w:szCs w:val="32"/>
        </w:rPr>
        <w:t>1.2</w:t>
      </w:r>
      <w:r w:rsidRPr="00460DB1">
        <w:rPr>
          <w:rFonts w:eastAsia="仿宋_GB2312"/>
          <w:sz w:val="32"/>
          <w:szCs w:val="32"/>
        </w:rPr>
        <w:t>建议列表表述</w:t>
      </w:r>
      <w:r w:rsidRPr="00460DB1">
        <w:rPr>
          <w:rFonts w:eastAsia="仿宋_GB2312"/>
          <w:color w:val="000000"/>
          <w:kern w:val="0"/>
          <w:sz w:val="32"/>
          <w:szCs w:val="32"/>
        </w:rPr>
        <w:t>人</w:t>
      </w:r>
      <w:r w:rsidRPr="00460DB1">
        <w:rPr>
          <w:rFonts w:eastAsia="仿宋_GB2312"/>
          <w:color w:val="000000"/>
          <w:kern w:val="0"/>
          <w:sz w:val="32"/>
          <w:szCs w:val="32"/>
        </w:rPr>
        <w:t>KRAS</w:t>
      </w:r>
      <w:r w:rsidRPr="00460DB1">
        <w:rPr>
          <w:rFonts w:eastAsia="仿宋_GB2312"/>
          <w:sz w:val="32"/>
          <w:szCs w:val="32"/>
        </w:rPr>
        <w:t>多个基因突变型别，列明不同外显子中基因突变的排列顺序。至少明确产品外显子、突变位点及突变位点临床意义。</w:t>
      </w:r>
    </w:p>
    <w:p w:rsidR="00451AC3" w:rsidRPr="00460DB1" w:rsidRDefault="009F29AF" w:rsidP="00460DB1">
      <w:pPr>
        <w:overflowPunct w:val="0"/>
        <w:adjustRightInd w:val="0"/>
        <w:snapToGrid w:val="0"/>
        <w:spacing w:line="520" w:lineRule="exact"/>
        <w:ind w:firstLineChars="200" w:firstLine="640"/>
        <w:rPr>
          <w:rFonts w:eastAsia="仿宋_GB2312"/>
          <w:sz w:val="32"/>
          <w:szCs w:val="32"/>
        </w:rPr>
      </w:pPr>
      <w:r w:rsidRPr="00460DB1">
        <w:rPr>
          <w:rFonts w:eastAsia="仿宋_GB2312"/>
          <w:sz w:val="32"/>
          <w:szCs w:val="32"/>
        </w:rPr>
        <w:t>1.3</w:t>
      </w:r>
      <w:r w:rsidRPr="00460DB1">
        <w:rPr>
          <w:rFonts w:eastAsia="仿宋_GB2312"/>
          <w:color w:val="000000"/>
          <w:kern w:val="0"/>
          <w:sz w:val="32"/>
          <w:szCs w:val="32"/>
        </w:rPr>
        <w:t>人</w:t>
      </w:r>
      <w:r w:rsidRPr="00460DB1">
        <w:rPr>
          <w:rFonts w:eastAsia="仿宋_GB2312"/>
          <w:color w:val="000000"/>
          <w:kern w:val="0"/>
          <w:sz w:val="32"/>
          <w:szCs w:val="32"/>
        </w:rPr>
        <w:t>KRAS</w:t>
      </w:r>
      <w:r w:rsidRPr="00460DB1">
        <w:rPr>
          <w:rFonts w:eastAsia="仿宋_GB2312"/>
          <w:sz w:val="32"/>
          <w:szCs w:val="32"/>
        </w:rPr>
        <w:t>基因突变检测的目标人群：</w:t>
      </w:r>
    </w:p>
    <w:p w:rsidR="00451AC3" w:rsidRPr="00460DB1" w:rsidRDefault="009F29AF" w:rsidP="00460DB1">
      <w:pPr>
        <w:overflowPunct w:val="0"/>
        <w:adjustRightInd w:val="0"/>
        <w:snapToGrid w:val="0"/>
        <w:spacing w:line="520" w:lineRule="exact"/>
        <w:ind w:firstLineChars="200" w:firstLine="640"/>
        <w:rPr>
          <w:rFonts w:eastAsia="仿宋_GB2312"/>
          <w:sz w:val="32"/>
          <w:szCs w:val="32"/>
        </w:rPr>
      </w:pPr>
      <w:r w:rsidRPr="00460DB1">
        <w:rPr>
          <w:rFonts w:eastAsia="仿宋_GB2312"/>
          <w:sz w:val="32"/>
          <w:szCs w:val="32"/>
        </w:rPr>
        <w:t>1.4</w:t>
      </w:r>
      <w:r w:rsidRPr="00460DB1">
        <w:rPr>
          <w:rFonts w:eastAsia="仿宋_GB2312"/>
          <w:sz w:val="32"/>
          <w:szCs w:val="32"/>
        </w:rPr>
        <w:t>申报试剂应伴随特定肿瘤治疗药物联合进行临床试验研究，并证明两者伴随使用具有显著的临床治疗意义，说明书中需明确具体药物通用名称，并简要介绍相关的临床患者受益情况。</w:t>
      </w:r>
    </w:p>
    <w:p w:rsidR="00451AC3" w:rsidRPr="00460DB1" w:rsidRDefault="009F29AF" w:rsidP="00460DB1">
      <w:pPr>
        <w:overflowPunct w:val="0"/>
        <w:adjustRightInd w:val="0"/>
        <w:snapToGrid w:val="0"/>
        <w:spacing w:line="520" w:lineRule="exact"/>
        <w:ind w:firstLineChars="200" w:firstLine="640"/>
        <w:rPr>
          <w:rFonts w:eastAsia="仿宋_GB2312"/>
          <w:sz w:val="32"/>
          <w:szCs w:val="32"/>
        </w:rPr>
      </w:pPr>
      <w:r w:rsidRPr="00460DB1">
        <w:rPr>
          <w:rFonts w:eastAsia="仿宋_GB2312"/>
          <w:sz w:val="32"/>
          <w:szCs w:val="32"/>
        </w:rPr>
        <w:t>1.5</w:t>
      </w:r>
      <w:r w:rsidRPr="00460DB1">
        <w:rPr>
          <w:rFonts w:eastAsia="仿宋_GB2312"/>
          <w:sz w:val="32"/>
          <w:szCs w:val="32"/>
        </w:rPr>
        <w:t>应介绍相关的临床背景，包括相关适用人群特征、肿瘤的组织类型、适用的样本类型、待测靶基因序列的特征及选择依据、靶基因及其表达蛋白在恶性肿瘤发生、发展过程中可能起到的作用、相关药物或其他治疗技术及其作用机理、与待测突变位点可能存在的关系等。</w:t>
      </w:r>
    </w:p>
    <w:p w:rsidR="00451AC3" w:rsidRPr="00460DB1" w:rsidRDefault="009F29AF" w:rsidP="00460DB1">
      <w:pPr>
        <w:widowControl/>
        <w:adjustRightInd w:val="0"/>
        <w:snapToGrid w:val="0"/>
        <w:spacing w:line="520" w:lineRule="exact"/>
        <w:ind w:firstLineChars="200" w:firstLine="640"/>
        <w:rPr>
          <w:rFonts w:eastAsia="仿宋_GB2312"/>
          <w:sz w:val="32"/>
          <w:szCs w:val="32"/>
        </w:rPr>
      </w:pPr>
      <w:r w:rsidRPr="00460DB1">
        <w:rPr>
          <w:rFonts w:eastAsia="仿宋_GB2312"/>
          <w:sz w:val="32"/>
          <w:szCs w:val="32"/>
        </w:rPr>
        <w:t>1.6</w:t>
      </w:r>
      <w:r w:rsidRPr="00460DB1">
        <w:rPr>
          <w:rFonts w:eastAsia="仿宋_GB2312"/>
          <w:sz w:val="32"/>
          <w:szCs w:val="32"/>
        </w:rPr>
        <w:t>明确说明该试剂盒仅用于对结直肠癌患者靶基因序列的检测，其检测结果仅供临床参考，不应作为患者个体化治疗的唯一依据，临床医生应结合患者病情、药物</w:t>
      </w:r>
      <w:r w:rsidRPr="00460DB1">
        <w:rPr>
          <w:rFonts w:eastAsia="仿宋_GB2312"/>
          <w:color w:val="000000"/>
          <w:sz w:val="32"/>
          <w:szCs w:val="32"/>
        </w:rPr>
        <w:t>适应症</w:t>
      </w:r>
      <w:r w:rsidRPr="00460DB1">
        <w:rPr>
          <w:rFonts w:eastAsia="仿宋_GB2312"/>
          <w:sz w:val="32"/>
          <w:szCs w:val="32"/>
        </w:rPr>
        <w:t>、治疗反应及其他实验室检测指标等因素对检测结果进行综合判断。</w:t>
      </w:r>
    </w:p>
    <w:p w:rsidR="00451AC3" w:rsidRPr="00460DB1" w:rsidRDefault="009F29AF" w:rsidP="00460DB1">
      <w:pPr>
        <w:widowControl/>
        <w:adjustRightInd w:val="0"/>
        <w:snapToGrid w:val="0"/>
        <w:spacing w:line="520" w:lineRule="exact"/>
        <w:ind w:firstLineChars="200" w:firstLine="640"/>
        <w:rPr>
          <w:rFonts w:eastAsia="仿宋_GB2312"/>
          <w:color w:val="000000"/>
          <w:sz w:val="32"/>
          <w:szCs w:val="32"/>
        </w:rPr>
      </w:pPr>
      <w:r w:rsidRPr="00460DB1">
        <w:rPr>
          <w:rFonts w:eastAsia="仿宋_GB2312"/>
          <w:bCs/>
          <w:color w:val="000000"/>
          <w:sz w:val="32"/>
          <w:szCs w:val="32"/>
        </w:rPr>
        <w:t>2.</w:t>
      </w:r>
      <w:r w:rsidRPr="00460DB1">
        <w:rPr>
          <w:rFonts w:eastAsia="仿宋_GB2312"/>
          <w:color w:val="000000"/>
          <w:sz w:val="32"/>
          <w:szCs w:val="32"/>
        </w:rPr>
        <w:t>【检验原理】</w:t>
      </w:r>
    </w:p>
    <w:p w:rsidR="00451AC3" w:rsidRPr="00460DB1" w:rsidRDefault="009F29AF" w:rsidP="00460DB1">
      <w:pPr>
        <w:overflowPunct w:val="0"/>
        <w:adjustRightInd w:val="0"/>
        <w:snapToGrid w:val="0"/>
        <w:spacing w:line="520" w:lineRule="exact"/>
        <w:ind w:firstLineChars="200" w:firstLine="640"/>
        <w:rPr>
          <w:rFonts w:eastAsia="仿宋_GB2312"/>
          <w:color w:val="000000"/>
          <w:sz w:val="32"/>
          <w:szCs w:val="32"/>
        </w:rPr>
      </w:pPr>
      <w:r w:rsidRPr="00460DB1">
        <w:rPr>
          <w:rFonts w:eastAsia="仿宋_GB2312"/>
          <w:color w:val="000000"/>
          <w:sz w:val="32"/>
          <w:szCs w:val="32"/>
        </w:rPr>
        <w:t>2.1</w:t>
      </w:r>
      <w:r w:rsidRPr="00460DB1">
        <w:rPr>
          <w:rFonts w:eastAsia="仿宋_GB2312"/>
          <w:color w:val="000000"/>
          <w:sz w:val="32"/>
          <w:szCs w:val="32"/>
        </w:rPr>
        <w:t>对试剂盒检测能够覆盖的所有突变位点或突变类型、内标基因进行详细描述（基因座位、突变类型及相关特征等），对引物及探针设计、不同样品反应管组合、质控品设置及荧光信号检测原理等进行逐项介绍。</w:t>
      </w:r>
    </w:p>
    <w:p w:rsidR="00451AC3" w:rsidRPr="00460DB1" w:rsidRDefault="009F29AF" w:rsidP="00460DB1">
      <w:pPr>
        <w:overflowPunct w:val="0"/>
        <w:adjustRightInd w:val="0"/>
        <w:snapToGrid w:val="0"/>
        <w:spacing w:line="520" w:lineRule="exact"/>
        <w:ind w:firstLineChars="200" w:firstLine="640"/>
        <w:rPr>
          <w:rFonts w:eastAsia="仿宋_GB2312"/>
          <w:color w:val="000000"/>
          <w:sz w:val="32"/>
          <w:szCs w:val="32"/>
        </w:rPr>
      </w:pPr>
      <w:r w:rsidRPr="00460DB1">
        <w:rPr>
          <w:rFonts w:eastAsia="仿宋_GB2312"/>
          <w:color w:val="000000"/>
          <w:sz w:val="32"/>
          <w:szCs w:val="32"/>
        </w:rPr>
        <w:t>2.2</w:t>
      </w:r>
      <w:r w:rsidRPr="00460DB1">
        <w:rPr>
          <w:rFonts w:eastAsia="仿宋_GB2312"/>
          <w:color w:val="000000"/>
          <w:sz w:val="32"/>
          <w:szCs w:val="32"/>
        </w:rPr>
        <w:t>详细介绍核酸分离</w:t>
      </w:r>
      <w:r w:rsidRPr="00460DB1">
        <w:rPr>
          <w:rFonts w:eastAsia="仿宋_GB2312"/>
          <w:color w:val="000000"/>
          <w:sz w:val="32"/>
          <w:szCs w:val="32"/>
        </w:rPr>
        <w:t>/</w:t>
      </w:r>
      <w:r w:rsidRPr="00460DB1">
        <w:rPr>
          <w:rFonts w:eastAsia="仿宋_GB2312"/>
          <w:color w:val="000000"/>
          <w:sz w:val="32"/>
          <w:szCs w:val="32"/>
        </w:rPr>
        <w:t>纯化方法、原理等（如适用）。</w:t>
      </w:r>
    </w:p>
    <w:p w:rsidR="00451AC3" w:rsidRPr="00460DB1" w:rsidRDefault="009F29AF" w:rsidP="00460DB1">
      <w:pPr>
        <w:overflowPunct w:val="0"/>
        <w:adjustRightInd w:val="0"/>
        <w:snapToGrid w:val="0"/>
        <w:spacing w:line="520" w:lineRule="exact"/>
        <w:ind w:firstLineChars="200" w:firstLine="640"/>
        <w:rPr>
          <w:rFonts w:eastAsia="仿宋_GB2312"/>
          <w:color w:val="000000"/>
          <w:sz w:val="32"/>
          <w:szCs w:val="32"/>
        </w:rPr>
      </w:pPr>
      <w:r w:rsidRPr="00460DB1">
        <w:rPr>
          <w:rFonts w:eastAsia="仿宋_GB2312"/>
          <w:color w:val="000000"/>
          <w:sz w:val="32"/>
          <w:szCs w:val="32"/>
        </w:rPr>
        <w:t>2.3</w:t>
      </w:r>
      <w:r w:rsidRPr="00460DB1">
        <w:rPr>
          <w:rFonts w:eastAsia="仿宋_GB2312"/>
          <w:color w:val="000000"/>
          <w:sz w:val="32"/>
          <w:szCs w:val="32"/>
        </w:rPr>
        <w:t>如反应体系中添加了相关的防污染组分（如</w:t>
      </w:r>
      <w:r w:rsidRPr="00460DB1">
        <w:rPr>
          <w:rFonts w:eastAsia="仿宋_GB2312"/>
          <w:color w:val="000000"/>
          <w:sz w:val="32"/>
          <w:szCs w:val="32"/>
        </w:rPr>
        <w:t>UDG/UNG</w:t>
      </w:r>
      <w:r w:rsidRPr="00460DB1">
        <w:rPr>
          <w:rFonts w:eastAsia="仿宋_GB2312"/>
          <w:color w:val="000000"/>
          <w:sz w:val="32"/>
          <w:szCs w:val="32"/>
        </w:rPr>
        <w:t>等），也应对其作用机理作适当介绍。</w:t>
      </w:r>
    </w:p>
    <w:p w:rsidR="00451AC3" w:rsidRPr="00460DB1" w:rsidRDefault="009F29AF" w:rsidP="00460DB1">
      <w:pPr>
        <w:widowControl/>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lastRenderedPageBreak/>
        <w:t>3.</w:t>
      </w:r>
      <w:r w:rsidRPr="00460DB1">
        <w:rPr>
          <w:rFonts w:eastAsia="仿宋_GB2312"/>
          <w:bCs/>
          <w:color w:val="000000"/>
          <w:sz w:val="32"/>
          <w:szCs w:val="32"/>
        </w:rPr>
        <w:t>【样本要求】重点明确以下内容：</w:t>
      </w:r>
    </w:p>
    <w:p w:rsidR="00451AC3" w:rsidRPr="00460DB1" w:rsidRDefault="009F29AF" w:rsidP="00460DB1">
      <w:pPr>
        <w:overflowPunct w:val="0"/>
        <w:adjustRightInd w:val="0"/>
        <w:snapToGrid w:val="0"/>
        <w:spacing w:line="520" w:lineRule="exact"/>
        <w:ind w:firstLineChars="200" w:firstLine="640"/>
        <w:rPr>
          <w:rFonts w:eastAsia="仿宋_GB2312"/>
          <w:color w:val="000000"/>
          <w:sz w:val="32"/>
          <w:szCs w:val="32"/>
        </w:rPr>
      </w:pPr>
      <w:r w:rsidRPr="00460DB1">
        <w:rPr>
          <w:rFonts w:eastAsia="仿宋_GB2312"/>
          <w:color w:val="000000"/>
          <w:sz w:val="32"/>
          <w:szCs w:val="32"/>
        </w:rPr>
        <w:t>样本的采集、处理、运送和保存：明确对适用样本的取材、固定、包埋的具体要求，可参考国内相关标准操作性文件内容进行编写或引用。明确样本中</w:t>
      </w:r>
      <w:r w:rsidRPr="00460DB1">
        <w:rPr>
          <w:rFonts w:eastAsia="仿宋_GB2312"/>
          <w:sz w:val="32"/>
          <w:szCs w:val="32"/>
        </w:rPr>
        <w:t>肿瘤细胞含量</w:t>
      </w:r>
      <w:r w:rsidRPr="00460DB1">
        <w:rPr>
          <w:rFonts w:eastAsia="仿宋_GB2312"/>
          <w:color w:val="000000"/>
          <w:sz w:val="32"/>
          <w:szCs w:val="32"/>
        </w:rPr>
        <w:t>的要求，明确低于声称肿瘤细胞含量样本的处理方式。明确样本核酸提取</w:t>
      </w:r>
      <w:r w:rsidRPr="00460DB1">
        <w:rPr>
          <w:rFonts w:eastAsia="仿宋_GB2312"/>
          <w:color w:val="000000"/>
          <w:sz w:val="32"/>
          <w:szCs w:val="32"/>
        </w:rPr>
        <w:t>/</w:t>
      </w:r>
      <w:r w:rsidRPr="00460DB1">
        <w:rPr>
          <w:rFonts w:eastAsia="仿宋_GB2312"/>
          <w:color w:val="000000"/>
          <w:sz w:val="32"/>
          <w:szCs w:val="32"/>
        </w:rPr>
        <w:t>纯化前的预处理过程、保存条件及期限、运输条件等。</w:t>
      </w:r>
    </w:p>
    <w:p w:rsidR="00451AC3" w:rsidRPr="00460DB1" w:rsidRDefault="009F29AF" w:rsidP="00460DB1">
      <w:pPr>
        <w:overflowPunct w:val="0"/>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4.</w:t>
      </w:r>
      <w:r w:rsidRPr="00460DB1">
        <w:rPr>
          <w:rFonts w:eastAsia="仿宋_GB2312"/>
          <w:bCs/>
          <w:color w:val="000000"/>
          <w:sz w:val="32"/>
          <w:szCs w:val="32"/>
        </w:rPr>
        <w:t>【检验方法】详细说明实验操作的各个步骤，包括：</w:t>
      </w:r>
    </w:p>
    <w:p w:rsidR="00451AC3" w:rsidRPr="00460DB1" w:rsidRDefault="009F29AF" w:rsidP="00460DB1">
      <w:pPr>
        <w:overflowPunct w:val="0"/>
        <w:adjustRightInd w:val="0"/>
        <w:snapToGrid w:val="0"/>
        <w:spacing w:line="520" w:lineRule="exact"/>
        <w:ind w:firstLineChars="200" w:firstLine="640"/>
        <w:rPr>
          <w:rFonts w:eastAsia="仿宋_GB2312"/>
          <w:color w:val="000000"/>
          <w:sz w:val="32"/>
          <w:szCs w:val="32"/>
        </w:rPr>
      </w:pPr>
      <w:r w:rsidRPr="00460DB1">
        <w:rPr>
          <w:rFonts w:eastAsia="仿宋_GB2312"/>
          <w:color w:val="000000"/>
          <w:sz w:val="32"/>
          <w:szCs w:val="32"/>
        </w:rPr>
        <w:t>详细说明实验操作的各个步骤，包括：</w:t>
      </w:r>
    </w:p>
    <w:p w:rsidR="00451AC3" w:rsidRPr="00460DB1" w:rsidRDefault="009F29AF" w:rsidP="00460DB1">
      <w:pPr>
        <w:overflowPunct w:val="0"/>
        <w:adjustRightInd w:val="0"/>
        <w:snapToGrid w:val="0"/>
        <w:spacing w:line="520" w:lineRule="exact"/>
        <w:ind w:firstLineChars="200" w:firstLine="640"/>
        <w:rPr>
          <w:rFonts w:eastAsia="仿宋_GB2312"/>
          <w:color w:val="000000"/>
          <w:sz w:val="32"/>
          <w:szCs w:val="32"/>
        </w:rPr>
      </w:pPr>
      <w:r w:rsidRPr="00460DB1">
        <w:rPr>
          <w:rFonts w:eastAsia="仿宋_GB2312"/>
          <w:color w:val="000000"/>
          <w:sz w:val="32"/>
          <w:szCs w:val="32"/>
        </w:rPr>
        <w:t>4.1 FFPE</w:t>
      </w:r>
      <w:r w:rsidRPr="00460DB1">
        <w:rPr>
          <w:rFonts w:eastAsia="仿宋_GB2312"/>
          <w:color w:val="000000"/>
          <w:sz w:val="32"/>
          <w:szCs w:val="32"/>
        </w:rPr>
        <w:t>组织样本脱蜡过程，应分别描述封固于载玻片与未封固于载玻片的脱蜡步骤（如适用）。</w:t>
      </w:r>
    </w:p>
    <w:p w:rsidR="00451AC3" w:rsidRPr="00460DB1" w:rsidRDefault="009F29AF" w:rsidP="00460DB1">
      <w:pPr>
        <w:overflowPunct w:val="0"/>
        <w:adjustRightInd w:val="0"/>
        <w:snapToGrid w:val="0"/>
        <w:spacing w:line="520" w:lineRule="exact"/>
        <w:ind w:firstLineChars="200" w:firstLine="640"/>
        <w:rPr>
          <w:rFonts w:eastAsia="仿宋_GB2312"/>
          <w:color w:val="000000"/>
          <w:sz w:val="32"/>
          <w:szCs w:val="32"/>
        </w:rPr>
      </w:pPr>
      <w:r w:rsidRPr="00460DB1">
        <w:rPr>
          <w:rFonts w:eastAsia="仿宋_GB2312"/>
          <w:color w:val="000000"/>
          <w:sz w:val="32"/>
          <w:szCs w:val="32"/>
        </w:rPr>
        <w:t>4.2</w:t>
      </w:r>
      <w:r w:rsidRPr="00460DB1">
        <w:rPr>
          <w:rFonts w:eastAsia="仿宋_GB2312"/>
          <w:color w:val="000000"/>
          <w:sz w:val="32"/>
          <w:szCs w:val="32"/>
        </w:rPr>
        <w:t>试剂配制方法、注意事项。</w:t>
      </w:r>
    </w:p>
    <w:p w:rsidR="00451AC3" w:rsidRPr="00460DB1" w:rsidRDefault="009F29AF" w:rsidP="00460DB1">
      <w:pPr>
        <w:overflowPunct w:val="0"/>
        <w:adjustRightInd w:val="0"/>
        <w:snapToGrid w:val="0"/>
        <w:spacing w:line="520" w:lineRule="exact"/>
        <w:ind w:firstLineChars="200" w:firstLine="640"/>
        <w:rPr>
          <w:rFonts w:eastAsia="仿宋_GB2312"/>
          <w:color w:val="000000"/>
          <w:sz w:val="32"/>
          <w:szCs w:val="32"/>
        </w:rPr>
      </w:pPr>
      <w:r w:rsidRPr="00460DB1">
        <w:rPr>
          <w:rFonts w:eastAsia="仿宋_GB2312"/>
          <w:color w:val="000000"/>
          <w:sz w:val="32"/>
          <w:szCs w:val="32"/>
        </w:rPr>
        <w:t>4.3</w:t>
      </w:r>
      <w:r w:rsidRPr="00460DB1">
        <w:rPr>
          <w:rFonts w:eastAsia="仿宋_GB2312"/>
          <w:color w:val="000000"/>
          <w:sz w:val="32"/>
          <w:szCs w:val="32"/>
        </w:rPr>
        <w:t>核酸分离</w:t>
      </w:r>
      <w:r w:rsidRPr="00460DB1">
        <w:rPr>
          <w:rFonts w:eastAsia="仿宋_GB2312"/>
          <w:color w:val="000000"/>
          <w:sz w:val="32"/>
          <w:szCs w:val="32"/>
        </w:rPr>
        <w:t>/</w:t>
      </w:r>
      <w:r w:rsidRPr="00460DB1">
        <w:rPr>
          <w:rFonts w:eastAsia="仿宋_GB2312"/>
          <w:color w:val="000000"/>
          <w:sz w:val="32"/>
          <w:szCs w:val="32"/>
        </w:rPr>
        <w:t>纯化的条件、步骤及注意事项。质控品应参与样本核酸的平行提取，以对核酸分离</w:t>
      </w:r>
      <w:r w:rsidRPr="00460DB1">
        <w:rPr>
          <w:rFonts w:eastAsia="仿宋_GB2312"/>
          <w:color w:val="000000"/>
          <w:sz w:val="32"/>
          <w:szCs w:val="32"/>
        </w:rPr>
        <w:t>/</w:t>
      </w:r>
      <w:r w:rsidRPr="00460DB1">
        <w:rPr>
          <w:rFonts w:eastAsia="仿宋_GB2312"/>
          <w:color w:val="000000"/>
          <w:sz w:val="32"/>
          <w:szCs w:val="32"/>
        </w:rPr>
        <w:t>纯化环节进行合理的质量控制，明确提取核酸的浓度纯度等质量要求。</w:t>
      </w:r>
    </w:p>
    <w:p w:rsidR="00451AC3" w:rsidRPr="00460DB1" w:rsidRDefault="009F29AF" w:rsidP="00460DB1">
      <w:pPr>
        <w:overflowPunct w:val="0"/>
        <w:adjustRightInd w:val="0"/>
        <w:snapToGrid w:val="0"/>
        <w:spacing w:line="520" w:lineRule="exact"/>
        <w:ind w:firstLineChars="200" w:firstLine="640"/>
        <w:rPr>
          <w:rFonts w:eastAsia="仿宋_GB2312"/>
          <w:color w:val="000000"/>
          <w:sz w:val="32"/>
          <w:szCs w:val="32"/>
        </w:rPr>
      </w:pPr>
      <w:r w:rsidRPr="00460DB1">
        <w:rPr>
          <w:rFonts w:eastAsia="仿宋_GB2312"/>
          <w:color w:val="000000"/>
          <w:sz w:val="32"/>
          <w:szCs w:val="32"/>
        </w:rPr>
        <w:t>4.4</w:t>
      </w:r>
      <w:r w:rsidRPr="00460DB1">
        <w:rPr>
          <w:rFonts w:eastAsia="仿宋_GB2312"/>
          <w:color w:val="000000"/>
          <w:sz w:val="32"/>
          <w:szCs w:val="32"/>
        </w:rPr>
        <w:t>扩增反应前准备：各组分加样体积、顺序、相关注意事项等。</w:t>
      </w:r>
    </w:p>
    <w:p w:rsidR="00451AC3" w:rsidRPr="00460DB1" w:rsidRDefault="009F29AF" w:rsidP="00460DB1">
      <w:pPr>
        <w:overflowPunct w:val="0"/>
        <w:adjustRightInd w:val="0"/>
        <w:snapToGrid w:val="0"/>
        <w:spacing w:line="520" w:lineRule="exact"/>
        <w:ind w:firstLineChars="200" w:firstLine="640"/>
        <w:rPr>
          <w:rFonts w:eastAsia="仿宋_GB2312"/>
          <w:color w:val="000000"/>
          <w:sz w:val="32"/>
          <w:szCs w:val="32"/>
        </w:rPr>
      </w:pPr>
      <w:r w:rsidRPr="00460DB1">
        <w:rPr>
          <w:rFonts w:eastAsia="仿宋_GB2312"/>
          <w:color w:val="000000"/>
          <w:sz w:val="32"/>
          <w:szCs w:val="32"/>
        </w:rPr>
        <w:t>4.5 PCR</w:t>
      </w:r>
      <w:r w:rsidRPr="00460DB1">
        <w:rPr>
          <w:rFonts w:eastAsia="仿宋_GB2312"/>
          <w:color w:val="000000"/>
          <w:sz w:val="32"/>
          <w:szCs w:val="32"/>
        </w:rPr>
        <w:t>各阶段的温度、时间设置、循环数设置及相关注意事项。</w:t>
      </w:r>
    </w:p>
    <w:p w:rsidR="00451AC3" w:rsidRPr="00460DB1" w:rsidRDefault="009F29AF" w:rsidP="00460DB1">
      <w:pPr>
        <w:widowControl/>
        <w:adjustRightInd w:val="0"/>
        <w:snapToGrid w:val="0"/>
        <w:spacing w:line="520" w:lineRule="exact"/>
        <w:ind w:firstLineChars="200" w:firstLine="640"/>
        <w:rPr>
          <w:rFonts w:eastAsia="仿宋_GB2312"/>
          <w:color w:val="000000"/>
          <w:sz w:val="32"/>
          <w:szCs w:val="32"/>
        </w:rPr>
      </w:pPr>
      <w:r w:rsidRPr="00460DB1">
        <w:rPr>
          <w:rFonts w:eastAsia="仿宋_GB2312"/>
          <w:color w:val="000000"/>
          <w:sz w:val="32"/>
          <w:szCs w:val="32"/>
        </w:rPr>
        <w:t>4.6</w:t>
      </w:r>
      <w:r w:rsidRPr="00460DB1">
        <w:rPr>
          <w:rFonts w:eastAsia="仿宋_GB2312"/>
          <w:color w:val="000000"/>
          <w:sz w:val="32"/>
          <w:szCs w:val="32"/>
        </w:rPr>
        <w:t>仪器及软件设置：特殊参数，待测基因、内标和质控品的荧光通道选择等。</w:t>
      </w:r>
    </w:p>
    <w:p w:rsidR="00451AC3" w:rsidRPr="00460DB1" w:rsidRDefault="009F29AF" w:rsidP="00460DB1">
      <w:pPr>
        <w:widowControl/>
        <w:adjustRightInd w:val="0"/>
        <w:snapToGrid w:val="0"/>
        <w:spacing w:line="520" w:lineRule="exact"/>
        <w:ind w:firstLineChars="200" w:firstLine="640"/>
        <w:rPr>
          <w:rFonts w:eastAsia="仿宋_GB2312"/>
          <w:bCs/>
          <w:color w:val="000000"/>
          <w:sz w:val="32"/>
          <w:szCs w:val="32"/>
        </w:rPr>
      </w:pPr>
      <w:r w:rsidRPr="00460DB1">
        <w:rPr>
          <w:rFonts w:eastAsia="仿宋_GB2312"/>
          <w:color w:val="000000"/>
          <w:sz w:val="32"/>
          <w:szCs w:val="32"/>
        </w:rPr>
        <w:t>5.</w:t>
      </w:r>
      <w:r w:rsidRPr="00460DB1">
        <w:rPr>
          <w:rFonts w:eastAsia="仿宋_GB2312"/>
          <w:bCs/>
          <w:color w:val="000000"/>
          <w:sz w:val="32"/>
          <w:szCs w:val="32"/>
        </w:rPr>
        <w:t>【检验结果的解释】</w:t>
      </w:r>
    </w:p>
    <w:p w:rsidR="00451AC3" w:rsidRPr="00460DB1" w:rsidRDefault="009F29AF" w:rsidP="00460DB1">
      <w:pPr>
        <w:widowControl/>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结合质控品、内标以及样本管检测结果的</w:t>
      </w:r>
      <w:r w:rsidRPr="00460DB1">
        <w:rPr>
          <w:rFonts w:eastAsia="仿宋_GB2312"/>
          <w:bCs/>
          <w:color w:val="000000"/>
          <w:sz w:val="32"/>
          <w:szCs w:val="32"/>
        </w:rPr>
        <w:t>Ct</w:t>
      </w:r>
      <w:r w:rsidRPr="00460DB1">
        <w:rPr>
          <w:rFonts w:eastAsia="仿宋_GB2312"/>
          <w:bCs/>
          <w:color w:val="000000"/>
          <w:sz w:val="32"/>
          <w:szCs w:val="32"/>
        </w:rPr>
        <w:t>值，以列表的形式对所有可能出现的结果组合及相应的解释进行详述。如存在检测灰区，应详述对于灰区结果的处理方式。</w:t>
      </w:r>
    </w:p>
    <w:p w:rsidR="00451AC3" w:rsidRPr="00460DB1" w:rsidRDefault="009F29AF" w:rsidP="00460DB1">
      <w:pPr>
        <w:widowControl/>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6.</w:t>
      </w:r>
      <w:r w:rsidRPr="00460DB1">
        <w:rPr>
          <w:rFonts w:eastAsia="仿宋_GB2312"/>
          <w:bCs/>
          <w:color w:val="000000"/>
          <w:sz w:val="32"/>
          <w:szCs w:val="32"/>
        </w:rPr>
        <w:t>【检验方法的局限性】</w:t>
      </w:r>
    </w:p>
    <w:p w:rsidR="00451AC3" w:rsidRPr="00460DB1" w:rsidRDefault="009F29AF" w:rsidP="00460DB1">
      <w:pPr>
        <w:overflowPunct w:val="0"/>
        <w:adjustRightInd w:val="0"/>
        <w:snapToGrid w:val="0"/>
        <w:spacing w:line="520" w:lineRule="exact"/>
        <w:ind w:firstLineChars="200" w:firstLine="640"/>
        <w:rPr>
          <w:rFonts w:eastAsia="仿宋_GB2312"/>
          <w:color w:val="000000"/>
          <w:sz w:val="32"/>
          <w:szCs w:val="32"/>
        </w:rPr>
      </w:pPr>
      <w:r w:rsidRPr="00460DB1">
        <w:rPr>
          <w:rFonts w:eastAsia="仿宋_GB2312"/>
          <w:color w:val="000000"/>
          <w:sz w:val="32"/>
          <w:szCs w:val="32"/>
        </w:rPr>
        <w:t>6.1</w:t>
      </w:r>
      <w:r w:rsidRPr="00460DB1">
        <w:rPr>
          <w:rFonts w:eastAsia="仿宋_GB2312"/>
          <w:color w:val="000000"/>
          <w:sz w:val="32"/>
          <w:szCs w:val="32"/>
        </w:rPr>
        <w:t>本试剂盒的检测结果仅供临床参考，对患者个体化治疗</w:t>
      </w:r>
      <w:r w:rsidRPr="00460DB1">
        <w:rPr>
          <w:rFonts w:eastAsia="仿宋_GB2312"/>
          <w:color w:val="000000"/>
          <w:sz w:val="32"/>
          <w:szCs w:val="32"/>
        </w:rPr>
        <w:lastRenderedPageBreak/>
        <w:t>的选择应结合其症状</w:t>
      </w:r>
      <w:r w:rsidRPr="00460DB1">
        <w:rPr>
          <w:rFonts w:eastAsia="仿宋_GB2312"/>
          <w:color w:val="000000"/>
          <w:sz w:val="32"/>
          <w:szCs w:val="32"/>
        </w:rPr>
        <w:t>/</w:t>
      </w:r>
      <w:r w:rsidRPr="00460DB1">
        <w:rPr>
          <w:rFonts w:eastAsia="仿宋_GB2312"/>
          <w:color w:val="000000"/>
          <w:sz w:val="32"/>
          <w:szCs w:val="32"/>
        </w:rPr>
        <w:t>体征、病史、其他实验室检查及治疗反应等情况综合考虑。</w:t>
      </w:r>
    </w:p>
    <w:p w:rsidR="00451AC3" w:rsidRPr="00460DB1" w:rsidRDefault="009F29AF" w:rsidP="00460DB1">
      <w:pPr>
        <w:overflowPunct w:val="0"/>
        <w:adjustRightInd w:val="0"/>
        <w:snapToGrid w:val="0"/>
        <w:spacing w:line="520" w:lineRule="exact"/>
        <w:ind w:firstLineChars="200" w:firstLine="640"/>
        <w:rPr>
          <w:rFonts w:eastAsia="仿宋_GB2312"/>
          <w:color w:val="000000"/>
          <w:sz w:val="32"/>
          <w:szCs w:val="32"/>
        </w:rPr>
      </w:pPr>
      <w:r w:rsidRPr="00460DB1">
        <w:rPr>
          <w:rFonts w:eastAsia="仿宋_GB2312"/>
          <w:color w:val="000000"/>
          <w:sz w:val="32"/>
          <w:szCs w:val="32"/>
        </w:rPr>
        <w:t>6.2</w:t>
      </w:r>
      <w:r w:rsidRPr="00460DB1">
        <w:rPr>
          <w:rFonts w:eastAsia="仿宋_GB2312"/>
          <w:color w:val="000000"/>
          <w:sz w:val="32"/>
          <w:szCs w:val="32"/>
        </w:rPr>
        <w:t>阴性结果不能完全排除靶基因突变的存在，样本中肿瘤细胞过少、核酸过度降解或扩增反应体系中靶基因浓度低于检出限亦可造成阴性结果。</w:t>
      </w:r>
    </w:p>
    <w:p w:rsidR="00451AC3" w:rsidRPr="00460DB1" w:rsidRDefault="009F29AF" w:rsidP="00460DB1">
      <w:pPr>
        <w:overflowPunct w:val="0"/>
        <w:adjustRightInd w:val="0"/>
        <w:snapToGrid w:val="0"/>
        <w:spacing w:line="520" w:lineRule="exact"/>
        <w:ind w:firstLineChars="200" w:firstLine="640"/>
        <w:rPr>
          <w:rFonts w:eastAsia="仿宋_GB2312"/>
          <w:color w:val="000000"/>
          <w:sz w:val="32"/>
          <w:szCs w:val="32"/>
        </w:rPr>
      </w:pPr>
      <w:r w:rsidRPr="00460DB1">
        <w:rPr>
          <w:rFonts w:eastAsia="仿宋_GB2312"/>
          <w:color w:val="000000"/>
          <w:sz w:val="32"/>
          <w:szCs w:val="32"/>
        </w:rPr>
        <w:t>6.3</w:t>
      </w:r>
      <w:r w:rsidRPr="00460DB1">
        <w:rPr>
          <w:rFonts w:eastAsia="仿宋_GB2312"/>
          <w:color w:val="000000"/>
          <w:sz w:val="32"/>
          <w:szCs w:val="32"/>
        </w:rPr>
        <w:t>肿瘤组织（细胞）可能存在较大异质性，不同部位取样可能会得到不同的检测结果。</w:t>
      </w:r>
    </w:p>
    <w:p w:rsidR="00451AC3" w:rsidRPr="00460DB1" w:rsidRDefault="009F29AF" w:rsidP="00460DB1">
      <w:pPr>
        <w:overflowPunct w:val="0"/>
        <w:adjustRightInd w:val="0"/>
        <w:snapToGrid w:val="0"/>
        <w:spacing w:line="520" w:lineRule="exact"/>
        <w:ind w:firstLineChars="200" w:firstLine="640"/>
        <w:rPr>
          <w:rFonts w:eastAsia="仿宋_GB2312"/>
          <w:color w:val="000000"/>
          <w:sz w:val="32"/>
          <w:szCs w:val="32"/>
        </w:rPr>
      </w:pPr>
      <w:r w:rsidRPr="00460DB1">
        <w:rPr>
          <w:rFonts w:eastAsia="仿宋_GB2312"/>
          <w:color w:val="000000"/>
          <w:sz w:val="32"/>
          <w:szCs w:val="32"/>
        </w:rPr>
        <w:t>6.4</w:t>
      </w:r>
      <w:r w:rsidRPr="00460DB1">
        <w:rPr>
          <w:rFonts w:eastAsia="仿宋_GB2312"/>
          <w:color w:val="000000"/>
          <w:sz w:val="32"/>
          <w:szCs w:val="32"/>
        </w:rPr>
        <w:t>不合理的样本采集、转运及处理，以及不当的试验操作和实验环境均有可能导致假阴性或假阳性结果。</w:t>
      </w:r>
    </w:p>
    <w:p w:rsidR="00451AC3" w:rsidRPr="00460DB1" w:rsidRDefault="009F29AF" w:rsidP="00460DB1">
      <w:pPr>
        <w:overflowPunct w:val="0"/>
        <w:adjustRightInd w:val="0"/>
        <w:snapToGrid w:val="0"/>
        <w:spacing w:line="520" w:lineRule="exact"/>
        <w:ind w:firstLineChars="200" w:firstLine="640"/>
        <w:rPr>
          <w:rFonts w:eastAsia="仿宋_GB2312"/>
          <w:color w:val="000000"/>
          <w:sz w:val="32"/>
          <w:szCs w:val="32"/>
        </w:rPr>
      </w:pPr>
      <w:r w:rsidRPr="00460DB1">
        <w:rPr>
          <w:rFonts w:eastAsia="仿宋_GB2312"/>
          <w:color w:val="000000"/>
          <w:sz w:val="32"/>
          <w:szCs w:val="32"/>
        </w:rPr>
        <w:t>6.5</w:t>
      </w:r>
      <w:r w:rsidRPr="00460DB1">
        <w:rPr>
          <w:rFonts w:eastAsia="仿宋_GB2312"/>
          <w:color w:val="000000"/>
          <w:sz w:val="32"/>
          <w:szCs w:val="32"/>
        </w:rPr>
        <w:t>明确该检测仅限于规定的样本类型及检测系统（包括适用机型、核酸分离</w:t>
      </w:r>
      <w:r w:rsidRPr="00460DB1">
        <w:rPr>
          <w:rFonts w:eastAsia="仿宋_GB2312"/>
          <w:color w:val="000000"/>
          <w:sz w:val="32"/>
          <w:szCs w:val="32"/>
        </w:rPr>
        <w:t>/</w:t>
      </w:r>
      <w:r w:rsidRPr="00460DB1">
        <w:rPr>
          <w:rFonts w:eastAsia="仿宋_GB2312"/>
          <w:color w:val="000000"/>
          <w:sz w:val="32"/>
          <w:szCs w:val="32"/>
        </w:rPr>
        <w:t>纯化试剂、检测方法等）。</w:t>
      </w:r>
    </w:p>
    <w:p w:rsidR="00451AC3" w:rsidRPr="00460DB1" w:rsidRDefault="009F29AF" w:rsidP="00460DB1">
      <w:pPr>
        <w:overflowPunct w:val="0"/>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6.6</w:t>
      </w:r>
      <w:r w:rsidRPr="00460DB1">
        <w:rPr>
          <w:rFonts w:eastAsia="仿宋_GB2312"/>
          <w:color w:val="000000"/>
          <w:kern w:val="0"/>
          <w:sz w:val="32"/>
          <w:szCs w:val="32"/>
        </w:rPr>
        <w:t>本检测试剂的检测范围仅包括检测试剂声称的基因突变位点范围，不包括检测试剂盒声明之外的基因突变位点的检测。</w:t>
      </w:r>
    </w:p>
    <w:p w:rsidR="00451AC3" w:rsidRPr="00460DB1" w:rsidRDefault="009F29AF" w:rsidP="00460DB1">
      <w:pPr>
        <w:overflowPunct w:val="0"/>
        <w:adjustRightInd w:val="0"/>
        <w:snapToGrid w:val="0"/>
        <w:spacing w:line="520" w:lineRule="exact"/>
        <w:ind w:firstLineChars="200" w:firstLine="640"/>
        <w:rPr>
          <w:rFonts w:eastAsia="仿宋_GB2312"/>
          <w:color w:val="000000"/>
          <w:kern w:val="0"/>
          <w:sz w:val="32"/>
          <w:szCs w:val="32"/>
        </w:rPr>
      </w:pPr>
      <w:r w:rsidRPr="00460DB1">
        <w:rPr>
          <w:rFonts w:eastAsia="仿宋_GB2312"/>
          <w:color w:val="000000"/>
          <w:kern w:val="0"/>
          <w:sz w:val="32"/>
          <w:szCs w:val="32"/>
        </w:rPr>
        <w:t>6.7</w:t>
      </w:r>
      <w:r w:rsidRPr="00460DB1">
        <w:rPr>
          <w:rFonts w:eastAsia="仿宋_GB2312"/>
          <w:color w:val="000000"/>
          <w:kern w:val="0"/>
          <w:sz w:val="32"/>
          <w:szCs w:val="32"/>
        </w:rPr>
        <w:t>对于西妥昔单抗伴随诊断用途，如检测结果为阴性，也不能说明患者一定能从使用西妥昔单抗中获益，还应结合其他临床诊断结果综合判断。</w:t>
      </w:r>
    </w:p>
    <w:p w:rsidR="00451AC3" w:rsidRPr="00460DB1" w:rsidRDefault="009F29AF" w:rsidP="00460DB1">
      <w:pPr>
        <w:widowControl/>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7.</w:t>
      </w:r>
      <w:r w:rsidRPr="00460DB1">
        <w:rPr>
          <w:rFonts w:eastAsia="仿宋_GB2312"/>
          <w:bCs/>
          <w:color w:val="000000"/>
          <w:sz w:val="32"/>
          <w:szCs w:val="32"/>
        </w:rPr>
        <w:t>【产品性能指标】详述以下性能指标：</w:t>
      </w:r>
    </w:p>
    <w:p w:rsidR="00451AC3" w:rsidRPr="00460DB1" w:rsidRDefault="009F29AF" w:rsidP="00460DB1">
      <w:pPr>
        <w:overflowPunct w:val="0"/>
        <w:adjustRightInd w:val="0"/>
        <w:snapToGrid w:val="0"/>
        <w:spacing w:line="520" w:lineRule="exact"/>
        <w:ind w:firstLineChars="200" w:firstLine="640"/>
        <w:rPr>
          <w:rFonts w:eastAsia="仿宋_GB2312"/>
          <w:sz w:val="32"/>
          <w:szCs w:val="32"/>
        </w:rPr>
      </w:pPr>
      <w:r w:rsidRPr="00460DB1">
        <w:rPr>
          <w:rFonts w:eastAsia="仿宋_GB2312"/>
          <w:color w:val="000000"/>
          <w:sz w:val="32"/>
          <w:szCs w:val="32"/>
        </w:rPr>
        <w:t>7.1</w:t>
      </w:r>
      <w:r w:rsidRPr="00460DB1">
        <w:rPr>
          <w:rFonts w:eastAsia="仿宋_GB2312"/>
          <w:sz w:val="32"/>
          <w:szCs w:val="32"/>
        </w:rPr>
        <w:t>对国家参考品和企业参考品的符合情况。</w:t>
      </w:r>
    </w:p>
    <w:p w:rsidR="00451AC3" w:rsidRPr="00460DB1" w:rsidRDefault="009F29AF" w:rsidP="00460DB1">
      <w:pPr>
        <w:overflowPunct w:val="0"/>
        <w:adjustRightInd w:val="0"/>
        <w:snapToGrid w:val="0"/>
        <w:spacing w:line="520" w:lineRule="exact"/>
        <w:ind w:firstLineChars="200" w:firstLine="640"/>
        <w:rPr>
          <w:rFonts w:eastAsia="仿宋_GB2312"/>
          <w:sz w:val="32"/>
          <w:szCs w:val="32"/>
        </w:rPr>
      </w:pPr>
      <w:r w:rsidRPr="00460DB1">
        <w:rPr>
          <w:rFonts w:eastAsia="仿宋_GB2312"/>
          <w:sz w:val="32"/>
          <w:szCs w:val="32"/>
        </w:rPr>
        <w:t>7.2</w:t>
      </w:r>
      <w:r w:rsidRPr="00460DB1">
        <w:rPr>
          <w:rFonts w:eastAsia="仿宋_GB2312"/>
          <w:sz w:val="32"/>
          <w:szCs w:val="32"/>
        </w:rPr>
        <w:t>检出限：说明在试剂盒规定的检测条件及扩增体系中，试剂盒能够覆盖的所有突变类型的最低检出浓度。重点考虑原始模板中基因突变的百分率和扩增</w:t>
      </w:r>
      <w:r w:rsidRPr="00460DB1">
        <w:rPr>
          <w:rFonts w:eastAsia="仿宋_GB2312"/>
          <w:color w:val="000000"/>
          <w:sz w:val="32"/>
          <w:szCs w:val="32"/>
        </w:rPr>
        <w:t>终</w:t>
      </w:r>
      <w:r w:rsidRPr="00460DB1">
        <w:rPr>
          <w:rFonts w:eastAsia="仿宋_GB2312"/>
          <w:sz w:val="32"/>
          <w:szCs w:val="32"/>
        </w:rPr>
        <w:t>体系中核酸浓度两个因素对检出限的影响，并简要介绍检出限的确定方法。</w:t>
      </w:r>
    </w:p>
    <w:p w:rsidR="00451AC3" w:rsidRPr="00460DB1" w:rsidRDefault="009F29AF" w:rsidP="00460DB1">
      <w:pPr>
        <w:overflowPunct w:val="0"/>
        <w:adjustRightInd w:val="0"/>
        <w:snapToGrid w:val="0"/>
        <w:spacing w:line="520" w:lineRule="exact"/>
        <w:ind w:firstLineChars="200" w:firstLine="640"/>
        <w:rPr>
          <w:rFonts w:eastAsia="仿宋_GB2312"/>
          <w:sz w:val="32"/>
          <w:szCs w:val="32"/>
        </w:rPr>
      </w:pPr>
      <w:r w:rsidRPr="00460DB1">
        <w:rPr>
          <w:rFonts w:eastAsia="仿宋_GB2312"/>
          <w:sz w:val="32"/>
          <w:szCs w:val="32"/>
        </w:rPr>
        <w:t>7.3</w:t>
      </w:r>
      <w:r w:rsidRPr="00460DB1">
        <w:rPr>
          <w:rFonts w:eastAsia="仿宋_GB2312"/>
          <w:sz w:val="32"/>
          <w:szCs w:val="32"/>
        </w:rPr>
        <w:t>对精密度的研究情况进行总结。</w:t>
      </w:r>
    </w:p>
    <w:p w:rsidR="00451AC3" w:rsidRPr="00460DB1" w:rsidRDefault="009F29AF" w:rsidP="00460DB1">
      <w:pPr>
        <w:overflowPunct w:val="0"/>
        <w:adjustRightInd w:val="0"/>
        <w:snapToGrid w:val="0"/>
        <w:spacing w:line="520" w:lineRule="exact"/>
        <w:ind w:firstLineChars="200" w:firstLine="640"/>
        <w:rPr>
          <w:rFonts w:eastAsia="仿宋_GB2312"/>
          <w:sz w:val="32"/>
          <w:szCs w:val="32"/>
        </w:rPr>
      </w:pPr>
      <w:r w:rsidRPr="00460DB1">
        <w:rPr>
          <w:rFonts w:eastAsia="仿宋_GB2312"/>
          <w:sz w:val="32"/>
          <w:szCs w:val="32"/>
        </w:rPr>
        <w:t>7.4</w:t>
      </w:r>
      <w:r w:rsidRPr="00460DB1">
        <w:rPr>
          <w:rFonts w:eastAsia="仿宋_GB2312"/>
          <w:sz w:val="32"/>
          <w:szCs w:val="32"/>
        </w:rPr>
        <w:t>分析特异性</w:t>
      </w:r>
    </w:p>
    <w:p w:rsidR="00451AC3" w:rsidRPr="00460DB1" w:rsidRDefault="009F29AF" w:rsidP="00460DB1">
      <w:pPr>
        <w:overflowPunct w:val="0"/>
        <w:adjustRightInd w:val="0"/>
        <w:snapToGrid w:val="0"/>
        <w:spacing w:line="520" w:lineRule="exact"/>
        <w:ind w:firstLineChars="200" w:firstLine="640"/>
        <w:rPr>
          <w:rFonts w:eastAsia="仿宋_GB2312"/>
          <w:sz w:val="32"/>
          <w:szCs w:val="32"/>
        </w:rPr>
      </w:pPr>
      <w:r w:rsidRPr="00460DB1">
        <w:rPr>
          <w:rFonts w:eastAsia="仿宋_GB2312"/>
          <w:sz w:val="32"/>
          <w:szCs w:val="32"/>
        </w:rPr>
        <w:t>7.4.1</w:t>
      </w:r>
      <w:r w:rsidRPr="00460DB1">
        <w:rPr>
          <w:rFonts w:eastAsia="仿宋_GB2312"/>
          <w:sz w:val="32"/>
          <w:szCs w:val="32"/>
        </w:rPr>
        <w:t>交叉反应：详述交叉反应验证的基因类型、病原体种类，及有</w:t>
      </w:r>
      <w:r w:rsidRPr="00460DB1">
        <w:rPr>
          <w:rFonts w:eastAsia="仿宋_GB2312"/>
          <w:sz w:val="32"/>
          <w:szCs w:val="32"/>
        </w:rPr>
        <w:t>/</w:t>
      </w:r>
      <w:r w:rsidRPr="00460DB1">
        <w:rPr>
          <w:rFonts w:eastAsia="仿宋_GB2312"/>
          <w:sz w:val="32"/>
          <w:szCs w:val="32"/>
        </w:rPr>
        <w:t>无交叉反应的浓度水平。</w:t>
      </w:r>
    </w:p>
    <w:p w:rsidR="00451AC3" w:rsidRPr="00460DB1" w:rsidRDefault="009F29AF" w:rsidP="00460DB1">
      <w:pPr>
        <w:overflowPunct w:val="0"/>
        <w:adjustRightInd w:val="0"/>
        <w:snapToGrid w:val="0"/>
        <w:spacing w:line="520" w:lineRule="exact"/>
        <w:ind w:firstLineChars="200" w:firstLine="640"/>
        <w:rPr>
          <w:rFonts w:eastAsia="仿宋_GB2312"/>
          <w:sz w:val="32"/>
          <w:szCs w:val="32"/>
        </w:rPr>
      </w:pPr>
      <w:r w:rsidRPr="00460DB1">
        <w:rPr>
          <w:rFonts w:eastAsia="仿宋_GB2312"/>
          <w:sz w:val="32"/>
          <w:szCs w:val="32"/>
        </w:rPr>
        <w:lastRenderedPageBreak/>
        <w:t>7.4.2</w:t>
      </w:r>
      <w:r w:rsidRPr="00460DB1">
        <w:rPr>
          <w:rFonts w:eastAsia="仿宋_GB2312"/>
          <w:sz w:val="32"/>
          <w:szCs w:val="32"/>
        </w:rPr>
        <w:t>干扰试验：说明验证的干扰物质种类及有</w:t>
      </w:r>
      <w:r w:rsidRPr="00460DB1">
        <w:rPr>
          <w:rFonts w:eastAsia="仿宋_GB2312"/>
          <w:sz w:val="32"/>
          <w:szCs w:val="32"/>
        </w:rPr>
        <w:t>/</w:t>
      </w:r>
      <w:r w:rsidRPr="00460DB1">
        <w:rPr>
          <w:rFonts w:eastAsia="仿宋_GB2312"/>
          <w:sz w:val="32"/>
          <w:szCs w:val="32"/>
        </w:rPr>
        <w:t>无干扰反应的浓度水平。</w:t>
      </w:r>
    </w:p>
    <w:p w:rsidR="00451AC3" w:rsidRPr="00460DB1" w:rsidRDefault="009F29AF" w:rsidP="00460DB1">
      <w:pPr>
        <w:widowControl/>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7.5</w:t>
      </w:r>
      <w:r w:rsidRPr="00460DB1">
        <w:rPr>
          <w:rFonts w:eastAsia="仿宋_GB2312"/>
          <w:color w:val="000000"/>
          <w:sz w:val="32"/>
          <w:szCs w:val="32"/>
        </w:rPr>
        <w:t>临床试验：简要介绍试验方法、受试者及样本、试验结果和结论等。</w:t>
      </w:r>
    </w:p>
    <w:p w:rsidR="00451AC3" w:rsidRPr="00460DB1" w:rsidRDefault="009F29AF" w:rsidP="00460DB1">
      <w:pPr>
        <w:widowControl/>
        <w:adjustRightInd w:val="0"/>
        <w:snapToGrid w:val="0"/>
        <w:spacing w:line="520" w:lineRule="exact"/>
        <w:ind w:firstLineChars="200" w:firstLine="640"/>
        <w:rPr>
          <w:rFonts w:eastAsia="仿宋_GB2312"/>
          <w:bCs/>
          <w:color w:val="000000"/>
          <w:sz w:val="32"/>
          <w:szCs w:val="32"/>
        </w:rPr>
      </w:pPr>
      <w:r w:rsidRPr="00460DB1">
        <w:rPr>
          <w:rFonts w:eastAsia="仿宋_GB2312"/>
          <w:bCs/>
          <w:color w:val="000000"/>
          <w:sz w:val="32"/>
          <w:szCs w:val="32"/>
        </w:rPr>
        <w:t>8</w:t>
      </w:r>
      <w:r w:rsidRPr="00460DB1">
        <w:rPr>
          <w:rFonts w:eastAsia="仿宋_GB2312"/>
          <w:bCs/>
          <w:color w:val="000000"/>
          <w:sz w:val="32"/>
          <w:szCs w:val="32"/>
        </w:rPr>
        <w:t>【注意事项】</w:t>
      </w:r>
    </w:p>
    <w:p w:rsidR="00451AC3" w:rsidRPr="00460DB1" w:rsidRDefault="009F29AF" w:rsidP="00460DB1">
      <w:pPr>
        <w:adjustRightInd w:val="0"/>
        <w:snapToGrid w:val="0"/>
        <w:spacing w:line="520" w:lineRule="exact"/>
        <w:ind w:firstLineChars="200" w:firstLine="640"/>
        <w:rPr>
          <w:rFonts w:eastAsia="仿宋_GB2312"/>
          <w:sz w:val="32"/>
          <w:szCs w:val="32"/>
        </w:rPr>
      </w:pPr>
      <w:r w:rsidRPr="00460DB1">
        <w:rPr>
          <w:rFonts w:eastAsia="仿宋_GB2312"/>
          <w:sz w:val="32"/>
          <w:szCs w:val="32"/>
        </w:rPr>
        <w:t>8.1</w:t>
      </w:r>
      <w:r w:rsidRPr="00460DB1">
        <w:rPr>
          <w:rFonts w:eastAsia="仿宋_GB2312"/>
          <w:sz w:val="32"/>
          <w:szCs w:val="32"/>
        </w:rPr>
        <w:t>本产品仅用于体外诊断。</w:t>
      </w:r>
    </w:p>
    <w:p w:rsidR="00451AC3" w:rsidRPr="00460DB1" w:rsidRDefault="009F29AF" w:rsidP="00460DB1">
      <w:pPr>
        <w:adjustRightInd w:val="0"/>
        <w:snapToGrid w:val="0"/>
        <w:spacing w:line="520" w:lineRule="exact"/>
        <w:ind w:firstLineChars="200" w:firstLine="640"/>
        <w:rPr>
          <w:rFonts w:eastAsia="仿宋_GB2312"/>
          <w:sz w:val="32"/>
          <w:szCs w:val="32"/>
        </w:rPr>
      </w:pPr>
      <w:r w:rsidRPr="00460DB1">
        <w:rPr>
          <w:rFonts w:eastAsia="仿宋_GB2312"/>
          <w:sz w:val="32"/>
          <w:szCs w:val="32"/>
        </w:rPr>
        <w:t>8.2</w:t>
      </w:r>
      <w:r w:rsidRPr="00460DB1">
        <w:rPr>
          <w:rFonts w:eastAsia="仿宋_GB2312"/>
          <w:sz w:val="32"/>
          <w:szCs w:val="32"/>
        </w:rPr>
        <w:t>临床实验室应严格按照《医疗机构临床基因扩增实验室管理办法》等有关分子生物学实验室、临床基因扩增实验室的管理规范执行。</w:t>
      </w:r>
    </w:p>
    <w:p w:rsidR="00451AC3" w:rsidRPr="00460DB1" w:rsidRDefault="009F29AF" w:rsidP="00460DB1">
      <w:pPr>
        <w:adjustRightInd w:val="0"/>
        <w:snapToGrid w:val="0"/>
        <w:spacing w:line="520" w:lineRule="exact"/>
        <w:ind w:firstLineChars="200" w:firstLine="640"/>
        <w:rPr>
          <w:rFonts w:eastAsia="仿宋_GB2312"/>
          <w:sz w:val="32"/>
          <w:szCs w:val="32"/>
        </w:rPr>
      </w:pPr>
      <w:r w:rsidRPr="00460DB1">
        <w:rPr>
          <w:rFonts w:eastAsia="仿宋_GB2312"/>
          <w:sz w:val="32"/>
          <w:szCs w:val="32"/>
        </w:rPr>
        <w:t>8.3</w:t>
      </w:r>
      <w:r w:rsidRPr="00460DB1">
        <w:rPr>
          <w:rFonts w:eastAsia="仿宋_GB2312"/>
          <w:sz w:val="32"/>
          <w:szCs w:val="32"/>
        </w:rPr>
        <w:t>试剂保存运输及使用过程中多种因素可能导致性能变化，如保存运输不当、样本采集、样本处理及检测过程操作不规范等，请严格按照说明书操作。</w:t>
      </w:r>
    </w:p>
    <w:p w:rsidR="00451AC3" w:rsidRPr="00460DB1" w:rsidRDefault="009F29AF" w:rsidP="00460DB1">
      <w:pPr>
        <w:adjustRightInd w:val="0"/>
        <w:snapToGrid w:val="0"/>
        <w:spacing w:line="520" w:lineRule="exact"/>
        <w:ind w:firstLineChars="200" w:firstLine="640"/>
        <w:rPr>
          <w:rFonts w:eastAsia="仿宋_GB2312"/>
          <w:sz w:val="32"/>
          <w:szCs w:val="32"/>
        </w:rPr>
      </w:pPr>
      <w:r w:rsidRPr="00460DB1">
        <w:rPr>
          <w:rFonts w:eastAsia="仿宋_GB2312"/>
          <w:sz w:val="32"/>
          <w:szCs w:val="32"/>
        </w:rPr>
        <w:t>8.4</w:t>
      </w:r>
      <w:r w:rsidRPr="00460DB1">
        <w:rPr>
          <w:rFonts w:eastAsia="仿宋_GB2312"/>
          <w:sz w:val="32"/>
          <w:szCs w:val="32"/>
        </w:rPr>
        <w:t>生物安全防护相关内容。</w:t>
      </w:r>
    </w:p>
    <w:p w:rsidR="00451AC3" w:rsidRPr="00460DB1" w:rsidRDefault="009F29AF" w:rsidP="00460DB1">
      <w:pPr>
        <w:adjustRightInd w:val="0"/>
        <w:snapToGrid w:val="0"/>
        <w:spacing w:line="520" w:lineRule="exact"/>
        <w:ind w:firstLineChars="200" w:firstLine="640"/>
        <w:rPr>
          <w:rFonts w:eastAsia="仿宋_GB2312"/>
          <w:sz w:val="32"/>
          <w:szCs w:val="32"/>
        </w:rPr>
      </w:pPr>
      <w:r w:rsidRPr="00460DB1">
        <w:rPr>
          <w:rFonts w:eastAsia="仿宋_GB2312"/>
          <w:sz w:val="32"/>
          <w:szCs w:val="32"/>
        </w:rPr>
        <w:t>8.5</w:t>
      </w:r>
      <w:r w:rsidRPr="00460DB1">
        <w:rPr>
          <w:rFonts w:eastAsia="仿宋_GB2312"/>
          <w:sz w:val="32"/>
          <w:szCs w:val="32"/>
        </w:rPr>
        <w:t>避免实验室污染的措施。</w:t>
      </w:r>
    </w:p>
    <w:p w:rsidR="00451AC3" w:rsidRPr="00460DB1" w:rsidRDefault="009F29AF" w:rsidP="00460DB1">
      <w:pPr>
        <w:adjustRightInd w:val="0"/>
        <w:snapToGrid w:val="0"/>
        <w:spacing w:line="520" w:lineRule="exact"/>
        <w:ind w:firstLineChars="200" w:firstLine="640"/>
        <w:rPr>
          <w:rFonts w:eastAsia="黑体"/>
          <w:sz w:val="32"/>
        </w:rPr>
      </w:pPr>
      <w:r w:rsidRPr="00460DB1">
        <w:rPr>
          <w:rFonts w:eastAsia="黑体"/>
          <w:sz w:val="32"/>
        </w:rPr>
        <w:t>三、参考文献</w:t>
      </w:r>
    </w:p>
    <w:p w:rsidR="00451AC3" w:rsidRPr="00460DB1" w:rsidRDefault="009F29AF" w:rsidP="00460DB1">
      <w:pPr>
        <w:adjustRightInd w:val="0"/>
        <w:snapToGrid w:val="0"/>
        <w:spacing w:line="520" w:lineRule="exact"/>
        <w:ind w:firstLineChars="200" w:firstLine="640"/>
        <w:rPr>
          <w:rFonts w:eastAsia="仿宋_GB2312"/>
          <w:color w:val="000000"/>
          <w:sz w:val="32"/>
          <w:szCs w:val="32"/>
        </w:rPr>
      </w:pPr>
      <w:r w:rsidRPr="00460DB1">
        <w:rPr>
          <w:rFonts w:eastAsia="仿宋_GB2312"/>
          <w:color w:val="000000"/>
          <w:sz w:val="32"/>
          <w:szCs w:val="32"/>
        </w:rPr>
        <w:t>[1]</w:t>
      </w:r>
      <w:r w:rsidRPr="00460DB1">
        <w:rPr>
          <w:rFonts w:eastAsia="仿宋_GB2312"/>
          <w:color w:val="000000"/>
          <w:sz w:val="32"/>
          <w:szCs w:val="32"/>
        </w:rPr>
        <w:t>国家市场监督管理总局</w:t>
      </w:r>
      <w:r w:rsidRPr="00460DB1">
        <w:rPr>
          <w:rFonts w:eastAsia="仿宋_GB2312"/>
          <w:color w:val="000000"/>
          <w:sz w:val="32"/>
          <w:szCs w:val="32"/>
        </w:rPr>
        <w:t>.</w:t>
      </w:r>
      <w:r w:rsidRPr="00460DB1">
        <w:rPr>
          <w:rFonts w:eastAsia="仿宋_GB2312"/>
          <w:color w:val="000000"/>
          <w:sz w:val="32"/>
          <w:szCs w:val="32"/>
        </w:rPr>
        <w:t>体外诊断试剂注册与备案管理办法</w:t>
      </w:r>
      <w:r w:rsidRPr="00460DB1">
        <w:rPr>
          <w:rFonts w:eastAsia="仿宋_GB2312"/>
          <w:color w:val="000000"/>
          <w:sz w:val="32"/>
          <w:szCs w:val="32"/>
        </w:rPr>
        <w:t>:</w:t>
      </w:r>
      <w:r w:rsidRPr="00460DB1">
        <w:rPr>
          <w:rFonts w:eastAsia="仿宋_GB2312"/>
          <w:color w:val="000000"/>
          <w:sz w:val="32"/>
          <w:szCs w:val="32"/>
        </w:rPr>
        <w:t>国家市场监督管理总局令第</w:t>
      </w:r>
      <w:r w:rsidRPr="00460DB1">
        <w:rPr>
          <w:rFonts w:eastAsia="仿宋_GB2312"/>
          <w:color w:val="000000"/>
          <w:sz w:val="32"/>
          <w:szCs w:val="32"/>
        </w:rPr>
        <w:t>48</w:t>
      </w:r>
      <w:r w:rsidRPr="00460DB1">
        <w:rPr>
          <w:rFonts w:eastAsia="仿宋_GB2312"/>
          <w:color w:val="000000"/>
          <w:sz w:val="32"/>
          <w:szCs w:val="32"/>
        </w:rPr>
        <w:t>号</w:t>
      </w:r>
      <w:r w:rsidRPr="00460DB1">
        <w:rPr>
          <w:rFonts w:eastAsia="仿宋_GB2312"/>
          <w:color w:val="000000"/>
          <w:sz w:val="32"/>
          <w:szCs w:val="32"/>
        </w:rPr>
        <w:t>[Z].</w:t>
      </w:r>
    </w:p>
    <w:p w:rsidR="00451AC3" w:rsidRPr="00460DB1" w:rsidRDefault="009F29AF" w:rsidP="00460DB1">
      <w:pPr>
        <w:adjustRightInd w:val="0"/>
        <w:snapToGrid w:val="0"/>
        <w:spacing w:line="520" w:lineRule="exact"/>
        <w:ind w:firstLineChars="200" w:firstLine="640"/>
        <w:rPr>
          <w:rFonts w:eastAsia="仿宋_GB2312"/>
          <w:color w:val="000000"/>
          <w:sz w:val="32"/>
          <w:szCs w:val="32"/>
        </w:rPr>
      </w:pPr>
      <w:r w:rsidRPr="00460DB1">
        <w:rPr>
          <w:rFonts w:eastAsia="仿宋_GB2312"/>
          <w:color w:val="000000"/>
          <w:sz w:val="32"/>
          <w:szCs w:val="32"/>
        </w:rPr>
        <w:t>[2]</w:t>
      </w:r>
      <w:r w:rsidRPr="00460DB1">
        <w:rPr>
          <w:rFonts w:eastAsia="仿宋_GB2312"/>
          <w:color w:val="000000"/>
          <w:sz w:val="32"/>
          <w:szCs w:val="32"/>
        </w:rPr>
        <w:t>国家药品监督管理局</w:t>
      </w:r>
      <w:r w:rsidRPr="00460DB1">
        <w:rPr>
          <w:rFonts w:eastAsia="仿宋_GB2312"/>
          <w:color w:val="000000"/>
          <w:sz w:val="32"/>
          <w:szCs w:val="32"/>
        </w:rPr>
        <w:t>.</w:t>
      </w:r>
      <w:r w:rsidRPr="00460DB1">
        <w:rPr>
          <w:rFonts w:eastAsia="仿宋_GB2312"/>
          <w:color w:val="000000"/>
          <w:sz w:val="32"/>
          <w:szCs w:val="32"/>
        </w:rPr>
        <w:t>关于公布体外诊断试剂注册申报资料要求和批准证明文件格式的公告</w:t>
      </w:r>
      <w:r w:rsidRPr="00460DB1">
        <w:rPr>
          <w:rFonts w:eastAsia="仿宋_GB2312"/>
          <w:color w:val="000000"/>
          <w:sz w:val="32"/>
          <w:szCs w:val="32"/>
        </w:rPr>
        <w:t>:</w:t>
      </w:r>
      <w:r w:rsidRPr="00460DB1">
        <w:rPr>
          <w:rFonts w:eastAsia="仿宋_GB2312"/>
          <w:color w:val="000000"/>
          <w:sz w:val="32"/>
          <w:szCs w:val="32"/>
        </w:rPr>
        <w:t>国家药品监督管理局公告</w:t>
      </w:r>
      <w:r w:rsidRPr="00460DB1">
        <w:rPr>
          <w:rFonts w:eastAsia="仿宋_GB2312"/>
          <w:color w:val="000000"/>
          <w:sz w:val="32"/>
          <w:szCs w:val="32"/>
        </w:rPr>
        <w:t>2021</w:t>
      </w:r>
      <w:r w:rsidRPr="00460DB1">
        <w:rPr>
          <w:rFonts w:eastAsia="仿宋_GB2312"/>
          <w:color w:val="000000"/>
          <w:sz w:val="32"/>
          <w:szCs w:val="32"/>
        </w:rPr>
        <w:t>年第</w:t>
      </w:r>
      <w:r w:rsidRPr="00460DB1">
        <w:rPr>
          <w:rFonts w:eastAsia="仿宋_GB2312"/>
          <w:color w:val="000000"/>
          <w:sz w:val="32"/>
          <w:szCs w:val="32"/>
        </w:rPr>
        <w:t>122</w:t>
      </w:r>
      <w:r w:rsidRPr="00460DB1">
        <w:rPr>
          <w:rFonts w:eastAsia="仿宋_GB2312"/>
          <w:color w:val="000000"/>
          <w:sz w:val="32"/>
          <w:szCs w:val="32"/>
        </w:rPr>
        <w:t>号</w:t>
      </w:r>
      <w:r w:rsidRPr="00460DB1">
        <w:rPr>
          <w:rFonts w:eastAsia="仿宋_GB2312"/>
          <w:color w:val="000000"/>
          <w:sz w:val="32"/>
          <w:szCs w:val="32"/>
        </w:rPr>
        <w:t>[Z].</w:t>
      </w:r>
    </w:p>
    <w:p w:rsidR="00451AC3" w:rsidRPr="00460DB1" w:rsidRDefault="009F29AF" w:rsidP="00460DB1">
      <w:pPr>
        <w:adjustRightInd w:val="0"/>
        <w:snapToGrid w:val="0"/>
        <w:spacing w:line="520" w:lineRule="exact"/>
        <w:ind w:firstLineChars="200" w:firstLine="640"/>
        <w:rPr>
          <w:rFonts w:eastAsia="仿宋_GB2312"/>
          <w:color w:val="000000"/>
          <w:sz w:val="32"/>
          <w:szCs w:val="32"/>
        </w:rPr>
      </w:pPr>
      <w:r w:rsidRPr="00460DB1">
        <w:rPr>
          <w:rFonts w:eastAsia="仿宋_GB2312"/>
          <w:color w:val="000000"/>
          <w:sz w:val="32"/>
          <w:szCs w:val="32"/>
        </w:rPr>
        <w:t>[3]</w:t>
      </w:r>
      <w:r w:rsidRPr="00460DB1">
        <w:rPr>
          <w:rFonts w:eastAsia="仿宋_GB2312"/>
          <w:color w:val="000000"/>
          <w:sz w:val="32"/>
          <w:szCs w:val="32"/>
        </w:rPr>
        <w:t>国家药品监督管理局</w:t>
      </w:r>
      <w:r w:rsidRPr="00460DB1">
        <w:rPr>
          <w:rFonts w:eastAsia="仿宋_GB2312"/>
          <w:color w:val="000000"/>
          <w:sz w:val="32"/>
          <w:szCs w:val="32"/>
        </w:rPr>
        <w:t>.</w:t>
      </w:r>
      <w:r w:rsidRPr="00460DB1">
        <w:rPr>
          <w:rFonts w:eastAsia="仿宋_GB2312"/>
          <w:color w:val="000000"/>
          <w:sz w:val="32"/>
          <w:szCs w:val="32"/>
        </w:rPr>
        <w:t>体外诊断试剂临床试验技术指导原则</w:t>
      </w:r>
      <w:r w:rsidRPr="00460DB1">
        <w:rPr>
          <w:rFonts w:eastAsia="仿宋_GB2312"/>
          <w:color w:val="000000"/>
          <w:sz w:val="32"/>
          <w:szCs w:val="32"/>
        </w:rPr>
        <w:t>:</w:t>
      </w:r>
      <w:r w:rsidRPr="00460DB1">
        <w:rPr>
          <w:rFonts w:eastAsia="仿宋_GB2312"/>
          <w:color w:val="000000"/>
          <w:sz w:val="32"/>
          <w:szCs w:val="32"/>
        </w:rPr>
        <w:t>国家药品监督管理局</w:t>
      </w:r>
      <w:r w:rsidRPr="00460DB1">
        <w:rPr>
          <w:rFonts w:eastAsia="仿宋_GB2312"/>
          <w:color w:val="000000"/>
          <w:sz w:val="32"/>
          <w:szCs w:val="32"/>
        </w:rPr>
        <w:t>2021</w:t>
      </w:r>
      <w:r w:rsidRPr="00460DB1">
        <w:rPr>
          <w:rFonts w:eastAsia="仿宋_GB2312"/>
          <w:color w:val="000000"/>
          <w:sz w:val="32"/>
          <w:szCs w:val="32"/>
        </w:rPr>
        <w:t>年第</w:t>
      </w:r>
      <w:r w:rsidRPr="00460DB1">
        <w:rPr>
          <w:rFonts w:eastAsia="仿宋_GB2312"/>
          <w:color w:val="000000"/>
          <w:sz w:val="32"/>
          <w:szCs w:val="32"/>
        </w:rPr>
        <w:t>72</w:t>
      </w:r>
      <w:r w:rsidRPr="00460DB1">
        <w:rPr>
          <w:rFonts w:eastAsia="仿宋_GB2312"/>
          <w:color w:val="000000"/>
          <w:sz w:val="32"/>
          <w:szCs w:val="32"/>
        </w:rPr>
        <w:t>号</w:t>
      </w:r>
      <w:r w:rsidRPr="00460DB1">
        <w:rPr>
          <w:rFonts w:eastAsia="仿宋_GB2312"/>
          <w:color w:val="000000"/>
          <w:sz w:val="32"/>
          <w:szCs w:val="32"/>
        </w:rPr>
        <w:t>[Z].</w:t>
      </w:r>
    </w:p>
    <w:p w:rsidR="00451AC3" w:rsidRPr="00460DB1" w:rsidRDefault="009F29AF" w:rsidP="00460DB1">
      <w:pPr>
        <w:adjustRightInd w:val="0"/>
        <w:snapToGrid w:val="0"/>
        <w:spacing w:line="520" w:lineRule="exact"/>
        <w:ind w:firstLineChars="200" w:firstLine="640"/>
        <w:rPr>
          <w:rFonts w:eastAsia="仿宋_GB2312"/>
          <w:color w:val="000000"/>
          <w:sz w:val="32"/>
          <w:szCs w:val="32"/>
        </w:rPr>
      </w:pPr>
      <w:r w:rsidRPr="00460DB1">
        <w:rPr>
          <w:rFonts w:eastAsia="仿宋_GB2312"/>
          <w:color w:val="000000"/>
          <w:sz w:val="32"/>
          <w:szCs w:val="32"/>
        </w:rPr>
        <w:t>[4]</w:t>
      </w:r>
      <w:r w:rsidRPr="00460DB1">
        <w:rPr>
          <w:rFonts w:eastAsia="仿宋_GB2312"/>
          <w:color w:val="000000"/>
          <w:sz w:val="32"/>
          <w:szCs w:val="32"/>
        </w:rPr>
        <w:t>国家药品监督管理局医疗器械技术审评中心</w:t>
      </w:r>
      <w:r w:rsidRPr="00460DB1">
        <w:rPr>
          <w:rFonts w:eastAsia="仿宋_GB2312"/>
          <w:color w:val="000000"/>
          <w:sz w:val="32"/>
          <w:szCs w:val="32"/>
        </w:rPr>
        <w:t>.</w:t>
      </w:r>
      <w:r w:rsidRPr="00460DB1">
        <w:rPr>
          <w:rFonts w:eastAsia="仿宋_GB2312"/>
          <w:color w:val="000000"/>
          <w:sz w:val="32"/>
          <w:szCs w:val="32"/>
        </w:rPr>
        <w:t>定性检测体外诊断试剂分析性能评估注册审查指导原则</w:t>
      </w:r>
      <w:r w:rsidRPr="00460DB1">
        <w:rPr>
          <w:rFonts w:eastAsia="仿宋_GB2312"/>
          <w:color w:val="000000"/>
          <w:sz w:val="32"/>
          <w:szCs w:val="32"/>
        </w:rPr>
        <w:t>:</w:t>
      </w:r>
      <w:r w:rsidRPr="00460DB1">
        <w:rPr>
          <w:rFonts w:eastAsia="仿宋_GB2312"/>
          <w:color w:val="000000"/>
          <w:sz w:val="32"/>
          <w:szCs w:val="32"/>
        </w:rPr>
        <w:t>国家药品监督管理局医疗器械技术审评中心</w:t>
      </w:r>
      <w:r w:rsidRPr="00460DB1">
        <w:rPr>
          <w:rFonts w:eastAsia="仿宋_GB2312"/>
          <w:color w:val="000000"/>
          <w:sz w:val="32"/>
          <w:szCs w:val="32"/>
        </w:rPr>
        <w:t>2022</w:t>
      </w:r>
      <w:r w:rsidRPr="00460DB1">
        <w:rPr>
          <w:rFonts w:eastAsia="仿宋_GB2312"/>
          <w:color w:val="000000"/>
          <w:sz w:val="32"/>
          <w:szCs w:val="32"/>
        </w:rPr>
        <w:t>年第</w:t>
      </w:r>
      <w:r w:rsidRPr="00460DB1">
        <w:rPr>
          <w:rFonts w:eastAsia="仿宋_GB2312"/>
          <w:color w:val="000000"/>
          <w:sz w:val="32"/>
          <w:szCs w:val="32"/>
        </w:rPr>
        <w:t>36</w:t>
      </w:r>
      <w:r w:rsidRPr="00460DB1">
        <w:rPr>
          <w:rFonts w:eastAsia="仿宋_GB2312"/>
          <w:color w:val="000000"/>
          <w:sz w:val="32"/>
          <w:szCs w:val="32"/>
        </w:rPr>
        <w:t>号</w:t>
      </w:r>
      <w:r w:rsidRPr="00460DB1">
        <w:rPr>
          <w:rFonts w:eastAsia="仿宋_GB2312"/>
          <w:color w:val="000000"/>
          <w:sz w:val="32"/>
          <w:szCs w:val="32"/>
        </w:rPr>
        <w:t>[Z].</w:t>
      </w:r>
    </w:p>
    <w:p w:rsidR="00451AC3" w:rsidRPr="00460DB1" w:rsidRDefault="009F29AF" w:rsidP="00460DB1">
      <w:pPr>
        <w:adjustRightInd w:val="0"/>
        <w:snapToGrid w:val="0"/>
        <w:spacing w:line="520" w:lineRule="exact"/>
        <w:ind w:firstLineChars="200" w:firstLine="640"/>
        <w:rPr>
          <w:rFonts w:eastAsia="仿宋_GB2312"/>
          <w:sz w:val="32"/>
          <w:szCs w:val="32"/>
        </w:rPr>
      </w:pPr>
      <w:r w:rsidRPr="00460DB1">
        <w:rPr>
          <w:rFonts w:eastAsia="仿宋_GB2312"/>
          <w:sz w:val="32"/>
          <w:szCs w:val="32"/>
        </w:rPr>
        <w:t>[5]</w:t>
      </w:r>
      <w:r w:rsidRPr="00460DB1">
        <w:rPr>
          <w:rFonts w:eastAsia="仿宋_GB2312"/>
          <w:sz w:val="32"/>
          <w:szCs w:val="32"/>
        </w:rPr>
        <w:t>国家食品药品监督管理局</w:t>
      </w:r>
      <w:r w:rsidRPr="00460DB1">
        <w:rPr>
          <w:rFonts w:eastAsia="仿宋_GB2312"/>
          <w:sz w:val="32"/>
          <w:szCs w:val="32"/>
        </w:rPr>
        <w:t>.</w:t>
      </w:r>
      <w:r w:rsidRPr="00460DB1">
        <w:rPr>
          <w:rFonts w:eastAsia="仿宋_GB2312"/>
          <w:sz w:val="32"/>
          <w:szCs w:val="32"/>
        </w:rPr>
        <w:t>体外诊断试剂说明书编写指导</w:t>
      </w:r>
      <w:r w:rsidRPr="00460DB1">
        <w:rPr>
          <w:rFonts w:eastAsia="仿宋_GB2312"/>
          <w:sz w:val="32"/>
          <w:szCs w:val="32"/>
        </w:rPr>
        <w:lastRenderedPageBreak/>
        <w:t>原则</w:t>
      </w:r>
      <w:r w:rsidRPr="00460DB1">
        <w:rPr>
          <w:rFonts w:eastAsia="仿宋_GB2312"/>
          <w:sz w:val="32"/>
          <w:szCs w:val="32"/>
        </w:rPr>
        <w:t>:</w:t>
      </w:r>
      <w:r w:rsidRPr="00460DB1">
        <w:rPr>
          <w:rFonts w:eastAsia="仿宋_GB2312"/>
          <w:sz w:val="32"/>
          <w:szCs w:val="32"/>
        </w:rPr>
        <w:t>食品药品监管总局通告第</w:t>
      </w:r>
      <w:r w:rsidRPr="00460DB1">
        <w:rPr>
          <w:rFonts w:eastAsia="仿宋_GB2312"/>
          <w:sz w:val="32"/>
          <w:szCs w:val="32"/>
        </w:rPr>
        <w:t>17</w:t>
      </w:r>
      <w:r w:rsidRPr="00460DB1">
        <w:rPr>
          <w:rFonts w:eastAsia="仿宋_GB2312"/>
          <w:sz w:val="32"/>
          <w:szCs w:val="32"/>
        </w:rPr>
        <w:t>号</w:t>
      </w:r>
      <w:r w:rsidRPr="00460DB1">
        <w:rPr>
          <w:rFonts w:eastAsia="仿宋_GB2312"/>
          <w:sz w:val="32"/>
          <w:szCs w:val="32"/>
        </w:rPr>
        <w:t>[Z].</w:t>
      </w:r>
    </w:p>
    <w:p w:rsidR="00451AC3" w:rsidRPr="00460DB1" w:rsidRDefault="009F29AF" w:rsidP="00460DB1">
      <w:pPr>
        <w:adjustRightInd w:val="0"/>
        <w:snapToGrid w:val="0"/>
        <w:spacing w:line="520" w:lineRule="exact"/>
        <w:ind w:firstLineChars="200" w:firstLine="640"/>
        <w:rPr>
          <w:rFonts w:eastAsia="仿宋_GB2312"/>
          <w:color w:val="000000"/>
          <w:sz w:val="32"/>
          <w:szCs w:val="32"/>
        </w:rPr>
      </w:pPr>
      <w:r w:rsidRPr="00460DB1">
        <w:rPr>
          <w:rFonts w:eastAsia="仿宋_GB2312"/>
          <w:sz w:val="32"/>
          <w:szCs w:val="32"/>
        </w:rPr>
        <w:t>[6]</w:t>
      </w:r>
      <w:r w:rsidRPr="00460DB1">
        <w:rPr>
          <w:rFonts w:eastAsia="仿宋_GB2312"/>
          <w:sz w:val="32"/>
          <w:szCs w:val="32"/>
        </w:rPr>
        <w:t>中国临床肿瘤学会指南工作委员会</w:t>
      </w:r>
      <w:r w:rsidRPr="00460DB1">
        <w:rPr>
          <w:rFonts w:eastAsia="仿宋_GB2312"/>
          <w:color w:val="000000"/>
          <w:sz w:val="32"/>
          <w:szCs w:val="32"/>
        </w:rPr>
        <w:t>.</w:t>
      </w:r>
      <w:r w:rsidRPr="00460DB1">
        <w:rPr>
          <w:rFonts w:eastAsia="仿宋_GB2312"/>
          <w:color w:val="000000"/>
          <w:sz w:val="32"/>
          <w:szCs w:val="32"/>
        </w:rPr>
        <w:t>结直肠癌诊疗指南</w:t>
      </w:r>
      <w:r w:rsidRPr="00460DB1">
        <w:rPr>
          <w:rFonts w:eastAsia="仿宋_GB2312"/>
          <w:color w:val="000000"/>
          <w:sz w:val="32"/>
          <w:szCs w:val="32"/>
        </w:rPr>
        <w:t>2024</w:t>
      </w:r>
      <w:r w:rsidRPr="00460DB1">
        <w:rPr>
          <w:rFonts w:eastAsia="仿宋_GB2312"/>
          <w:color w:val="000000"/>
          <w:sz w:val="32"/>
          <w:szCs w:val="32"/>
        </w:rPr>
        <w:t>年版</w:t>
      </w:r>
      <w:r w:rsidRPr="00460DB1">
        <w:rPr>
          <w:rFonts w:eastAsia="仿宋_GB2312"/>
          <w:color w:val="000000"/>
          <w:sz w:val="32"/>
          <w:szCs w:val="32"/>
        </w:rPr>
        <w:t>.</w:t>
      </w:r>
      <w:r w:rsidRPr="00460DB1">
        <w:rPr>
          <w:rFonts w:eastAsia="仿宋_GB2312"/>
          <w:color w:val="000000"/>
          <w:sz w:val="32"/>
          <w:szCs w:val="32"/>
        </w:rPr>
        <w:t>北京：人民卫生出版社</w:t>
      </w:r>
      <w:r w:rsidRPr="00460DB1">
        <w:rPr>
          <w:rFonts w:eastAsia="仿宋_GB2312"/>
          <w:color w:val="000000"/>
          <w:sz w:val="32"/>
          <w:szCs w:val="32"/>
        </w:rPr>
        <w:t>[S].</w:t>
      </w:r>
    </w:p>
    <w:p w:rsidR="00451AC3" w:rsidRPr="00460DB1" w:rsidRDefault="00451AC3" w:rsidP="00460DB1">
      <w:pPr>
        <w:adjustRightInd w:val="0"/>
        <w:snapToGrid w:val="0"/>
        <w:spacing w:line="520" w:lineRule="exact"/>
        <w:ind w:firstLineChars="200" w:firstLine="640"/>
        <w:rPr>
          <w:rFonts w:eastAsia="仿宋_GB2312"/>
          <w:color w:val="000000"/>
          <w:sz w:val="32"/>
          <w:szCs w:val="32"/>
        </w:rPr>
      </w:pPr>
    </w:p>
    <w:sectPr w:rsidR="00451AC3" w:rsidRPr="00460DB1">
      <w:footerReference w:type="even" r:id="rId9"/>
      <w:footerReference w:type="default" r:id="rId10"/>
      <w:pgSz w:w="11906" w:h="16838"/>
      <w:pgMar w:top="1758" w:right="1531" w:bottom="1474" w:left="1531" w:header="851" w:footer="96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96F" w:rsidRDefault="0088296F">
      <w:r>
        <w:separator/>
      </w:r>
    </w:p>
  </w:endnote>
  <w:endnote w:type="continuationSeparator" w:id="0">
    <w:p w:rsidR="0088296F" w:rsidRDefault="00882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Microsoft YaHei UI"/>
    <w:charset w:val="86"/>
    <w:family w:val="script"/>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C3" w:rsidRDefault="009F29AF">
    <w:pPr>
      <w:pStyle w:val="a9"/>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30</w:t>
    </w:r>
    <w:r>
      <w:rPr>
        <w:sz w:val="28"/>
        <w:szCs w:val="28"/>
      </w:rPr>
      <w:fldChar w:fldCharType="end"/>
    </w:r>
    <w:r>
      <w:rPr>
        <w:rFonts w:hint="eastAsia"/>
        <w:sz w:val="28"/>
        <w:szCs w:val="28"/>
      </w:rPr>
      <w:t xml:space="preserve"> </w:t>
    </w:r>
    <w:r>
      <w:rPr>
        <w:rFonts w:hint="eastAsia"/>
        <w:sz w:val="28"/>
        <w:szCs w:val="28"/>
      </w:rPr>
      <w:t>—</w:t>
    </w:r>
  </w:p>
  <w:p w:rsidR="00451AC3" w:rsidRDefault="00451AC3">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AC3" w:rsidRDefault="009F29AF">
    <w:pPr>
      <w:pStyle w:val="a9"/>
      <w:wordWrap w:val="0"/>
      <w:jc w:val="right"/>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460DB1" w:rsidRPr="00460DB1">
      <w:rPr>
        <w:noProof/>
        <w:sz w:val="28"/>
        <w:szCs w:val="28"/>
        <w:lang w:val="zh-CN"/>
      </w:rPr>
      <w:t>23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p w:rsidR="00451AC3" w:rsidRDefault="00451AC3">
    <w:pPr>
      <w:pStyle w:val="a9"/>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96F" w:rsidRDefault="0088296F">
      <w:r>
        <w:separator/>
      </w:r>
    </w:p>
  </w:footnote>
  <w:footnote w:type="continuationSeparator" w:id="0">
    <w:p w:rsidR="0088296F" w:rsidRDefault="008829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554"/>
    <w:rsid w:val="000000BC"/>
    <w:rsid w:val="00001F37"/>
    <w:rsid w:val="00003B53"/>
    <w:rsid w:val="0000667F"/>
    <w:rsid w:val="0000763D"/>
    <w:rsid w:val="00010538"/>
    <w:rsid w:val="00011726"/>
    <w:rsid w:val="00012254"/>
    <w:rsid w:val="0001309D"/>
    <w:rsid w:val="00013687"/>
    <w:rsid w:val="00013853"/>
    <w:rsid w:val="00013D75"/>
    <w:rsid w:val="00014751"/>
    <w:rsid w:val="0001728B"/>
    <w:rsid w:val="00017F0D"/>
    <w:rsid w:val="000204DA"/>
    <w:rsid w:val="00021111"/>
    <w:rsid w:val="00021BD0"/>
    <w:rsid w:val="00021ED3"/>
    <w:rsid w:val="00022AA6"/>
    <w:rsid w:val="00024936"/>
    <w:rsid w:val="00025CE6"/>
    <w:rsid w:val="00026B9A"/>
    <w:rsid w:val="0002747F"/>
    <w:rsid w:val="000275CA"/>
    <w:rsid w:val="000309F3"/>
    <w:rsid w:val="0003124F"/>
    <w:rsid w:val="0003128B"/>
    <w:rsid w:val="0003174C"/>
    <w:rsid w:val="000318FD"/>
    <w:rsid w:val="000352AE"/>
    <w:rsid w:val="000375A1"/>
    <w:rsid w:val="00037A60"/>
    <w:rsid w:val="00040818"/>
    <w:rsid w:val="000421A7"/>
    <w:rsid w:val="00042B1F"/>
    <w:rsid w:val="00043C7C"/>
    <w:rsid w:val="000447C5"/>
    <w:rsid w:val="00044F5B"/>
    <w:rsid w:val="00045F37"/>
    <w:rsid w:val="000467EE"/>
    <w:rsid w:val="00046A1E"/>
    <w:rsid w:val="00046A6B"/>
    <w:rsid w:val="00051DCE"/>
    <w:rsid w:val="0005266C"/>
    <w:rsid w:val="00052FFA"/>
    <w:rsid w:val="00053705"/>
    <w:rsid w:val="00053A29"/>
    <w:rsid w:val="00055301"/>
    <w:rsid w:val="00055A50"/>
    <w:rsid w:val="00055FC1"/>
    <w:rsid w:val="00061988"/>
    <w:rsid w:val="00063C45"/>
    <w:rsid w:val="00064503"/>
    <w:rsid w:val="00064706"/>
    <w:rsid w:val="00065994"/>
    <w:rsid w:val="00065A31"/>
    <w:rsid w:val="00065A4E"/>
    <w:rsid w:val="000660A9"/>
    <w:rsid w:val="0007043A"/>
    <w:rsid w:val="0007176B"/>
    <w:rsid w:val="00071C20"/>
    <w:rsid w:val="00072D67"/>
    <w:rsid w:val="00072E6F"/>
    <w:rsid w:val="00073620"/>
    <w:rsid w:val="0007434B"/>
    <w:rsid w:val="00074384"/>
    <w:rsid w:val="0007447A"/>
    <w:rsid w:val="00075ACE"/>
    <w:rsid w:val="00080526"/>
    <w:rsid w:val="000805E7"/>
    <w:rsid w:val="00080C3F"/>
    <w:rsid w:val="00081C12"/>
    <w:rsid w:val="00081C1F"/>
    <w:rsid w:val="00082B6D"/>
    <w:rsid w:val="00084667"/>
    <w:rsid w:val="000853FA"/>
    <w:rsid w:val="0008642C"/>
    <w:rsid w:val="00091865"/>
    <w:rsid w:val="00092207"/>
    <w:rsid w:val="00092486"/>
    <w:rsid w:val="000928CE"/>
    <w:rsid w:val="000933FE"/>
    <w:rsid w:val="000934B3"/>
    <w:rsid w:val="00093B2C"/>
    <w:rsid w:val="00094569"/>
    <w:rsid w:val="00094E00"/>
    <w:rsid w:val="00095EFE"/>
    <w:rsid w:val="000961FD"/>
    <w:rsid w:val="00097F14"/>
    <w:rsid w:val="000A0FA7"/>
    <w:rsid w:val="000A12E9"/>
    <w:rsid w:val="000A2604"/>
    <w:rsid w:val="000A356F"/>
    <w:rsid w:val="000A36D1"/>
    <w:rsid w:val="000A3B77"/>
    <w:rsid w:val="000A4985"/>
    <w:rsid w:val="000A5F69"/>
    <w:rsid w:val="000A5FA1"/>
    <w:rsid w:val="000A742D"/>
    <w:rsid w:val="000A7B72"/>
    <w:rsid w:val="000B098F"/>
    <w:rsid w:val="000B1839"/>
    <w:rsid w:val="000B1877"/>
    <w:rsid w:val="000B254D"/>
    <w:rsid w:val="000B5FC5"/>
    <w:rsid w:val="000B6009"/>
    <w:rsid w:val="000B66B9"/>
    <w:rsid w:val="000B6E71"/>
    <w:rsid w:val="000B6FE4"/>
    <w:rsid w:val="000C02F1"/>
    <w:rsid w:val="000C2BEB"/>
    <w:rsid w:val="000C3298"/>
    <w:rsid w:val="000C38BD"/>
    <w:rsid w:val="000C44CD"/>
    <w:rsid w:val="000C488A"/>
    <w:rsid w:val="000C57A7"/>
    <w:rsid w:val="000C6495"/>
    <w:rsid w:val="000C7A8D"/>
    <w:rsid w:val="000D109A"/>
    <w:rsid w:val="000D2611"/>
    <w:rsid w:val="000D288E"/>
    <w:rsid w:val="000D30B8"/>
    <w:rsid w:val="000D53C0"/>
    <w:rsid w:val="000D6B6D"/>
    <w:rsid w:val="000E0435"/>
    <w:rsid w:val="000E1A70"/>
    <w:rsid w:val="000E2E42"/>
    <w:rsid w:val="000E330C"/>
    <w:rsid w:val="000E396D"/>
    <w:rsid w:val="000E464F"/>
    <w:rsid w:val="000E57C4"/>
    <w:rsid w:val="000E78B4"/>
    <w:rsid w:val="000F0186"/>
    <w:rsid w:val="000F0541"/>
    <w:rsid w:val="000F148F"/>
    <w:rsid w:val="000F16FB"/>
    <w:rsid w:val="000F29AE"/>
    <w:rsid w:val="000F2F18"/>
    <w:rsid w:val="000F313A"/>
    <w:rsid w:val="000F3BF9"/>
    <w:rsid w:val="000F6D36"/>
    <w:rsid w:val="000F6F95"/>
    <w:rsid w:val="000F7487"/>
    <w:rsid w:val="00101D3D"/>
    <w:rsid w:val="00101EAF"/>
    <w:rsid w:val="001039DD"/>
    <w:rsid w:val="00104EFA"/>
    <w:rsid w:val="00105189"/>
    <w:rsid w:val="0010558F"/>
    <w:rsid w:val="00105FBB"/>
    <w:rsid w:val="00110B71"/>
    <w:rsid w:val="00113062"/>
    <w:rsid w:val="0011341E"/>
    <w:rsid w:val="001140B1"/>
    <w:rsid w:val="00114380"/>
    <w:rsid w:val="0011496C"/>
    <w:rsid w:val="00116223"/>
    <w:rsid w:val="001165C5"/>
    <w:rsid w:val="001166F9"/>
    <w:rsid w:val="001167D3"/>
    <w:rsid w:val="00117924"/>
    <w:rsid w:val="00117C46"/>
    <w:rsid w:val="00117CDB"/>
    <w:rsid w:val="001204A0"/>
    <w:rsid w:val="00120574"/>
    <w:rsid w:val="0012079A"/>
    <w:rsid w:val="00121F40"/>
    <w:rsid w:val="00122063"/>
    <w:rsid w:val="00122133"/>
    <w:rsid w:val="00122F4A"/>
    <w:rsid w:val="001259C0"/>
    <w:rsid w:val="00126D94"/>
    <w:rsid w:val="001274C9"/>
    <w:rsid w:val="001306F2"/>
    <w:rsid w:val="00130D9D"/>
    <w:rsid w:val="0013369A"/>
    <w:rsid w:val="0013375D"/>
    <w:rsid w:val="00133ACF"/>
    <w:rsid w:val="00133C92"/>
    <w:rsid w:val="00135127"/>
    <w:rsid w:val="001353B0"/>
    <w:rsid w:val="00136217"/>
    <w:rsid w:val="0013688A"/>
    <w:rsid w:val="001376C6"/>
    <w:rsid w:val="00137E31"/>
    <w:rsid w:val="00140B01"/>
    <w:rsid w:val="001411FC"/>
    <w:rsid w:val="00141677"/>
    <w:rsid w:val="0014167C"/>
    <w:rsid w:val="00141954"/>
    <w:rsid w:val="00143F24"/>
    <w:rsid w:val="00143FC5"/>
    <w:rsid w:val="001446C0"/>
    <w:rsid w:val="0014495B"/>
    <w:rsid w:val="00144A63"/>
    <w:rsid w:val="00146605"/>
    <w:rsid w:val="001476D3"/>
    <w:rsid w:val="00151471"/>
    <w:rsid w:val="00152CED"/>
    <w:rsid w:val="00153359"/>
    <w:rsid w:val="0015388C"/>
    <w:rsid w:val="00156B65"/>
    <w:rsid w:val="001577A1"/>
    <w:rsid w:val="00161E6D"/>
    <w:rsid w:val="001631FE"/>
    <w:rsid w:val="00164FB7"/>
    <w:rsid w:val="00165A8B"/>
    <w:rsid w:val="00165D0D"/>
    <w:rsid w:val="00165E3C"/>
    <w:rsid w:val="00166370"/>
    <w:rsid w:val="00166DE0"/>
    <w:rsid w:val="00170D89"/>
    <w:rsid w:val="00171EAA"/>
    <w:rsid w:val="00172A6A"/>
    <w:rsid w:val="001747F1"/>
    <w:rsid w:val="00174C5F"/>
    <w:rsid w:val="0017594A"/>
    <w:rsid w:val="001767D9"/>
    <w:rsid w:val="00177062"/>
    <w:rsid w:val="00180C17"/>
    <w:rsid w:val="00180C58"/>
    <w:rsid w:val="00183CD5"/>
    <w:rsid w:val="00183FFB"/>
    <w:rsid w:val="00184468"/>
    <w:rsid w:val="0018691B"/>
    <w:rsid w:val="00187DD4"/>
    <w:rsid w:val="00192C0F"/>
    <w:rsid w:val="00193211"/>
    <w:rsid w:val="00193334"/>
    <w:rsid w:val="00193641"/>
    <w:rsid w:val="00196EF3"/>
    <w:rsid w:val="001A01C8"/>
    <w:rsid w:val="001A0D74"/>
    <w:rsid w:val="001A16E3"/>
    <w:rsid w:val="001A2AC9"/>
    <w:rsid w:val="001A2B1B"/>
    <w:rsid w:val="001A31D5"/>
    <w:rsid w:val="001A38B7"/>
    <w:rsid w:val="001A485F"/>
    <w:rsid w:val="001A50BA"/>
    <w:rsid w:val="001A5FAD"/>
    <w:rsid w:val="001A611B"/>
    <w:rsid w:val="001A6278"/>
    <w:rsid w:val="001A787E"/>
    <w:rsid w:val="001B0E89"/>
    <w:rsid w:val="001B1291"/>
    <w:rsid w:val="001B27DB"/>
    <w:rsid w:val="001B4012"/>
    <w:rsid w:val="001B46C1"/>
    <w:rsid w:val="001B5C15"/>
    <w:rsid w:val="001B7A4A"/>
    <w:rsid w:val="001C0D30"/>
    <w:rsid w:val="001C3E3B"/>
    <w:rsid w:val="001C45D2"/>
    <w:rsid w:val="001C4769"/>
    <w:rsid w:val="001C4E0B"/>
    <w:rsid w:val="001C5330"/>
    <w:rsid w:val="001C6718"/>
    <w:rsid w:val="001C69B0"/>
    <w:rsid w:val="001C6F18"/>
    <w:rsid w:val="001D0C9A"/>
    <w:rsid w:val="001D2B1D"/>
    <w:rsid w:val="001D3D77"/>
    <w:rsid w:val="001D3E71"/>
    <w:rsid w:val="001D3EE4"/>
    <w:rsid w:val="001D3FB1"/>
    <w:rsid w:val="001D4D33"/>
    <w:rsid w:val="001D69BA"/>
    <w:rsid w:val="001D7639"/>
    <w:rsid w:val="001D7C3E"/>
    <w:rsid w:val="001E027E"/>
    <w:rsid w:val="001E089E"/>
    <w:rsid w:val="001E0E47"/>
    <w:rsid w:val="001E2170"/>
    <w:rsid w:val="001E4B57"/>
    <w:rsid w:val="001F1745"/>
    <w:rsid w:val="001F1ECE"/>
    <w:rsid w:val="001F21F7"/>
    <w:rsid w:val="001F2AC5"/>
    <w:rsid w:val="001F2BB0"/>
    <w:rsid w:val="001F37F9"/>
    <w:rsid w:val="001F3E9C"/>
    <w:rsid w:val="001F5C30"/>
    <w:rsid w:val="001F6256"/>
    <w:rsid w:val="001F7186"/>
    <w:rsid w:val="001F7461"/>
    <w:rsid w:val="001F74B6"/>
    <w:rsid w:val="001F74DE"/>
    <w:rsid w:val="002018C9"/>
    <w:rsid w:val="00202161"/>
    <w:rsid w:val="002022AF"/>
    <w:rsid w:val="00203369"/>
    <w:rsid w:val="00206973"/>
    <w:rsid w:val="002076C2"/>
    <w:rsid w:val="00207F22"/>
    <w:rsid w:val="00210B44"/>
    <w:rsid w:val="00210FB9"/>
    <w:rsid w:val="00211A21"/>
    <w:rsid w:val="00212461"/>
    <w:rsid w:val="00213BF7"/>
    <w:rsid w:val="0021487A"/>
    <w:rsid w:val="00220D7D"/>
    <w:rsid w:val="00223261"/>
    <w:rsid w:val="00223591"/>
    <w:rsid w:val="00224180"/>
    <w:rsid w:val="002242E9"/>
    <w:rsid w:val="00224918"/>
    <w:rsid w:val="00224AE1"/>
    <w:rsid w:val="00225575"/>
    <w:rsid w:val="00225D65"/>
    <w:rsid w:val="00226623"/>
    <w:rsid w:val="00227E9A"/>
    <w:rsid w:val="00232EEB"/>
    <w:rsid w:val="00234103"/>
    <w:rsid w:val="00234704"/>
    <w:rsid w:val="002347B5"/>
    <w:rsid w:val="0023624B"/>
    <w:rsid w:val="00236668"/>
    <w:rsid w:val="002369AC"/>
    <w:rsid w:val="00237B89"/>
    <w:rsid w:val="00240EB2"/>
    <w:rsid w:val="00241399"/>
    <w:rsid w:val="00241C92"/>
    <w:rsid w:val="0024515D"/>
    <w:rsid w:val="00247DB1"/>
    <w:rsid w:val="0025069D"/>
    <w:rsid w:val="002529D4"/>
    <w:rsid w:val="00253B8D"/>
    <w:rsid w:val="002543BB"/>
    <w:rsid w:val="00256130"/>
    <w:rsid w:val="002562CB"/>
    <w:rsid w:val="00260EC1"/>
    <w:rsid w:val="00261448"/>
    <w:rsid w:val="0026146D"/>
    <w:rsid w:val="002623C7"/>
    <w:rsid w:val="0026292C"/>
    <w:rsid w:val="00262B79"/>
    <w:rsid w:val="00263743"/>
    <w:rsid w:val="00264594"/>
    <w:rsid w:val="00264651"/>
    <w:rsid w:val="0026495C"/>
    <w:rsid w:val="0026510B"/>
    <w:rsid w:val="0026566F"/>
    <w:rsid w:val="00265966"/>
    <w:rsid w:val="00265D87"/>
    <w:rsid w:val="00266CDD"/>
    <w:rsid w:val="00266E13"/>
    <w:rsid w:val="00270564"/>
    <w:rsid w:val="00270857"/>
    <w:rsid w:val="00270FEB"/>
    <w:rsid w:val="002712D0"/>
    <w:rsid w:val="002713C4"/>
    <w:rsid w:val="0027481E"/>
    <w:rsid w:val="00275E86"/>
    <w:rsid w:val="002762AA"/>
    <w:rsid w:val="002764F8"/>
    <w:rsid w:val="00276606"/>
    <w:rsid w:val="002776D4"/>
    <w:rsid w:val="00277772"/>
    <w:rsid w:val="0028068A"/>
    <w:rsid w:val="00281527"/>
    <w:rsid w:val="00282804"/>
    <w:rsid w:val="00282F52"/>
    <w:rsid w:val="00283B1E"/>
    <w:rsid w:val="00283E7E"/>
    <w:rsid w:val="00285C3C"/>
    <w:rsid w:val="002865B0"/>
    <w:rsid w:val="00286623"/>
    <w:rsid w:val="00286FDD"/>
    <w:rsid w:val="00287469"/>
    <w:rsid w:val="0028773B"/>
    <w:rsid w:val="00287B37"/>
    <w:rsid w:val="00287FF6"/>
    <w:rsid w:val="00290C65"/>
    <w:rsid w:val="00292C5F"/>
    <w:rsid w:val="00294E5A"/>
    <w:rsid w:val="00295AFF"/>
    <w:rsid w:val="00295C7D"/>
    <w:rsid w:val="00295EAD"/>
    <w:rsid w:val="002960E7"/>
    <w:rsid w:val="00296CA5"/>
    <w:rsid w:val="002A0B0C"/>
    <w:rsid w:val="002A1165"/>
    <w:rsid w:val="002A1DB1"/>
    <w:rsid w:val="002A42D3"/>
    <w:rsid w:val="002A482F"/>
    <w:rsid w:val="002A666B"/>
    <w:rsid w:val="002A700D"/>
    <w:rsid w:val="002B0596"/>
    <w:rsid w:val="002B5812"/>
    <w:rsid w:val="002B65C0"/>
    <w:rsid w:val="002B66A9"/>
    <w:rsid w:val="002B6B80"/>
    <w:rsid w:val="002B774E"/>
    <w:rsid w:val="002C1247"/>
    <w:rsid w:val="002C1946"/>
    <w:rsid w:val="002C198D"/>
    <w:rsid w:val="002C25F8"/>
    <w:rsid w:val="002C4F96"/>
    <w:rsid w:val="002C5C36"/>
    <w:rsid w:val="002C6942"/>
    <w:rsid w:val="002C7218"/>
    <w:rsid w:val="002C7A76"/>
    <w:rsid w:val="002D0230"/>
    <w:rsid w:val="002D2127"/>
    <w:rsid w:val="002D28FE"/>
    <w:rsid w:val="002D3045"/>
    <w:rsid w:val="002D4A2E"/>
    <w:rsid w:val="002D4BF6"/>
    <w:rsid w:val="002D4DA6"/>
    <w:rsid w:val="002D4E4F"/>
    <w:rsid w:val="002D568B"/>
    <w:rsid w:val="002D6636"/>
    <w:rsid w:val="002D7D92"/>
    <w:rsid w:val="002E0156"/>
    <w:rsid w:val="002E0459"/>
    <w:rsid w:val="002E2123"/>
    <w:rsid w:val="002E348B"/>
    <w:rsid w:val="002E362E"/>
    <w:rsid w:val="002E3F2D"/>
    <w:rsid w:val="002E4C99"/>
    <w:rsid w:val="002E599A"/>
    <w:rsid w:val="002E6CD0"/>
    <w:rsid w:val="002F25A0"/>
    <w:rsid w:val="002F534A"/>
    <w:rsid w:val="002F7077"/>
    <w:rsid w:val="0030187F"/>
    <w:rsid w:val="00302E5A"/>
    <w:rsid w:val="00305E44"/>
    <w:rsid w:val="00306562"/>
    <w:rsid w:val="00306844"/>
    <w:rsid w:val="00306CA9"/>
    <w:rsid w:val="0031024B"/>
    <w:rsid w:val="0031031A"/>
    <w:rsid w:val="00311256"/>
    <w:rsid w:val="00311AB4"/>
    <w:rsid w:val="003122D8"/>
    <w:rsid w:val="00312E55"/>
    <w:rsid w:val="00312FE9"/>
    <w:rsid w:val="003170B5"/>
    <w:rsid w:val="00317ACD"/>
    <w:rsid w:val="00320DAB"/>
    <w:rsid w:val="00321C2C"/>
    <w:rsid w:val="003225C2"/>
    <w:rsid w:val="00322E7D"/>
    <w:rsid w:val="003238BF"/>
    <w:rsid w:val="0033044F"/>
    <w:rsid w:val="00332011"/>
    <w:rsid w:val="00332A85"/>
    <w:rsid w:val="00333BC1"/>
    <w:rsid w:val="00333EE7"/>
    <w:rsid w:val="003341C7"/>
    <w:rsid w:val="00334570"/>
    <w:rsid w:val="00334CD1"/>
    <w:rsid w:val="003405E5"/>
    <w:rsid w:val="003408BA"/>
    <w:rsid w:val="003448A8"/>
    <w:rsid w:val="003450F3"/>
    <w:rsid w:val="00345546"/>
    <w:rsid w:val="003501BB"/>
    <w:rsid w:val="00350403"/>
    <w:rsid w:val="003512A2"/>
    <w:rsid w:val="00352078"/>
    <w:rsid w:val="00352795"/>
    <w:rsid w:val="00353513"/>
    <w:rsid w:val="00353595"/>
    <w:rsid w:val="00354DE7"/>
    <w:rsid w:val="00355F78"/>
    <w:rsid w:val="00356147"/>
    <w:rsid w:val="0035703B"/>
    <w:rsid w:val="00357BB3"/>
    <w:rsid w:val="00360B71"/>
    <w:rsid w:val="00360DA3"/>
    <w:rsid w:val="00360F00"/>
    <w:rsid w:val="0036130B"/>
    <w:rsid w:val="00366A92"/>
    <w:rsid w:val="003670BB"/>
    <w:rsid w:val="00367E79"/>
    <w:rsid w:val="00371630"/>
    <w:rsid w:val="00371D44"/>
    <w:rsid w:val="0037216F"/>
    <w:rsid w:val="00372581"/>
    <w:rsid w:val="00372D5C"/>
    <w:rsid w:val="00372EA2"/>
    <w:rsid w:val="003739E3"/>
    <w:rsid w:val="00373A4D"/>
    <w:rsid w:val="00373C64"/>
    <w:rsid w:val="00374196"/>
    <w:rsid w:val="003748E8"/>
    <w:rsid w:val="00375ABD"/>
    <w:rsid w:val="003767A8"/>
    <w:rsid w:val="003806CC"/>
    <w:rsid w:val="00380BD0"/>
    <w:rsid w:val="00380E3D"/>
    <w:rsid w:val="00381332"/>
    <w:rsid w:val="00382BA3"/>
    <w:rsid w:val="00382DA8"/>
    <w:rsid w:val="00383E85"/>
    <w:rsid w:val="0038446F"/>
    <w:rsid w:val="00384705"/>
    <w:rsid w:val="0038484F"/>
    <w:rsid w:val="0038587D"/>
    <w:rsid w:val="00385E52"/>
    <w:rsid w:val="00386150"/>
    <w:rsid w:val="00386D13"/>
    <w:rsid w:val="00387E70"/>
    <w:rsid w:val="00391D59"/>
    <w:rsid w:val="003931D1"/>
    <w:rsid w:val="003932EB"/>
    <w:rsid w:val="003935BF"/>
    <w:rsid w:val="0039391C"/>
    <w:rsid w:val="0039567D"/>
    <w:rsid w:val="003A1BC3"/>
    <w:rsid w:val="003A23C0"/>
    <w:rsid w:val="003A3C56"/>
    <w:rsid w:val="003A3FD2"/>
    <w:rsid w:val="003A4C0C"/>
    <w:rsid w:val="003A78C5"/>
    <w:rsid w:val="003A7BD4"/>
    <w:rsid w:val="003B0BAF"/>
    <w:rsid w:val="003B178A"/>
    <w:rsid w:val="003B25B5"/>
    <w:rsid w:val="003B3D58"/>
    <w:rsid w:val="003B5F84"/>
    <w:rsid w:val="003B7496"/>
    <w:rsid w:val="003B7FC5"/>
    <w:rsid w:val="003C1865"/>
    <w:rsid w:val="003C40D0"/>
    <w:rsid w:val="003C45ED"/>
    <w:rsid w:val="003C47ED"/>
    <w:rsid w:val="003C4BB3"/>
    <w:rsid w:val="003C7706"/>
    <w:rsid w:val="003C77A8"/>
    <w:rsid w:val="003C7A93"/>
    <w:rsid w:val="003D01CA"/>
    <w:rsid w:val="003D05B9"/>
    <w:rsid w:val="003D1091"/>
    <w:rsid w:val="003D1C9B"/>
    <w:rsid w:val="003D3A7F"/>
    <w:rsid w:val="003D4B18"/>
    <w:rsid w:val="003D5B6B"/>
    <w:rsid w:val="003D5DFA"/>
    <w:rsid w:val="003D769F"/>
    <w:rsid w:val="003D7F27"/>
    <w:rsid w:val="003E0C98"/>
    <w:rsid w:val="003E13F1"/>
    <w:rsid w:val="003E19C5"/>
    <w:rsid w:val="003E34A8"/>
    <w:rsid w:val="003E34B2"/>
    <w:rsid w:val="003E3B84"/>
    <w:rsid w:val="003E4353"/>
    <w:rsid w:val="003E465E"/>
    <w:rsid w:val="003E4DA8"/>
    <w:rsid w:val="003E50A6"/>
    <w:rsid w:val="003E5740"/>
    <w:rsid w:val="003E76E2"/>
    <w:rsid w:val="003F0C0D"/>
    <w:rsid w:val="003F3DFE"/>
    <w:rsid w:val="003F5B0E"/>
    <w:rsid w:val="00401B7D"/>
    <w:rsid w:val="00401D76"/>
    <w:rsid w:val="00402FAB"/>
    <w:rsid w:val="004037E2"/>
    <w:rsid w:val="00403FCE"/>
    <w:rsid w:val="004046E2"/>
    <w:rsid w:val="00404EC4"/>
    <w:rsid w:val="00407085"/>
    <w:rsid w:val="00407934"/>
    <w:rsid w:val="0040793E"/>
    <w:rsid w:val="00412717"/>
    <w:rsid w:val="0041625F"/>
    <w:rsid w:val="004166B5"/>
    <w:rsid w:val="004209BE"/>
    <w:rsid w:val="00420D12"/>
    <w:rsid w:val="00422A34"/>
    <w:rsid w:val="00424EFE"/>
    <w:rsid w:val="0042503A"/>
    <w:rsid w:val="004254FC"/>
    <w:rsid w:val="00426794"/>
    <w:rsid w:val="00430D4A"/>
    <w:rsid w:val="00431DF5"/>
    <w:rsid w:val="004322C7"/>
    <w:rsid w:val="00433759"/>
    <w:rsid w:val="00435024"/>
    <w:rsid w:val="004352A0"/>
    <w:rsid w:val="00436E4B"/>
    <w:rsid w:val="004376E1"/>
    <w:rsid w:val="004423F0"/>
    <w:rsid w:val="0044266E"/>
    <w:rsid w:val="00442D4F"/>
    <w:rsid w:val="0044365A"/>
    <w:rsid w:val="004439C7"/>
    <w:rsid w:val="00444B73"/>
    <w:rsid w:val="00444BDA"/>
    <w:rsid w:val="00444E10"/>
    <w:rsid w:val="004472B6"/>
    <w:rsid w:val="0045055E"/>
    <w:rsid w:val="00450879"/>
    <w:rsid w:val="00450B33"/>
    <w:rsid w:val="00451AC3"/>
    <w:rsid w:val="004525D6"/>
    <w:rsid w:val="004551CA"/>
    <w:rsid w:val="004555B3"/>
    <w:rsid w:val="00455A3D"/>
    <w:rsid w:val="00457385"/>
    <w:rsid w:val="00457A50"/>
    <w:rsid w:val="00457E36"/>
    <w:rsid w:val="00457F6A"/>
    <w:rsid w:val="00460DB1"/>
    <w:rsid w:val="0046219C"/>
    <w:rsid w:val="00462359"/>
    <w:rsid w:val="004623D3"/>
    <w:rsid w:val="004631E7"/>
    <w:rsid w:val="00465325"/>
    <w:rsid w:val="00466B27"/>
    <w:rsid w:val="00466B31"/>
    <w:rsid w:val="00470145"/>
    <w:rsid w:val="00470F0C"/>
    <w:rsid w:val="00471055"/>
    <w:rsid w:val="0047239B"/>
    <w:rsid w:val="00473018"/>
    <w:rsid w:val="004739B2"/>
    <w:rsid w:val="00474935"/>
    <w:rsid w:val="00476306"/>
    <w:rsid w:val="00476415"/>
    <w:rsid w:val="00480EE3"/>
    <w:rsid w:val="00481E4F"/>
    <w:rsid w:val="004822B3"/>
    <w:rsid w:val="00482C9D"/>
    <w:rsid w:val="00484FB4"/>
    <w:rsid w:val="0048735D"/>
    <w:rsid w:val="00487CE1"/>
    <w:rsid w:val="0049204E"/>
    <w:rsid w:val="00492870"/>
    <w:rsid w:val="0049307B"/>
    <w:rsid w:val="00494EFC"/>
    <w:rsid w:val="0049570B"/>
    <w:rsid w:val="00497834"/>
    <w:rsid w:val="00497966"/>
    <w:rsid w:val="00497AA8"/>
    <w:rsid w:val="00497C01"/>
    <w:rsid w:val="004A10B8"/>
    <w:rsid w:val="004A165C"/>
    <w:rsid w:val="004A27C7"/>
    <w:rsid w:val="004A52A7"/>
    <w:rsid w:val="004A563C"/>
    <w:rsid w:val="004A6B7E"/>
    <w:rsid w:val="004B01A5"/>
    <w:rsid w:val="004B1584"/>
    <w:rsid w:val="004B2251"/>
    <w:rsid w:val="004B2321"/>
    <w:rsid w:val="004B2BD0"/>
    <w:rsid w:val="004B4EF7"/>
    <w:rsid w:val="004B4FAB"/>
    <w:rsid w:val="004B5BAB"/>
    <w:rsid w:val="004B64F5"/>
    <w:rsid w:val="004B67F1"/>
    <w:rsid w:val="004C0C16"/>
    <w:rsid w:val="004C108E"/>
    <w:rsid w:val="004C14FB"/>
    <w:rsid w:val="004C26D1"/>
    <w:rsid w:val="004C3692"/>
    <w:rsid w:val="004C3F30"/>
    <w:rsid w:val="004C44DD"/>
    <w:rsid w:val="004C53B8"/>
    <w:rsid w:val="004D03EB"/>
    <w:rsid w:val="004D0FC4"/>
    <w:rsid w:val="004D17BF"/>
    <w:rsid w:val="004D28E7"/>
    <w:rsid w:val="004D56C3"/>
    <w:rsid w:val="004D5C75"/>
    <w:rsid w:val="004D6E3F"/>
    <w:rsid w:val="004D6F94"/>
    <w:rsid w:val="004D7A10"/>
    <w:rsid w:val="004E158E"/>
    <w:rsid w:val="004E280D"/>
    <w:rsid w:val="004E3406"/>
    <w:rsid w:val="004E4C4A"/>
    <w:rsid w:val="004E4EDD"/>
    <w:rsid w:val="004F1477"/>
    <w:rsid w:val="004F17AD"/>
    <w:rsid w:val="004F1B90"/>
    <w:rsid w:val="004F21FE"/>
    <w:rsid w:val="004F2C0B"/>
    <w:rsid w:val="004F3E7B"/>
    <w:rsid w:val="004F42AC"/>
    <w:rsid w:val="004F440F"/>
    <w:rsid w:val="004F5B26"/>
    <w:rsid w:val="004F659A"/>
    <w:rsid w:val="004F6AED"/>
    <w:rsid w:val="00506A4D"/>
    <w:rsid w:val="005078B2"/>
    <w:rsid w:val="00511A57"/>
    <w:rsid w:val="005124F2"/>
    <w:rsid w:val="00513218"/>
    <w:rsid w:val="00514397"/>
    <w:rsid w:val="00514421"/>
    <w:rsid w:val="00517B48"/>
    <w:rsid w:val="00520C56"/>
    <w:rsid w:val="005235BB"/>
    <w:rsid w:val="00524CAF"/>
    <w:rsid w:val="00526706"/>
    <w:rsid w:val="0052699B"/>
    <w:rsid w:val="00527C19"/>
    <w:rsid w:val="00530A80"/>
    <w:rsid w:val="00530D11"/>
    <w:rsid w:val="00531865"/>
    <w:rsid w:val="00532E5B"/>
    <w:rsid w:val="00534111"/>
    <w:rsid w:val="0053502E"/>
    <w:rsid w:val="005359D7"/>
    <w:rsid w:val="00536996"/>
    <w:rsid w:val="00540E26"/>
    <w:rsid w:val="0054145C"/>
    <w:rsid w:val="00542451"/>
    <w:rsid w:val="0054384C"/>
    <w:rsid w:val="0054389D"/>
    <w:rsid w:val="0054453B"/>
    <w:rsid w:val="0054593C"/>
    <w:rsid w:val="00546ADD"/>
    <w:rsid w:val="00551A03"/>
    <w:rsid w:val="00552074"/>
    <w:rsid w:val="00554B7F"/>
    <w:rsid w:val="005553FA"/>
    <w:rsid w:val="005561EF"/>
    <w:rsid w:val="0055689C"/>
    <w:rsid w:val="00556B27"/>
    <w:rsid w:val="00556C48"/>
    <w:rsid w:val="0055711D"/>
    <w:rsid w:val="0056149A"/>
    <w:rsid w:val="00561E25"/>
    <w:rsid w:val="00565CF5"/>
    <w:rsid w:val="00565E02"/>
    <w:rsid w:val="00566061"/>
    <w:rsid w:val="00566BC3"/>
    <w:rsid w:val="005703D8"/>
    <w:rsid w:val="00570A9B"/>
    <w:rsid w:val="00570C7E"/>
    <w:rsid w:val="00571170"/>
    <w:rsid w:val="00571C9E"/>
    <w:rsid w:val="00572538"/>
    <w:rsid w:val="005728B9"/>
    <w:rsid w:val="00575377"/>
    <w:rsid w:val="00575444"/>
    <w:rsid w:val="00575CD4"/>
    <w:rsid w:val="00575E20"/>
    <w:rsid w:val="00576A91"/>
    <w:rsid w:val="0058071E"/>
    <w:rsid w:val="00581E73"/>
    <w:rsid w:val="00585AB9"/>
    <w:rsid w:val="005861D8"/>
    <w:rsid w:val="00586A84"/>
    <w:rsid w:val="00590562"/>
    <w:rsid w:val="0059141C"/>
    <w:rsid w:val="00592CA9"/>
    <w:rsid w:val="00593ED4"/>
    <w:rsid w:val="00594063"/>
    <w:rsid w:val="005940CF"/>
    <w:rsid w:val="00597731"/>
    <w:rsid w:val="005A27AE"/>
    <w:rsid w:val="005A2946"/>
    <w:rsid w:val="005A428E"/>
    <w:rsid w:val="005A520F"/>
    <w:rsid w:val="005A5AAF"/>
    <w:rsid w:val="005A6AE1"/>
    <w:rsid w:val="005B10F2"/>
    <w:rsid w:val="005B1A13"/>
    <w:rsid w:val="005B48C3"/>
    <w:rsid w:val="005B4EFC"/>
    <w:rsid w:val="005B5CFE"/>
    <w:rsid w:val="005C2A26"/>
    <w:rsid w:val="005C3D3A"/>
    <w:rsid w:val="005C4CB4"/>
    <w:rsid w:val="005C507A"/>
    <w:rsid w:val="005C51CE"/>
    <w:rsid w:val="005C52EC"/>
    <w:rsid w:val="005C57E0"/>
    <w:rsid w:val="005C5B84"/>
    <w:rsid w:val="005C5E7E"/>
    <w:rsid w:val="005C73E2"/>
    <w:rsid w:val="005C7645"/>
    <w:rsid w:val="005D0956"/>
    <w:rsid w:val="005D0D92"/>
    <w:rsid w:val="005D0FA1"/>
    <w:rsid w:val="005D238A"/>
    <w:rsid w:val="005D3FDB"/>
    <w:rsid w:val="005D5BA1"/>
    <w:rsid w:val="005D6102"/>
    <w:rsid w:val="005D6DCE"/>
    <w:rsid w:val="005D7248"/>
    <w:rsid w:val="005D75DE"/>
    <w:rsid w:val="005E1237"/>
    <w:rsid w:val="005E17B7"/>
    <w:rsid w:val="005E2280"/>
    <w:rsid w:val="005E298D"/>
    <w:rsid w:val="005E2BB2"/>
    <w:rsid w:val="005E31AE"/>
    <w:rsid w:val="005E3CCC"/>
    <w:rsid w:val="005E578C"/>
    <w:rsid w:val="005F00C0"/>
    <w:rsid w:val="005F05EA"/>
    <w:rsid w:val="005F371D"/>
    <w:rsid w:val="005F38B5"/>
    <w:rsid w:val="005F3EF8"/>
    <w:rsid w:val="005F421E"/>
    <w:rsid w:val="005F43CC"/>
    <w:rsid w:val="005F5A47"/>
    <w:rsid w:val="0060013A"/>
    <w:rsid w:val="00600DCE"/>
    <w:rsid w:val="00602D4E"/>
    <w:rsid w:val="00603677"/>
    <w:rsid w:val="00604697"/>
    <w:rsid w:val="00604C81"/>
    <w:rsid w:val="00606059"/>
    <w:rsid w:val="00606CC5"/>
    <w:rsid w:val="00606F1F"/>
    <w:rsid w:val="006075B0"/>
    <w:rsid w:val="0061272B"/>
    <w:rsid w:val="006139D2"/>
    <w:rsid w:val="006143C8"/>
    <w:rsid w:val="006175B8"/>
    <w:rsid w:val="006176EB"/>
    <w:rsid w:val="006177A1"/>
    <w:rsid w:val="00617B10"/>
    <w:rsid w:val="00617B42"/>
    <w:rsid w:val="00620073"/>
    <w:rsid w:val="00621990"/>
    <w:rsid w:val="00623148"/>
    <w:rsid w:val="006234E2"/>
    <w:rsid w:val="00625016"/>
    <w:rsid w:val="00625F58"/>
    <w:rsid w:val="00626DB6"/>
    <w:rsid w:val="00627F40"/>
    <w:rsid w:val="006321DF"/>
    <w:rsid w:val="00632F63"/>
    <w:rsid w:val="00633C74"/>
    <w:rsid w:val="00634448"/>
    <w:rsid w:val="00634EDF"/>
    <w:rsid w:val="00641155"/>
    <w:rsid w:val="00641228"/>
    <w:rsid w:val="00642961"/>
    <w:rsid w:val="00644FF6"/>
    <w:rsid w:val="0064530C"/>
    <w:rsid w:val="00645E2E"/>
    <w:rsid w:val="0064649B"/>
    <w:rsid w:val="00646606"/>
    <w:rsid w:val="006473A2"/>
    <w:rsid w:val="00650012"/>
    <w:rsid w:val="00650087"/>
    <w:rsid w:val="00652AC5"/>
    <w:rsid w:val="0065356A"/>
    <w:rsid w:val="006540DE"/>
    <w:rsid w:val="0065488F"/>
    <w:rsid w:val="00655204"/>
    <w:rsid w:val="0065561C"/>
    <w:rsid w:val="00655B07"/>
    <w:rsid w:val="006566C4"/>
    <w:rsid w:val="00657DFF"/>
    <w:rsid w:val="00661BF0"/>
    <w:rsid w:val="00662BAB"/>
    <w:rsid w:val="00663DE6"/>
    <w:rsid w:val="00663E8C"/>
    <w:rsid w:val="00665EA0"/>
    <w:rsid w:val="00666712"/>
    <w:rsid w:val="0066680F"/>
    <w:rsid w:val="00666CDE"/>
    <w:rsid w:val="0066722E"/>
    <w:rsid w:val="006673CB"/>
    <w:rsid w:val="00670450"/>
    <w:rsid w:val="00670B01"/>
    <w:rsid w:val="00670C35"/>
    <w:rsid w:val="006719D5"/>
    <w:rsid w:val="00671F91"/>
    <w:rsid w:val="00675EA3"/>
    <w:rsid w:val="00675F7B"/>
    <w:rsid w:val="00676A35"/>
    <w:rsid w:val="006775E1"/>
    <w:rsid w:val="00680154"/>
    <w:rsid w:val="00681F36"/>
    <w:rsid w:val="006852E6"/>
    <w:rsid w:val="006856F2"/>
    <w:rsid w:val="00687DBF"/>
    <w:rsid w:val="00692309"/>
    <w:rsid w:val="00693E55"/>
    <w:rsid w:val="00694810"/>
    <w:rsid w:val="006950CD"/>
    <w:rsid w:val="00695434"/>
    <w:rsid w:val="0069552F"/>
    <w:rsid w:val="006959AE"/>
    <w:rsid w:val="006959BC"/>
    <w:rsid w:val="00695E53"/>
    <w:rsid w:val="00696429"/>
    <w:rsid w:val="00697331"/>
    <w:rsid w:val="006A17E8"/>
    <w:rsid w:val="006A1990"/>
    <w:rsid w:val="006A1DD6"/>
    <w:rsid w:val="006A24A5"/>
    <w:rsid w:val="006A3D87"/>
    <w:rsid w:val="006A711C"/>
    <w:rsid w:val="006B0285"/>
    <w:rsid w:val="006B0529"/>
    <w:rsid w:val="006B29EF"/>
    <w:rsid w:val="006B2A4C"/>
    <w:rsid w:val="006B2F2C"/>
    <w:rsid w:val="006B32B9"/>
    <w:rsid w:val="006B4447"/>
    <w:rsid w:val="006B5F4C"/>
    <w:rsid w:val="006B6929"/>
    <w:rsid w:val="006B7C64"/>
    <w:rsid w:val="006B7CC2"/>
    <w:rsid w:val="006C08B7"/>
    <w:rsid w:val="006C27C1"/>
    <w:rsid w:val="006C3AD3"/>
    <w:rsid w:val="006C4D3E"/>
    <w:rsid w:val="006C5F9D"/>
    <w:rsid w:val="006C6896"/>
    <w:rsid w:val="006C6A3F"/>
    <w:rsid w:val="006C71C8"/>
    <w:rsid w:val="006D20F6"/>
    <w:rsid w:val="006D2C2D"/>
    <w:rsid w:val="006D55B3"/>
    <w:rsid w:val="006D6356"/>
    <w:rsid w:val="006D6768"/>
    <w:rsid w:val="006D680A"/>
    <w:rsid w:val="006E0BC2"/>
    <w:rsid w:val="006E0D29"/>
    <w:rsid w:val="006E18F0"/>
    <w:rsid w:val="006E2207"/>
    <w:rsid w:val="006E29E0"/>
    <w:rsid w:val="006E2AC6"/>
    <w:rsid w:val="006E3C40"/>
    <w:rsid w:val="006E6002"/>
    <w:rsid w:val="006E7259"/>
    <w:rsid w:val="006F0066"/>
    <w:rsid w:val="006F058D"/>
    <w:rsid w:val="006F2CB6"/>
    <w:rsid w:val="006F2F79"/>
    <w:rsid w:val="006F569A"/>
    <w:rsid w:val="00700050"/>
    <w:rsid w:val="0070005F"/>
    <w:rsid w:val="007009C1"/>
    <w:rsid w:val="00701A21"/>
    <w:rsid w:val="00702943"/>
    <w:rsid w:val="00702DBA"/>
    <w:rsid w:val="00703348"/>
    <w:rsid w:val="00703445"/>
    <w:rsid w:val="00703FF4"/>
    <w:rsid w:val="007066A0"/>
    <w:rsid w:val="00711377"/>
    <w:rsid w:val="00712D83"/>
    <w:rsid w:val="00713BD8"/>
    <w:rsid w:val="00714F78"/>
    <w:rsid w:val="00715742"/>
    <w:rsid w:val="00717163"/>
    <w:rsid w:val="00717994"/>
    <w:rsid w:val="0072005D"/>
    <w:rsid w:val="00720C84"/>
    <w:rsid w:val="00721007"/>
    <w:rsid w:val="00721B68"/>
    <w:rsid w:val="00722D68"/>
    <w:rsid w:val="00724969"/>
    <w:rsid w:val="00724DFC"/>
    <w:rsid w:val="007250A5"/>
    <w:rsid w:val="00726302"/>
    <w:rsid w:val="00726C2A"/>
    <w:rsid w:val="0073021A"/>
    <w:rsid w:val="007323ED"/>
    <w:rsid w:val="00734336"/>
    <w:rsid w:val="007354C8"/>
    <w:rsid w:val="00741FF6"/>
    <w:rsid w:val="00744C51"/>
    <w:rsid w:val="0074641A"/>
    <w:rsid w:val="007467A0"/>
    <w:rsid w:val="00746C4E"/>
    <w:rsid w:val="00750232"/>
    <w:rsid w:val="00750391"/>
    <w:rsid w:val="00751F75"/>
    <w:rsid w:val="007520B6"/>
    <w:rsid w:val="00753765"/>
    <w:rsid w:val="00754378"/>
    <w:rsid w:val="00755407"/>
    <w:rsid w:val="007569D6"/>
    <w:rsid w:val="00756FFF"/>
    <w:rsid w:val="007576DA"/>
    <w:rsid w:val="0075772F"/>
    <w:rsid w:val="007577D3"/>
    <w:rsid w:val="00757BB4"/>
    <w:rsid w:val="00760FF7"/>
    <w:rsid w:val="0076143C"/>
    <w:rsid w:val="00761B50"/>
    <w:rsid w:val="00761F20"/>
    <w:rsid w:val="00763DC2"/>
    <w:rsid w:val="00763FA5"/>
    <w:rsid w:val="007645B2"/>
    <w:rsid w:val="00765D0F"/>
    <w:rsid w:val="0076617A"/>
    <w:rsid w:val="0076742E"/>
    <w:rsid w:val="00767A05"/>
    <w:rsid w:val="00773268"/>
    <w:rsid w:val="007733DA"/>
    <w:rsid w:val="00774DB7"/>
    <w:rsid w:val="0077687B"/>
    <w:rsid w:val="0077720D"/>
    <w:rsid w:val="00780D11"/>
    <w:rsid w:val="007815BA"/>
    <w:rsid w:val="00783A9A"/>
    <w:rsid w:val="0078491B"/>
    <w:rsid w:val="00785888"/>
    <w:rsid w:val="00785AD2"/>
    <w:rsid w:val="00785EF9"/>
    <w:rsid w:val="00786A56"/>
    <w:rsid w:val="00786E0B"/>
    <w:rsid w:val="00786EA2"/>
    <w:rsid w:val="00791621"/>
    <w:rsid w:val="00792783"/>
    <w:rsid w:val="00792E7B"/>
    <w:rsid w:val="00794F18"/>
    <w:rsid w:val="00796706"/>
    <w:rsid w:val="00797121"/>
    <w:rsid w:val="00797BEA"/>
    <w:rsid w:val="007A03FE"/>
    <w:rsid w:val="007A13CD"/>
    <w:rsid w:val="007A15A5"/>
    <w:rsid w:val="007A1C9A"/>
    <w:rsid w:val="007A1DB6"/>
    <w:rsid w:val="007A4381"/>
    <w:rsid w:val="007A48CA"/>
    <w:rsid w:val="007A5843"/>
    <w:rsid w:val="007A76F8"/>
    <w:rsid w:val="007A7F85"/>
    <w:rsid w:val="007B18ED"/>
    <w:rsid w:val="007B1930"/>
    <w:rsid w:val="007B2C67"/>
    <w:rsid w:val="007B48B3"/>
    <w:rsid w:val="007B5160"/>
    <w:rsid w:val="007B60B7"/>
    <w:rsid w:val="007B62C0"/>
    <w:rsid w:val="007B64CA"/>
    <w:rsid w:val="007B70CB"/>
    <w:rsid w:val="007C01B6"/>
    <w:rsid w:val="007C08FD"/>
    <w:rsid w:val="007C30B9"/>
    <w:rsid w:val="007C3388"/>
    <w:rsid w:val="007C42F8"/>
    <w:rsid w:val="007C4B95"/>
    <w:rsid w:val="007C5213"/>
    <w:rsid w:val="007C550A"/>
    <w:rsid w:val="007C7B63"/>
    <w:rsid w:val="007D226C"/>
    <w:rsid w:val="007D23CF"/>
    <w:rsid w:val="007D26BE"/>
    <w:rsid w:val="007D2719"/>
    <w:rsid w:val="007D6879"/>
    <w:rsid w:val="007D705B"/>
    <w:rsid w:val="007E0FE2"/>
    <w:rsid w:val="007E1B72"/>
    <w:rsid w:val="007E1BA7"/>
    <w:rsid w:val="007E3CE2"/>
    <w:rsid w:val="007E4484"/>
    <w:rsid w:val="007E57AB"/>
    <w:rsid w:val="007E64C2"/>
    <w:rsid w:val="007E6DEB"/>
    <w:rsid w:val="007E7896"/>
    <w:rsid w:val="007F35BE"/>
    <w:rsid w:val="007F5D75"/>
    <w:rsid w:val="007F6187"/>
    <w:rsid w:val="007F6FA1"/>
    <w:rsid w:val="007F72B5"/>
    <w:rsid w:val="00800A60"/>
    <w:rsid w:val="00801840"/>
    <w:rsid w:val="008018CB"/>
    <w:rsid w:val="00804229"/>
    <w:rsid w:val="0080480B"/>
    <w:rsid w:val="00805604"/>
    <w:rsid w:val="008056F1"/>
    <w:rsid w:val="008057E2"/>
    <w:rsid w:val="00805BB7"/>
    <w:rsid w:val="00806B92"/>
    <w:rsid w:val="008100E1"/>
    <w:rsid w:val="00810567"/>
    <w:rsid w:val="0081443D"/>
    <w:rsid w:val="0081695C"/>
    <w:rsid w:val="008179AA"/>
    <w:rsid w:val="00820EB5"/>
    <w:rsid w:val="0082115C"/>
    <w:rsid w:val="00821EBF"/>
    <w:rsid w:val="00822128"/>
    <w:rsid w:val="00822FAD"/>
    <w:rsid w:val="008236C4"/>
    <w:rsid w:val="0082391C"/>
    <w:rsid w:val="00824177"/>
    <w:rsid w:val="008245FD"/>
    <w:rsid w:val="008272CB"/>
    <w:rsid w:val="00830550"/>
    <w:rsid w:val="00830896"/>
    <w:rsid w:val="00830CAD"/>
    <w:rsid w:val="00830D61"/>
    <w:rsid w:val="00830F35"/>
    <w:rsid w:val="00831003"/>
    <w:rsid w:val="0083199A"/>
    <w:rsid w:val="008328DD"/>
    <w:rsid w:val="008331FF"/>
    <w:rsid w:val="00833489"/>
    <w:rsid w:val="00836DAB"/>
    <w:rsid w:val="00836E16"/>
    <w:rsid w:val="00837893"/>
    <w:rsid w:val="0084027A"/>
    <w:rsid w:val="00840A60"/>
    <w:rsid w:val="008415A3"/>
    <w:rsid w:val="00842195"/>
    <w:rsid w:val="008428C1"/>
    <w:rsid w:val="00842A64"/>
    <w:rsid w:val="0084304E"/>
    <w:rsid w:val="008432A3"/>
    <w:rsid w:val="0084377E"/>
    <w:rsid w:val="00844FA7"/>
    <w:rsid w:val="0084500D"/>
    <w:rsid w:val="008454A9"/>
    <w:rsid w:val="0084571A"/>
    <w:rsid w:val="00845E3F"/>
    <w:rsid w:val="008521AB"/>
    <w:rsid w:val="008525EE"/>
    <w:rsid w:val="00852BFD"/>
    <w:rsid w:val="008546AF"/>
    <w:rsid w:val="00855309"/>
    <w:rsid w:val="00856FF7"/>
    <w:rsid w:val="00860006"/>
    <w:rsid w:val="0086014E"/>
    <w:rsid w:val="0086063B"/>
    <w:rsid w:val="00862A18"/>
    <w:rsid w:val="00863289"/>
    <w:rsid w:val="008636FE"/>
    <w:rsid w:val="0086464D"/>
    <w:rsid w:val="00864D4B"/>
    <w:rsid w:val="00865105"/>
    <w:rsid w:val="0086543B"/>
    <w:rsid w:val="00866320"/>
    <w:rsid w:val="008675D7"/>
    <w:rsid w:val="00867ADD"/>
    <w:rsid w:val="00872D99"/>
    <w:rsid w:val="00873A75"/>
    <w:rsid w:val="00876488"/>
    <w:rsid w:val="00876B0F"/>
    <w:rsid w:val="00876D78"/>
    <w:rsid w:val="008771CC"/>
    <w:rsid w:val="008808DC"/>
    <w:rsid w:val="008819BB"/>
    <w:rsid w:val="0088296F"/>
    <w:rsid w:val="00882BCC"/>
    <w:rsid w:val="00882BF5"/>
    <w:rsid w:val="00882BFE"/>
    <w:rsid w:val="008830A3"/>
    <w:rsid w:val="00885453"/>
    <w:rsid w:val="00886593"/>
    <w:rsid w:val="00887DA5"/>
    <w:rsid w:val="008903E3"/>
    <w:rsid w:val="00890445"/>
    <w:rsid w:val="00890717"/>
    <w:rsid w:val="00891592"/>
    <w:rsid w:val="00891A55"/>
    <w:rsid w:val="00891B2A"/>
    <w:rsid w:val="008948B1"/>
    <w:rsid w:val="00895C2E"/>
    <w:rsid w:val="00895EED"/>
    <w:rsid w:val="0089672F"/>
    <w:rsid w:val="008A0414"/>
    <w:rsid w:val="008A0B4C"/>
    <w:rsid w:val="008A0B7D"/>
    <w:rsid w:val="008A10D8"/>
    <w:rsid w:val="008A15A4"/>
    <w:rsid w:val="008A1E82"/>
    <w:rsid w:val="008A3BE7"/>
    <w:rsid w:val="008A4F4B"/>
    <w:rsid w:val="008A57D0"/>
    <w:rsid w:val="008A5D87"/>
    <w:rsid w:val="008A6146"/>
    <w:rsid w:val="008A63F0"/>
    <w:rsid w:val="008A64AB"/>
    <w:rsid w:val="008A7726"/>
    <w:rsid w:val="008A7EB7"/>
    <w:rsid w:val="008B0A98"/>
    <w:rsid w:val="008B1108"/>
    <w:rsid w:val="008B165D"/>
    <w:rsid w:val="008B2C2A"/>
    <w:rsid w:val="008B3134"/>
    <w:rsid w:val="008B37A3"/>
    <w:rsid w:val="008B4769"/>
    <w:rsid w:val="008B4F19"/>
    <w:rsid w:val="008B5CD7"/>
    <w:rsid w:val="008B6E95"/>
    <w:rsid w:val="008B798D"/>
    <w:rsid w:val="008C13D1"/>
    <w:rsid w:val="008C1F3E"/>
    <w:rsid w:val="008C2814"/>
    <w:rsid w:val="008C3016"/>
    <w:rsid w:val="008C331E"/>
    <w:rsid w:val="008C3B72"/>
    <w:rsid w:val="008C5021"/>
    <w:rsid w:val="008C789C"/>
    <w:rsid w:val="008C7D5B"/>
    <w:rsid w:val="008D0935"/>
    <w:rsid w:val="008D0ED9"/>
    <w:rsid w:val="008D3858"/>
    <w:rsid w:val="008D3CDC"/>
    <w:rsid w:val="008D5780"/>
    <w:rsid w:val="008D6907"/>
    <w:rsid w:val="008D779C"/>
    <w:rsid w:val="008E064C"/>
    <w:rsid w:val="008E19AF"/>
    <w:rsid w:val="008E1C06"/>
    <w:rsid w:val="008E2DF3"/>
    <w:rsid w:val="008E4133"/>
    <w:rsid w:val="008E45BE"/>
    <w:rsid w:val="008E4C6A"/>
    <w:rsid w:val="008E5774"/>
    <w:rsid w:val="008E736E"/>
    <w:rsid w:val="008F0939"/>
    <w:rsid w:val="008F11B6"/>
    <w:rsid w:val="008F1426"/>
    <w:rsid w:val="008F3190"/>
    <w:rsid w:val="008F45F7"/>
    <w:rsid w:val="008F4F02"/>
    <w:rsid w:val="008F598A"/>
    <w:rsid w:val="008F5E0C"/>
    <w:rsid w:val="008F6916"/>
    <w:rsid w:val="008F6DCD"/>
    <w:rsid w:val="008F756E"/>
    <w:rsid w:val="00900000"/>
    <w:rsid w:val="00901761"/>
    <w:rsid w:val="0090483C"/>
    <w:rsid w:val="0090589E"/>
    <w:rsid w:val="009062FA"/>
    <w:rsid w:val="00907A60"/>
    <w:rsid w:val="00911A17"/>
    <w:rsid w:val="00911BA6"/>
    <w:rsid w:val="00912AE9"/>
    <w:rsid w:val="00913628"/>
    <w:rsid w:val="00920443"/>
    <w:rsid w:val="00920926"/>
    <w:rsid w:val="009223F9"/>
    <w:rsid w:val="00922ABC"/>
    <w:rsid w:val="00922B4F"/>
    <w:rsid w:val="0092445A"/>
    <w:rsid w:val="00924B8F"/>
    <w:rsid w:val="00925AD5"/>
    <w:rsid w:val="009268A4"/>
    <w:rsid w:val="00927698"/>
    <w:rsid w:val="009308C2"/>
    <w:rsid w:val="00930CD5"/>
    <w:rsid w:val="009314FF"/>
    <w:rsid w:val="0093287D"/>
    <w:rsid w:val="009345DD"/>
    <w:rsid w:val="00934601"/>
    <w:rsid w:val="00934EBC"/>
    <w:rsid w:val="009350EB"/>
    <w:rsid w:val="009352DD"/>
    <w:rsid w:val="00935D7D"/>
    <w:rsid w:val="009364B4"/>
    <w:rsid w:val="0093697D"/>
    <w:rsid w:val="009379A6"/>
    <w:rsid w:val="00941047"/>
    <w:rsid w:val="0094224C"/>
    <w:rsid w:val="00942E3A"/>
    <w:rsid w:val="00946117"/>
    <w:rsid w:val="00946333"/>
    <w:rsid w:val="009464E5"/>
    <w:rsid w:val="00946D68"/>
    <w:rsid w:val="0094773C"/>
    <w:rsid w:val="009532A2"/>
    <w:rsid w:val="0095368D"/>
    <w:rsid w:val="00953976"/>
    <w:rsid w:val="00955017"/>
    <w:rsid w:val="0095548A"/>
    <w:rsid w:val="0095651F"/>
    <w:rsid w:val="0095747E"/>
    <w:rsid w:val="00957D05"/>
    <w:rsid w:val="00957FE7"/>
    <w:rsid w:val="00961712"/>
    <w:rsid w:val="0096287C"/>
    <w:rsid w:val="009636E4"/>
    <w:rsid w:val="0096460D"/>
    <w:rsid w:val="0096501A"/>
    <w:rsid w:val="00965A93"/>
    <w:rsid w:val="009663C3"/>
    <w:rsid w:val="00967221"/>
    <w:rsid w:val="00971934"/>
    <w:rsid w:val="00972304"/>
    <w:rsid w:val="00973863"/>
    <w:rsid w:val="009748A8"/>
    <w:rsid w:val="009752FB"/>
    <w:rsid w:val="009756F7"/>
    <w:rsid w:val="00975D0D"/>
    <w:rsid w:val="00975DEA"/>
    <w:rsid w:val="009765A5"/>
    <w:rsid w:val="0097717B"/>
    <w:rsid w:val="0097776F"/>
    <w:rsid w:val="009778C4"/>
    <w:rsid w:val="0098137C"/>
    <w:rsid w:val="0098246A"/>
    <w:rsid w:val="0098272D"/>
    <w:rsid w:val="0098295C"/>
    <w:rsid w:val="00982C3B"/>
    <w:rsid w:val="00983560"/>
    <w:rsid w:val="00983D34"/>
    <w:rsid w:val="00983EBC"/>
    <w:rsid w:val="0098574E"/>
    <w:rsid w:val="00987421"/>
    <w:rsid w:val="0098743C"/>
    <w:rsid w:val="00987BFB"/>
    <w:rsid w:val="00991FEC"/>
    <w:rsid w:val="00994249"/>
    <w:rsid w:val="00994E78"/>
    <w:rsid w:val="009950E5"/>
    <w:rsid w:val="00996129"/>
    <w:rsid w:val="009964CF"/>
    <w:rsid w:val="009A09EC"/>
    <w:rsid w:val="009A0F02"/>
    <w:rsid w:val="009A18C3"/>
    <w:rsid w:val="009A1B6A"/>
    <w:rsid w:val="009A283F"/>
    <w:rsid w:val="009A599D"/>
    <w:rsid w:val="009A6727"/>
    <w:rsid w:val="009B08B8"/>
    <w:rsid w:val="009B2150"/>
    <w:rsid w:val="009B252E"/>
    <w:rsid w:val="009B2DE4"/>
    <w:rsid w:val="009B30BA"/>
    <w:rsid w:val="009B3517"/>
    <w:rsid w:val="009B3CE8"/>
    <w:rsid w:val="009B3F2D"/>
    <w:rsid w:val="009B6A76"/>
    <w:rsid w:val="009B6CAF"/>
    <w:rsid w:val="009C297A"/>
    <w:rsid w:val="009C4227"/>
    <w:rsid w:val="009C53DC"/>
    <w:rsid w:val="009C6590"/>
    <w:rsid w:val="009C6B67"/>
    <w:rsid w:val="009C7BCE"/>
    <w:rsid w:val="009C7EA8"/>
    <w:rsid w:val="009D044F"/>
    <w:rsid w:val="009D1163"/>
    <w:rsid w:val="009D1793"/>
    <w:rsid w:val="009D3722"/>
    <w:rsid w:val="009D41F4"/>
    <w:rsid w:val="009D5CC1"/>
    <w:rsid w:val="009D6B21"/>
    <w:rsid w:val="009E1698"/>
    <w:rsid w:val="009E2840"/>
    <w:rsid w:val="009E370A"/>
    <w:rsid w:val="009E3B08"/>
    <w:rsid w:val="009E404B"/>
    <w:rsid w:val="009E425C"/>
    <w:rsid w:val="009E4F9F"/>
    <w:rsid w:val="009E64D5"/>
    <w:rsid w:val="009E6EB6"/>
    <w:rsid w:val="009E7D14"/>
    <w:rsid w:val="009F1F99"/>
    <w:rsid w:val="009F29AF"/>
    <w:rsid w:val="009F4493"/>
    <w:rsid w:val="009F58F9"/>
    <w:rsid w:val="009F6C1A"/>
    <w:rsid w:val="009F78D9"/>
    <w:rsid w:val="00A063E0"/>
    <w:rsid w:val="00A07D14"/>
    <w:rsid w:val="00A07DCE"/>
    <w:rsid w:val="00A07E86"/>
    <w:rsid w:val="00A11C5E"/>
    <w:rsid w:val="00A1528C"/>
    <w:rsid w:val="00A152F9"/>
    <w:rsid w:val="00A1762A"/>
    <w:rsid w:val="00A2039E"/>
    <w:rsid w:val="00A2205A"/>
    <w:rsid w:val="00A22554"/>
    <w:rsid w:val="00A2263B"/>
    <w:rsid w:val="00A22D66"/>
    <w:rsid w:val="00A276B2"/>
    <w:rsid w:val="00A30CCA"/>
    <w:rsid w:val="00A32707"/>
    <w:rsid w:val="00A32EED"/>
    <w:rsid w:val="00A351FE"/>
    <w:rsid w:val="00A36E4E"/>
    <w:rsid w:val="00A37AFA"/>
    <w:rsid w:val="00A4199D"/>
    <w:rsid w:val="00A427A8"/>
    <w:rsid w:val="00A42E0F"/>
    <w:rsid w:val="00A4373A"/>
    <w:rsid w:val="00A454E1"/>
    <w:rsid w:val="00A46343"/>
    <w:rsid w:val="00A46F2D"/>
    <w:rsid w:val="00A472F8"/>
    <w:rsid w:val="00A532A1"/>
    <w:rsid w:val="00A538DF"/>
    <w:rsid w:val="00A53A7D"/>
    <w:rsid w:val="00A54655"/>
    <w:rsid w:val="00A552C8"/>
    <w:rsid w:val="00A5531C"/>
    <w:rsid w:val="00A55C3E"/>
    <w:rsid w:val="00A55D30"/>
    <w:rsid w:val="00A56DC2"/>
    <w:rsid w:val="00A6120D"/>
    <w:rsid w:val="00A62960"/>
    <w:rsid w:val="00A63535"/>
    <w:rsid w:val="00A63C1B"/>
    <w:rsid w:val="00A63DC7"/>
    <w:rsid w:val="00A64558"/>
    <w:rsid w:val="00A64953"/>
    <w:rsid w:val="00A64ED9"/>
    <w:rsid w:val="00A65578"/>
    <w:rsid w:val="00A66BED"/>
    <w:rsid w:val="00A6775E"/>
    <w:rsid w:val="00A702A1"/>
    <w:rsid w:val="00A72022"/>
    <w:rsid w:val="00A722E7"/>
    <w:rsid w:val="00A726F0"/>
    <w:rsid w:val="00A739CC"/>
    <w:rsid w:val="00A74711"/>
    <w:rsid w:val="00A7562D"/>
    <w:rsid w:val="00A76408"/>
    <w:rsid w:val="00A77AF2"/>
    <w:rsid w:val="00A82947"/>
    <w:rsid w:val="00A862B5"/>
    <w:rsid w:val="00A86ACC"/>
    <w:rsid w:val="00A87565"/>
    <w:rsid w:val="00A907CC"/>
    <w:rsid w:val="00A92B27"/>
    <w:rsid w:val="00A93968"/>
    <w:rsid w:val="00A93AC4"/>
    <w:rsid w:val="00A947A3"/>
    <w:rsid w:val="00A94F42"/>
    <w:rsid w:val="00A95154"/>
    <w:rsid w:val="00A96773"/>
    <w:rsid w:val="00A96833"/>
    <w:rsid w:val="00A9771C"/>
    <w:rsid w:val="00AA015D"/>
    <w:rsid w:val="00AA1A49"/>
    <w:rsid w:val="00AA247E"/>
    <w:rsid w:val="00AA2EB6"/>
    <w:rsid w:val="00AA33CD"/>
    <w:rsid w:val="00AA5F3B"/>
    <w:rsid w:val="00AA6A2C"/>
    <w:rsid w:val="00AA7EB5"/>
    <w:rsid w:val="00AB13BF"/>
    <w:rsid w:val="00AB3161"/>
    <w:rsid w:val="00AB33CA"/>
    <w:rsid w:val="00AB3432"/>
    <w:rsid w:val="00AB48B3"/>
    <w:rsid w:val="00AB5E14"/>
    <w:rsid w:val="00AC12BF"/>
    <w:rsid w:val="00AC247B"/>
    <w:rsid w:val="00AC3234"/>
    <w:rsid w:val="00AC3DC0"/>
    <w:rsid w:val="00AC42F4"/>
    <w:rsid w:val="00AC4F9A"/>
    <w:rsid w:val="00AC7449"/>
    <w:rsid w:val="00AC7EA2"/>
    <w:rsid w:val="00AD0463"/>
    <w:rsid w:val="00AD0480"/>
    <w:rsid w:val="00AD0580"/>
    <w:rsid w:val="00AD2414"/>
    <w:rsid w:val="00AD2468"/>
    <w:rsid w:val="00AD27C0"/>
    <w:rsid w:val="00AD5A88"/>
    <w:rsid w:val="00AD67C5"/>
    <w:rsid w:val="00AD715C"/>
    <w:rsid w:val="00AD76EB"/>
    <w:rsid w:val="00AE04C5"/>
    <w:rsid w:val="00AE05A5"/>
    <w:rsid w:val="00AE21D6"/>
    <w:rsid w:val="00AE2464"/>
    <w:rsid w:val="00AE2CBC"/>
    <w:rsid w:val="00AE446A"/>
    <w:rsid w:val="00AE492A"/>
    <w:rsid w:val="00AE57E0"/>
    <w:rsid w:val="00AE59AB"/>
    <w:rsid w:val="00AE670F"/>
    <w:rsid w:val="00AE75BF"/>
    <w:rsid w:val="00AF1428"/>
    <w:rsid w:val="00AF459F"/>
    <w:rsid w:val="00AF47CF"/>
    <w:rsid w:val="00AF5D91"/>
    <w:rsid w:val="00AF66A8"/>
    <w:rsid w:val="00AF6CDE"/>
    <w:rsid w:val="00B00326"/>
    <w:rsid w:val="00B00CFD"/>
    <w:rsid w:val="00B01E9C"/>
    <w:rsid w:val="00B0233A"/>
    <w:rsid w:val="00B02CBB"/>
    <w:rsid w:val="00B03101"/>
    <w:rsid w:val="00B0336E"/>
    <w:rsid w:val="00B0350C"/>
    <w:rsid w:val="00B048A7"/>
    <w:rsid w:val="00B050DD"/>
    <w:rsid w:val="00B05742"/>
    <w:rsid w:val="00B064BC"/>
    <w:rsid w:val="00B10555"/>
    <w:rsid w:val="00B10778"/>
    <w:rsid w:val="00B10A09"/>
    <w:rsid w:val="00B1187D"/>
    <w:rsid w:val="00B123FB"/>
    <w:rsid w:val="00B12784"/>
    <w:rsid w:val="00B13C93"/>
    <w:rsid w:val="00B16D0E"/>
    <w:rsid w:val="00B17135"/>
    <w:rsid w:val="00B20941"/>
    <w:rsid w:val="00B2129C"/>
    <w:rsid w:val="00B21D06"/>
    <w:rsid w:val="00B22027"/>
    <w:rsid w:val="00B229CE"/>
    <w:rsid w:val="00B2404F"/>
    <w:rsid w:val="00B243B4"/>
    <w:rsid w:val="00B276F0"/>
    <w:rsid w:val="00B308DD"/>
    <w:rsid w:val="00B32E63"/>
    <w:rsid w:val="00B34484"/>
    <w:rsid w:val="00B34EF3"/>
    <w:rsid w:val="00B35B0A"/>
    <w:rsid w:val="00B3686F"/>
    <w:rsid w:val="00B36B20"/>
    <w:rsid w:val="00B36DBB"/>
    <w:rsid w:val="00B37007"/>
    <w:rsid w:val="00B37028"/>
    <w:rsid w:val="00B40249"/>
    <w:rsid w:val="00B418F9"/>
    <w:rsid w:val="00B41A3C"/>
    <w:rsid w:val="00B42B50"/>
    <w:rsid w:val="00B449FE"/>
    <w:rsid w:val="00B4531B"/>
    <w:rsid w:val="00B461B3"/>
    <w:rsid w:val="00B46E8F"/>
    <w:rsid w:val="00B470BB"/>
    <w:rsid w:val="00B47459"/>
    <w:rsid w:val="00B513F6"/>
    <w:rsid w:val="00B52626"/>
    <w:rsid w:val="00B52BB6"/>
    <w:rsid w:val="00B535F7"/>
    <w:rsid w:val="00B55A04"/>
    <w:rsid w:val="00B55CA0"/>
    <w:rsid w:val="00B60E63"/>
    <w:rsid w:val="00B610EE"/>
    <w:rsid w:val="00B612EC"/>
    <w:rsid w:val="00B61D09"/>
    <w:rsid w:val="00B63EA4"/>
    <w:rsid w:val="00B63EB1"/>
    <w:rsid w:val="00B65277"/>
    <w:rsid w:val="00B65948"/>
    <w:rsid w:val="00B65BEE"/>
    <w:rsid w:val="00B65F87"/>
    <w:rsid w:val="00B663C0"/>
    <w:rsid w:val="00B671EE"/>
    <w:rsid w:val="00B67DAD"/>
    <w:rsid w:val="00B716BC"/>
    <w:rsid w:val="00B732F2"/>
    <w:rsid w:val="00B73B36"/>
    <w:rsid w:val="00B763AE"/>
    <w:rsid w:val="00B76579"/>
    <w:rsid w:val="00B7724D"/>
    <w:rsid w:val="00B77B8F"/>
    <w:rsid w:val="00B83CC9"/>
    <w:rsid w:val="00B85B62"/>
    <w:rsid w:val="00B865EB"/>
    <w:rsid w:val="00B86948"/>
    <w:rsid w:val="00B87730"/>
    <w:rsid w:val="00B87F93"/>
    <w:rsid w:val="00B90532"/>
    <w:rsid w:val="00B91048"/>
    <w:rsid w:val="00B91F40"/>
    <w:rsid w:val="00B92F68"/>
    <w:rsid w:val="00B950C8"/>
    <w:rsid w:val="00B95737"/>
    <w:rsid w:val="00B95C93"/>
    <w:rsid w:val="00B95E82"/>
    <w:rsid w:val="00B96677"/>
    <w:rsid w:val="00B97BAB"/>
    <w:rsid w:val="00BA04F5"/>
    <w:rsid w:val="00BA0C58"/>
    <w:rsid w:val="00BA26A0"/>
    <w:rsid w:val="00BA3534"/>
    <w:rsid w:val="00BA37CE"/>
    <w:rsid w:val="00BA3A5C"/>
    <w:rsid w:val="00BA420A"/>
    <w:rsid w:val="00BA6A47"/>
    <w:rsid w:val="00BA6F15"/>
    <w:rsid w:val="00BB0176"/>
    <w:rsid w:val="00BB34D9"/>
    <w:rsid w:val="00BB574A"/>
    <w:rsid w:val="00BB5A43"/>
    <w:rsid w:val="00BB77CD"/>
    <w:rsid w:val="00BC1CCA"/>
    <w:rsid w:val="00BC2CB1"/>
    <w:rsid w:val="00BC2EEE"/>
    <w:rsid w:val="00BC361F"/>
    <w:rsid w:val="00BC503A"/>
    <w:rsid w:val="00BC52B3"/>
    <w:rsid w:val="00BC5362"/>
    <w:rsid w:val="00BC5C98"/>
    <w:rsid w:val="00BC7853"/>
    <w:rsid w:val="00BD0B75"/>
    <w:rsid w:val="00BD11C3"/>
    <w:rsid w:val="00BD1368"/>
    <w:rsid w:val="00BD15EB"/>
    <w:rsid w:val="00BD1781"/>
    <w:rsid w:val="00BD1A22"/>
    <w:rsid w:val="00BD1AB3"/>
    <w:rsid w:val="00BD1DB3"/>
    <w:rsid w:val="00BD295B"/>
    <w:rsid w:val="00BD2AD7"/>
    <w:rsid w:val="00BD3702"/>
    <w:rsid w:val="00BD3C4F"/>
    <w:rsid w:val="00BD5204"/>
    <w:rsid w:val="00BD595B"/>
    <w:rsid w:val="00BD5F22"/>
    <w:rsid w:val="00BD6942"/>
    <w:rsid w:val="00BD7570"/>
    <w:rsid w:val="00BD7AA6"/>
    <w:rsid w:val="00BD7CFA"/>
    <w:rsid w:val="00BE06A0"/>
    <w:rsid w:val="00BE14DB"/>
    <w:rsid w:val="00BE17A2"/>
    <w:rsid w:val="00BE1810"/>
    <w:rsid w:val="00BE1AA3"/>
    <w:rsid w:val="00BE311E"/>
    <w:rsid w:val="00BE3959"/>
    <w:rsid w:val="00BE6315"/>
    <w:rsid w:val="00BE6852"/>
    <w:rsid w:val="00BE6899"/>
    <w:rsid w:val="00BE76CC"/>
    <w:rsid w:val="00BE78B5"/>
    <w:rsid w:val="00BF0CB8"/>
    <w:rsid w:val="00BF0D68"/>
    <w:rsid w:val="00BF1352"/>
    <w:rsid w:val="00BF1384"/>
    <w:rsid w:val="00BF1F54"/>
    <w:rsid w:val="00BF2CEC"/>
    <w:rsid w:val="00BF3FA2"/>
    <w:rsid w:val="00BF48C4"/>
    <w:rsid w:val="00BF4F86"/>
    <w:rsid w:val="00BF6137"/>
    <w:rsid w:val="00BF621C"/>
    <w:rsid w:val="00BF742F"/>
    <w:rsid w:val="00BF76EC"/>
    <w:rsid w:val="00BF7D97"/>
    <w:rsid w:val="00BF7E28"/>
    <w:rsid w:val="00C00E82"/>
    <w:rsid w:val="00C01451"/>
    <w:rsid w:val="00C01789"/>
    <w:rsid w:val="00C02B95"/>
    <w:rsid w:val="00C03343"/>
    <w:rsid w:val="00C044AC"/>
    <w:rsid w:val="00C046F1"/>
    <w:rsid w:val="00C04BD0"/>
    <w:rsid w:val="00C06024"/>
    <w:rsid w:val="00C06276"/>
    <w:rsid w:val="00C0629C"/>
    <w:rsid w:val="00C0749A"/>
    <w:rsid w:val="00C07FD0"/>
    <w:rsid w:val="00C108AD"/>
    <w:rsid w:val="00C10B09"/>
    <w:rsid w:val="00C11C44"/>
    <w:rsid w:val="00C12CC5"/>
    <w:rsid w:val="00C133CE"/>
    <w:rsid w:val="00C13D6F"/>
    <w:rsid w:val="00C14432"/>
    <w:rsid w:val="00C15AC4"/>
    <w:rsid w:val="00C162B8"/>
    <w:rsid w:val="00C164D6"/>
    <w:rsid w:val="00C2033D"/>
    <w:rsid w:val="00C20D64"/>
    <w:rsid w:val="00C21250"/>
    <w:rsid w:val="00C23F4E"/>
    <w:rsid w:val="00C27DB0"/>
    <w:rsid w:val="00C30832"/>
    <w:rsid w:val="00C3235C"/>
    <w:rsid w:val="00C334D5"/>
    <w:rsid w:val="00C35C15"/>
    <w:rsid w:val="00C36B82"/>
    <w:rsid w:val="00C36E3F"/>
    <w:rsid w:val="00C375BE"/>
    <w:rsid w:val="00C37648"/>
    <w:rsid w:val="00C40301"/>
    <w:rsid w:val="00C41EF7"/>
    <w:rsid w:val="00C43E02"/>
    <w:rsid w:val="00C444A5"/>
    <w:rsid w:val="00C44570"/>
    <w:rsid w:val="00C467B1"/>
    <w:rsid w:val="00C47230"/>
    <w:rsid w:val="00C473B9"/>
    <w:rsid w:val="00C519ED"/>
    <w:rsid w:val="00C521C0"/>
    <w:rsid w:val="00C55832"/>
    <w:rsid w:val="00C5609C"/>
    <w:rsid w:val="00C56398"/>
    <w:rsid w:val="00C573FD"/>
    <w:rsid w:val="00C61753"/>
    <w:rsid w:val="00C6374E"/>
    <w:rsid w:val="00C638D8"/>
    <w:rsid w:val="00C65847"/>
    <w:rsid w:val="00C66D3F"/>
    <w:rsid w:val="00C66E2E"/>
    <w:rsid w:val="00C67081"/>
    <w:rsid w:val="00C670B4"/>
    <w:rsid w:val="00C71138"/>
    <w:rsid w:val="00C71336"/>
    <w:rsid w:val="00C7328F"/>
    <w:rsid w:val="00C751C4"/>
    <w:rsid w:val="00C753B2"/>
    <w:rsid w:val="00C7572B"/>
    <w:rsid w:val="00C76313"/>
    <w:rsid w:val="00C7725C"/>
    <w:rsid w:val="00C773CB"/>
    <w:rsid w:val="00C77441"/>
    <w:rsid w:val="00C80606"/>
    <w:rsid w:val="00C80C79"/>
    <w:rsid w:val="00C811D8"/>
    <w:rsid w:val="00C816BB"/>
    <w:rsid w:val="00C81C2C"/>
    <w:rsid w:val="00C82724"/>
    <w:rsid w:val="00C82950"/>
    <w:rsid w:val="00C82F0E"/>
    <w:rsid w:val="00C83C44"/>
    <w:rsid w:val="00C83F21"/>
    <w:rsid w:val="00C84568"/>
    <w:rsid w:val="00C87089"/>
    <w:rsid w:val="00C87260"/>
    <w:rsid w:val="00C90745"/>
    <w:rsid w:val="00C90D60"/>
    <w:rsid w:val="00C91068"/>
    <w:rsid w:val="00C917D8"/>
    <w:rsid w:val="00C93A81"/>
    <w:rsid w:val="00C9699B"/>
    <w:rsid w:val="00C96CF2"/>
    <w:rsid w:val="00C97863"/>
    <w:rsid w:val="00CA06E2"/>
    <w:rsid w:val="00CA0BA2"/>
    <w:rsid w:val="00CA0E85"/>
    <w:rsid w:val="00CA0F67"/>
    <w:rsid w:val="00CA2AD5"/>
    <w:rsid w:val="00CA2EB4"/>
    <w:rsid w:val="00CA338D"/>
    <w:rsid w:val="00CA35CB"/>
    <w:rsid w:val="00CA44D5"/>
    <w:rsid w:val="00CA63F2"/>
    <w:rsid w:val="00CB08AB"/>
    <w:rsid w:val="00CB15C1"/>
    <w:rsid w:val="00CB208B"/>
    <w:rsid w:val="00CB20A0"/>
    <w:rsid w:val="00CB25D0"/>
    <w:rsid w:val="00CB3FF5"/>
    <w:rsid w:val="00CB7D7B"/>
    <w:rsid w:val="00CB7FB9"/>
    <w:rsid w:val="00CC0A6A"/>
    <w:rsid w:val="00CC23E4"/>
    <w:rsid w:val="00CC4026"/>
    <w:rsid w:val="00CC4122"/>
    <w:rsid w:val="00CC4CDF"/>
    <w:rsid w:val="00CC4D38"/>
    <w:rsid w:val="00CC51E5"/>
    <w:rsid w:val="00CC5484"/>
    <w:rsid w:val="00CC7178"/>
    <w:rsid w:val="00CD0705"/>
    <w:rsid w:val="00CD0917"/>
    <w:rsid w:val="00CD2C48"/>
    <w:rsid w:val="00CD3026"/>
    <w:rsid w:val="00CD4EEE"/>
    <w:rsid w:val="00CD4F99"/>
    <w:rsid w:val="00CD6870"/>
    <w:rsid w:val="00CE0A55"/>
    <w:rsid w:val="00CE1382"/>
    <w:rsid w:val="00CE14FA"/>
    <w:rsid w:val="00CE1B94"/>
    <w:rsid w:val="00CE2E8F"/>
    <w:rsid w:val="00CE3964"/>
    <w:rsid w:val="00CE3F09"/>
    <w:rsid w:val="00CE6FB0"/>
    <w:rsid w:val="00CE6FDF"/>
    <w:rsid w:val="00CE70BF"/>
    <w:rsid w:val="00CE7F69"/>
    <w:rsid w:val="00CF015F"/>
    <w:rsid w:val="00CF19B0"/>
    <w:rsid w:val="00CF2096"/>
    <w:rsid w:val="00CF4F5E"/>
    <w:rsid w:val="00CF5346"/>
    <w:rsid w:val="00CF58A3"/>
    <w:rsid w:val="00CF5E68"/>
    <w:rsid w:val="00CF7D3A"/>
    <w:rsid w:val="00D00E7B"/>
    <w:rsid w:val="00D04297"/>
    <w:rsid w:val="00D05959"/>
    <w:rsid w:val="00D11969"/>
    <w:rsid w:val="00D12BDC"/>
    <w:rsid w:val="00D1344E"/>
    <w:rsid w:val="00D1386F"/>
    <w:rsid w:val="00D177B9"/>
    <w:rsid w:val="00D23E27"/>
    <w:rsid w:val="00D24C12"/>
    <w:rsid w:val="00D316CD"/>
    <w:rsid w:val="00D31D04"/>
    <w:rsid w:val="00D32351"/>
    <w:rsid w:val="00D32643"/>
    <w:rsid w:val="00D32956"/>
    <w:rsid w:val="00D32E17"/>
    <w:rsid w:val="00D32F39"/>
    <w:rsid w:val="00D330B1"/>
    <w:rsid w:val="00D341C7"/>
    <w:rsid w:val="00D341F2"/>
    <w:rsid w:val="00D343A0"/>
    <w:rsid w:val="00D366DA"/>
    <w:rsid w:val="00D36E29"/>
    <w:rsid w:val="00D36E76"/>
    <w:rsid w:val="00D37A5C"/>
    <w:rsid w:val="00D40E80"/>
    <w:rsid w:val="00D42052"/>
    <w:rsid w:val="00D433C4"/>
    <w:rsid w:val="00D43541"/>
    <w:rsid w:val="00D43B37"/>
    <w:rsid w:val="00D45D2F"/>
    <w:rsid w:val="00D4603E"/>
    <w:rsid w:val="00D46582"/>
    <w:rsid w:val="00D4702D"/>
    <w:rsid w:val="00D53439"/>
    <w:rsid w:val="00D5366C"/>
    <w:rsid w:val="00D537C5"/>
    <w:rsid w:val="00D541CB"/>
    <w:rsid w:val="00D54454"/>
    <w:rsid w:val="00D5469A"/>
    <w:rsid w:val="00D55647"/>
    <w:rsid w:val="00D56A0B"/>
    <w:rsid w:val="00D56FF7"/>
    <w:rsid w:val="00D60862"/>
    <w:rsid w:val="00D642C5"/>
    <w:rsid w:val="00D643E7"/>
    <w:rsid w:val="00D64A3B"/>
    <w:rsid w:val="00D64DB7"/>
    <w:rsid w:val="00D674F3"/>
    <w:rsid w:val="00D7060C"/>
    <w:rsid w:val="00D7105B"/>
    <w:rsid w:val="00D72594"/>
    <w:rsid w:val="00D73A2B"/>
    <w:rsid w:val="00D7475D"/>
    <w:rsid w:val="00D74F08"/>
    <w:rsid w:val="00D76C53"/>
    <w:rsid w:val="00D775EA"/>
    <w:rsid w:val="00D81B7B"/>
    <w:rsid w:val="00D920D4"/>
    <w:rsid w:val="00D9299F"/>
    <w:rsid w:val="00D931B9"/>
    <w:rsid w:val="00D9331E"/>
    <w:rsid w:val="00D95801"/>
    <w:rsid w:val="00D96330"/>
    <w:rsid w:val="00D9756B"/>
    <w:rsid w:val="00D97A2E"/>
    <w:rsid w:val="00D97B17"/>
    <w:rsid w:val="00DA105A"/>
    <w:rsid w:val="00DA2002"/>
    <w:rsid w:val="00DA2F30"/>
    <w:rsid w:val="00DA4A83"/>
    <w:rsid w:val="00DA5167"/>
    <w:rsid w:val="00DA6229"/>
    <w:rsid w:val="00DB0748"/>
    <w:rsid w:val="00DB1996"/>
    <w:rsid w:val="00DB2090"/>
    <w:rsid w:val="00DB3AA5"/>
    <w:rsid w:val="00DB5AE1"/>
    <w:rsid w:val="00DB5E6D"/>
    <w:rsid w:val="00DB62BB"/>
    <w:rsid w:val="00DB6CF3"/>
    <w:rsid w:val="00DC1236"/>
    <w:rsid w:val="00DC4BA3"/>
    <w:rsid w:val="00DC5108"/>
    <w:rsid w:val="00DC519C"/>
    <w:rsid w:val="00DC7AF7"/>
    <w:rsid w:val="00DD32FC"/>
    <w:rsid w:val="00DD419E"/>
    <w:rsid w:val="00DD7CB4"/>
    <w:rsid w:val="00DE14C9"/>
    <w:rsid w:val="00DE47E1"/>
    <w:rsid w:val="00DE4E1F"/>
    <w:rsid w:val="00DE4EC5"/>
    <w:rsid w:val="00DE4F2D"/>
    <w:rsid w:val="00DE6961"/>
    <w:rsid w:val="00DF4365"/>
    <w:rsid w:val="00DF48FE"/>
    <w:rsid w:val="00DF555A"/>
    <w:rsid w:val="00DF70A6"/>
    <w:rsid w:val="00E00DE6"/>
    <w:rsid w:val="00E010D9"/>
    <w:rsid w:val="00E044C9"/>
    <w:rsid w:val="00E044E7"/>
    <w:rsid w:val="00E05E20"/>
    <w:rsid w:val="00E0735A"/>
    <w:rsid w:val="00E10604"/>
    <w:rsid w:val="00E13981"/>
    <w:rsid w:val="00E13BB6"/>
    <w:rsid w:val="00E14228"/>
    <w:rsid w:val="00E15F9D"/>
    <w:rsid w:val="00E1756A"/>
    <w:rsid w:val="00E203A1"/>
    <w:rsid w:val="00E24276"/>
    <w:rsid w:val="00E256D6"/>
    <w:rsid w:val="00E261CB"/>
    <w:rsid w:val="00E27AAA"/>
    <w:rsid w:val="00E27D2E"/>
    <w:rsid w:val="00E3089E"/>
    <w:rsid w:val="00E31B94"/>
    <w:rsid w:val="00E31DF2"/>
    <w:rsid w:val="00E321CC"/>
    <w:rsid w:val="00E32440"/>
    <w:rsid w:val="00E3318F"/>
    <w:rsid w:val="00E33242"/>
    <w:rsid w:val="00E34167"/>
    <w:rsid w:val="00E36688"/>
    <w:rsid w:val="00E378DA"/>
    <w:rsid w:val="00E40D0D"/>
    <w:rsid w:val="00E448E8"/>
    <w:rsid w:val="00E449A9"/>
    <w:rsid w:val="00E454B5"/>
    <w:rsid w:val="00E47135"/>
    <w:rsid w:val="00E509E8"/>
    <w:rsid w:val="00E51CF5"/>
    <w:rsid w:val="00E52F91"/>
    <w:rsid w:val="00E542DA"/>
    <w:rsid w:val="00E54D9C"/>
    <w:rsid w:val="00E55A77"/>
    <w:rsid w:val="00E56EA3"/>
    <w:rsid w:val="00E61EE6"/>
    <w:rsid w:val="00E63018"/>
    <w:rsid w:val="00E6632B"/>
    <w:rsid w:val="00E670B6"/>
    <w:rsid w:val="00E67D7F"/>
    <w:rsid w:val="00E70D2E"/>
    <w:rsid w:val="00E71F50"/>
    <w:rsid w:val="00E7244C"/>
    <w:rsid w:val="00E73DF9"/>
    <w:rsid w:val="00E74ACE"/>
    <w:rsid w:val="00E752A7"/>
    <w:rsid w:val="00E753DF"/>
    <w:rsid w:val="00E75EB4"/>
    <w:rsid w:val="00E76CC1"/>
    <w:rsid w:val="00E7731E"/>
    <w:rsid w:val="00E80089"/>
    <w:rsid w:val="00E80839"/>
    <w:rsid w:val="00E84464"/>
    <w:rsid w:val="00E85FA4"/>
    <w:rsid w:val="00E8721A"/>
    <w:rsid w:val="00E87BDD"/>
    <w:rsid w:val="00E87D28"/>
    <w:rsid w:val="00E90277"/>
    <w:rsid w:val="00E909F1"/>
    <w:rsid w:val="00E90B59"/>
    <w:rsid w:val="00E929A2"/>
    <w:rsid w:val="00E9489E"/>
    <w:rsid w:val="00E948A7"/>
    <w:rsid w:val="00E95693"/>
    <w:rsid w:val="00E9605B"/>
    <w:rsid w:val="00E9643B"/>
    <w:rsid w:val="00E9718C"/>
    <w:rsid w:val="00E97D41"/>
    <w:rsid w:val="00EA0A2E"/>
    <w:rsid w:val="00EA25E7"/>
    <w:rsid w:val="00EA2AFC"/>
    <w:rsid w:val="00EA3985"/>
    <w:rsid w:val="00EA4F30"/>
    <w:rsid w:val="00EA54EB"/>
    <w:rsid w:val="00EA5EF4"/>
    <w:rsid w:val="00EA67E8"/>
    <w:rsid w:val="00EA6955"/>
    <w:rsid w:val="00EA7735"/>
    <w:rsid w:val="00EB01F9"/>
    <w:rsid w:val="00EB120F"/>
    <w:rsid w:val="00EB18B2"/>
    <w:rsid w:val="00EB29AA"/>
    <w:rsid w:val="00EB392E"/>
    <w:rsid w:val="00EB4632"/>
    <w:rsid w:val="00EB4811"/>
    <w:rsid w:val="00EB672E"/>
    <w:rsid w:val="00EB7202"/>
    <w:rsid w:val="00EB7E4F"/>
    <w:rsid w:val="00EC0283"/>
    <w:rsid w:val="00EC0931"/>
    <w:rsid w:val="00EC0F3A"/>
    <w:rsid w:val="00EC327E"/>
    <w:rsid w:val="00EC3B71"/>
    <w:rsid w:val="00EC42D3"/>
    <w:rsid w:val="00EC60A2"/>
    <w:rsid w:val="00ED1873"/>
    <w:rsid w:val="00ED1AFF"/>
    <w:rsid w:val="00ED1B47"/>
    <w:rsid w:val="00ED24D4"/>
    <w:rsid w:val="00ED3622"/>
    <w:rsid w:val="00ED4E33"/>
    <w:rsid w:val="00ED4E46"/>
    <w:rsid w:val="00ED5D3E"/>
    <w:rsid w:val="00ED6202"/>
    <w:rsid w:val="00ED6CAF"/>
    <w:rsid w:val="00EE2CE3"/>
    <w:rsid w:val="00EE2E59"/>
    <w:rsid w:val="00EE4981"/>
    <w:rsid w:val="00EE4F85"/>
    <w:rsid w:val="00EE6A75"/>
    <w:rsid w:val="00EF0308"/>
    <w:rsid w:val="00EF138C"/>
    <w:rsid w:val="00EF17F5"/>
    <w:rsid w:val="00EF1E96"/>
    <w:rsid w:val="00EF211F"/>
    <w:rsid w:val="00EF2CBB"/>
    <w:rsid w:val="00EF466A"/>
    <w:rsid w:val="00EF4782"/>
    <w:rsid w:val="00EF5301"/>
    <w:rsid w:val="00EF6D06"/>
    <w:rsid w:val="00EF7945"/>
    <w:rsid w:val="00EF7B05"/>
    <w:rsid w:val="00F00218"/>
    <w:rsid w:val="00F00EF5"/>
    <w:rsid w:val="00F02388"/>
    <w:rsid w:val="00F052B4"/>
    <w:rsid w:val="00F0646A"/>
    <w:rsid w:val="00F069AB"/>
    <w:rsid w:val="00F07077"/>
    <w:rsid w:val="00F114C9"/>
    <w:rsid w:val="00F1197D"/>
    <w:rsid w:val="00F127D8"/>
    <w:rsid w:val="00F13F6C"/>
    <w:rsid w:val="00F14C13"/>
    <w:rsid w:val="00F15681"/>
    <w:rsid w:val="00F15B5A"/>
    <w:rsid w:val="00F165CA"/>
    <w:rsid w:val="00F20FC5"/>
    <w:rsid w:val="00F21675"/>
    <w:rsid w:val="00F22083"/>
    <w:rsid w:val="00F244FE"/>
    <w:rsid w:val="00F25976"/>
    <w:rsid w:val="00F27AA8"/>
    <w:rsid w:val="00F300B7"/>
    <w:rsid w:val="00F303F1"/>
    <w:rsid w:val="00F308DD"/>
    <w:rsid w:val="00F30DD8"/>
    <w:rsid w:val="00F31B94"/>
    <w:rsid w:val="00F31FB6"/>
    <w:rsid w:val="00F3202B"/>
    <w:rsid w:val="00F34A23"/>
    <w:rsid w:val="00F34BB6"/>
    <w:rsid w:val="00F34DAA"/>
    <w:rsid w:val="00F35C34"/>
    <w:rsid w:val="00F35D4C"/>
    <w:rsid w:val="00F37596"/>
    <w:rsid w:val="00F41361"/>
    <w:rsid w:val="00F422FD"/>
    <w:rsid w:val="00F42831"/>
    <w:rsid w:val="00F42AFE"/>
    <w:rsid w:val="00F43643"/>
    <w:rsid w:val="00F43DCA"/>
    <w:rsid w:val="00F45149"/>
    <w:rsid w:val="00F4709F"/>
    <w:rsid w:val="00F470DE"/>
    <w:rsid w:val="00F529A9"/>
    <w:rsid w:val="00F52A24"/>
    <w:rsid w:val="00F5304D"/>
    <w:rsid w:val="00F5396C"/>
    <w:rsid w:val="00F53C40"/>
    <w:rsid w:val="00F5708A"/>
    <w:rsid w:val="00F60BB0"/>
    <w:rsid w:val="00F616EB"/>
    <w:rsid w:val="00F61CC8"/>
    <w:rsid w:val="00F628D7"/>
    <w:rsid w:val="00F63BD4"/>
    <w:rsid w:val="00F65398"/>
    <w:rsid w:val="00F66BE7"/>
    <w:rsid w:val="00F711AF"/>
    <w:rsid w:val="00F71808"/>
    <w:rsid w:val="00F730CB"/>
    <w:rsid w:val="00F73279"/>
    <w:rsid w:val="00F7430C"/>
    <w:rsid w:val="00F74C81"/>
    <w:rsid w:val="00F750FE"/>
    <w:rsid w:val="00F7518A"/>
    <w:rsid w:val="00F75A19"/>
    <w:rsid w:val="00F76C28"/>
    <w:rsid w:val="00F77A2E"/>
    <w:rsid w:val="00F77E80"/>
    <w:rsid w:val="00F80CDA"/>
    <w:rsid w:val="00F814BB"/>
    <w:rsid w:val="00F8207C"/>
    <w:rsid w:val="00F846F1"/>
    <w:rsid w:val="00F8588A"/>
    <w:rsid w:val="00F90D5C"/>
    <w:rsid w:val="00F917E7"/>
    <w:rsid w:val="00F92EB7"/>
    <w:rsid w:val="00F930CE"/>
    <w:rsid w:val="00F9377D"/>
    <w:rsid w:val="00F94123"/>
    <w:rsid w:val="00F97CE1"/>
    <w:rsid w:val="00FA0E98"/>
    <w:rsid w:val="00FA19A1"/>
    <w:rsid w:val="00FA24E5"/>
    <w:rsid w:val="00FA2ACA"/>
    <w:rsid w:val="00FA43AA"/>
    <w:rsid w:val="00FA43E2"/>
    <w:rsid w:val="00FA4E8A"/>
    <w:rsid w:val="00FA5558"/>
    <w:rsid w:val="00FA5AB4"/>
    <w:rsid w:val="00FB0190"/>
    <w:rsid w:val="00FB034C"/>
    <w:rsid w:val="00FB165C"/>
    <w:rsid w:val="00FB1B00"/>
    <w:rsid w:val="00FB2825"/>
    <w:rsid w:val="00FB4354"/>
    <w:rsid w:val="00FB4C4B"/>
    <w:rsid w:val="00FB5416"/>
    <w:rsid w:val="00FB602B"/>
    <w:rsid w:val="00FC17D7"/>
    <w:rsid w:val="00FC3D41"/>
    <w:rsid w:val="00FC45B0"/>
    <w:rsid w:val="00FC497A"/>
    <w:rsid w:val="00FC6E74"/>
    <w:rsid w:val="00FC74B7"/>
    <w:rsid w:val="00FC76A4"/>
    <w:rsid w:val="00FC77EF"/>
    <w:rsid w:val="00FC7CA1"/>
    <w:rsid w:val="00FD0B38"/>
    <w:rsid w:val="00FD1486"/>
    <w:rsid w:val="00FD1D7C"/>
    <w:rsid w:val="00FD1F4F"/>
    <w:rsid w:val="00FD23B5"/>
    <w:rsid w:val="00FD2B38"/>
    <w:rsid w:val="00FD3D61"/>
    <w:rsid w:val="00FD737B"/>
    <w:rsid w:val="00FE1DF8"/>
    <w:rsid w:val="00FE2530"/>
    <w:rsid w:val="00FE3EC7"/>
    <w:rsid w:val="00FE4E52"/>
    <w:rsid w:val="00FE524A"/>
    <w:rsid w:val="00FE6117"/>
    <w:rsid w:val="00FE635E"/>
    <w:rsid w:val="00FF1312"/>
    <w:rsid w:val="00FF1D5C"/>
    <w:rsid w:val="00FF2715"/>
    <w:rsid w:val="00FF2DC8"/>
    <w:rsid w:val="00FF399D"/>
    <w:rsid w:val="00FF39EC"/>
    <w:rsid w:val="00FF3F27"/>
    <w:rsid w:val="00FF4542"/>
    <w:rsid w:val="00FF74BD"/>
    <w:rsid w:val="00FF7BD3"/>
    <w:rsid w:val="06D51397"/>
    <w:rsid w:val="0A814D61"/>
    <w:rsid w:val="0ACA5492"/>
    <w:rsid w:val="0B9C302E"/>
    <w:rsid w:val="163514D2"/>
    <w:rsid w:val="19970905"/>
    <w:rsid w:val="1B3A5814"/>
    <w:rsid w:val="20232660"/>
    <w:rsid w:val="28D714E4"/>
    <w:rsid w:val="28F96387"/>
    <w:rsid w:val="290C4EDC"/>
    <w:rsid w:val="2AB77B00"/>
    <w:rsid w:val="2B28432E"/>
    <w:rsid w:val="2D3F4997"/>
    <w:rsid w:val="312E7595"/>
    <w:rsid w:val="4CCA0530"/>
    <w:rsid w:val="53EF611B"/>
    <w:rsid w:val="581C2E83"/>
    <w:rsid w:val="5E646364"/>
    <w:rsid w:val="63EA429E"/>
    <w:rsid w:val="643E550B"/>
    <w:rsid w:val="66741ED5"/>
    <w:rsid w:val="68BB2328"/>
    <w:rsid w:val="68E4794A"/>
    <w:rsid w:val="6B347553"/>
    <w:rsid w:val="6BDE5123"/>
    <w:rsid w:val="78DA1155"/>
    <w:rsid w:val="7A2F0108"/>
    <w:rsid w:val="7B955067"/>
    <w:rsid w:val="7EA43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6CCDB"/>
  <w15:docId w15:val="{62DC4ECC-AA17-402A-97EF-3B21BC294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d">
    <w:name w:val="annotation subject"/>
    <w:basedOn w:val="a3"/>
    <w:next w:val="a3"/>
    <w:link w:val="ae"/>
    <w:uiPriority w:val="99"/>
    <w:semiHidden/>
    <w:unhideWhenUsed/>
    <w:qFormat/>
    <w:rPr>
      <w:b/>
      <w:bCs/>
    </w:rPr>
  </w:style>
  <w:style w:type="character" w:styleId="af">
    <w:name w:val="FollowedHyperlink"/>
    <w:basedOn w:val="a0"/>
    <w:uiPriority w:val="99"/>
    <w:semiHidden/>
    <w:unhideWhenUsed/>
    <w:qFormat/>
    <w:rPr>
      <w:color w:val="800080" w:themeColor="followedHyperlink"/>
      <w:u w:val="single"/>
    </w:rPr>
  </w:style>
  <w:style w:type="character" w:styleId="af0">
    <w:name w:val="line number"/>
    <w:basedOn w:val="a0"/>
    <w:uiPriority w:val="99"/>
    <w:semiHidden/>
    <w:unhideWhenUsed/>
    <w:qFormat/>
  </w:style>
  <w:style w:type="character" w:styleId="af1">
    <w:name w:val="Hyperlink"/>
    <w:basedOn w:val="a0"/>
    <w:uiPriority w:val="99"/>
    <w:unhideWhenUsed/>
    <w:qFormat/>
    <w:rPr>
      <w:color w:val="0000FF" w:themeColor="hyperlink"/>
      <w:u w:val="single"/>
    </w:rPr>
  </w:style>
  <w:style w:type="character" w:styleId="af2">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1">
    <w:name w:val="修订1"/>
    <w:hidden/>
    <w:uiPriority w:val="99"/>
    <w:semiHidden/>
    <w:qFormat/>
    <w:rPr>
      <w:rFonts w:ascii="Times New Roman" w:eastAsia="宋体" w:hAnsi="Times New Roman" w:cs="Times New Roman"/>
      <w:kern w:val="2"/>
      <w:sz w:val="21"/>
      <w:szCs w:val="24"/>
    </w:rPr>
  </w:style>
  <w:style w:type="character" w:customStyle="1" w:styleId="a4">
    <w:name w:val="批注文字 字符"/>
    <w:basedOn w:val="a0"/>
    <w:link w:val="a3"/>
    <w:uiPriority w:val="99"/>
    <w:qFormat/>
    <w:rPr>
      <w:rFonts w:ascii="Times New Roman" w:eastAsia="宋体" w:hAnsi="Times New Roman" w:cs="Times New Roman"/>
      <w:szCs w:val="24"/>
    </w:rPr>
  </w:style>
  <w:style w:type="character" w:customStyle="1" w:styleId="ae">
    <w:name w:val="批注主题 字符"/>
    <w:basedOn w:val="a4"/>
    <w:link w:val="ad"/>
    <w:uiPriority w:val="99"/>
    <w:semiHidden/>
    <w:qFormat/>
    <w:rPr>
      <w:rFonts w:ascii="Times New Roman" w:eastAsia="宋体" w:hAnsi="Times New Roman" w:cs="Times New Roman"/>
      <w:b/>
      <w:bCs/>
      <w:szCs w:val="24"/>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Style11">
    <w:name w:val="_Style 11"/>
    <w:basedOn w:val="a"/>
    <w:next w:val="af3"/>
    <w:qFormat/>
    <w:pPr>
      <w:ind w:firstLineChars="200" w:firstLine="420"/>
    </w:pPr>
    <w:rPr>
      <w:rFonts w:ascii="Calibri" w:hAnsi="Calibri"/>
      <w:szCs w:val="22"/>
    </w:rPr>
  </w:style>
  <w:style w:type="paragraph" w:styleId="af3">
    <w:name w:val="List Paragraph"/>
    <w:basedOn w:val="a"/>
    <w:uiPriority w:val="34"/>
    <w:qFormat/>
    <w:pPr>
      <w:ind w:firstLineChars="200" w:firstLine="420"/>
    </w:p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customStyle="1" w:styleId="cf01">
    <w:name w:val="cf01"/>
    <w:basedOn w:val="a0"/>
    <w:qFormat/>
    <w:rPr>
      <w:rFonts w:ascii="Microsoft YaHei UI" w:eastAsia="Microsoft YaHei UI" w:hAnsi="Microsoft YaHei UI" w:hint="eastAsia"/>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815A0-3F71-41D4-B92D-986DA3979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23</Pages>
  <Words>2006</Words>
  <Characters>11436</Characters>
  <Application>Microsoft Office Word</Application>
  <DocSecurity>0</DocSecurity>
  <Lines>95</Lines>
  <Paragraphs>26</Paragraphs>
  <ScaleCrop>false</ScaleCrop>
  <Company>CFDA</Company>
  <LinksUpToDate>false</LinksUpToDate>
  <CharactersWithSpaces>13416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张京梅</dc:creator>
  <cp:lastModifiedBy>办公室发文</cp:lastModifiedBy>
  <cp:revision>2215</cp:revision>
  <cp:lastPrinted>2024-11-14T07:13:00Z</cp:lastPrinted>
  <dcterms:created xsi:type="dcterms:W3CDTF">2015-09-25T07:04:00Z</dcterms:created>
  <dcterms:modified xsi:type="dcterms:W3CDTF">2026-03-12T05:39:00Z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eyJoZGlkIjoiY2EyNWZlYjcxMzA4MWExZWQ1Mjg5Njg5N2I3MjcxNjkiLCJ1c2VySWQiOiI0Njc3ODYwNTcifQ==</vt:lpwstr>
  </property>
  <property fmtid="{D5CDD505-2E9C-101B-9397-08002B2CF9AE}" pid="3" name="KSOProductBuildVer">
    <vt:lpwstr>2052-11.1.0.11365</vt:lpwstr>
  </property>
  <property fmtid="{D5CDD505-2E9C-101B-9397-08002B2CF9AE}" pid="4" name="ICV">
    <vt:lpwstr>93F8F50AC5824A02B907158FA3C0A966_12</vt:lpwstr>
  </property>
</Properties>
</file>