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4B8" w:rsidRDefault="00026F40">
      <w:pPr>
        <w:snapToGrid w:val="0"/>
        <w:jc w:val="center"/>
        <w:rPr>
          <w:rFonts w:ascii="Times New Roman" w:eastAsia="方正小标宋简体" w:hAnsi="Times New Roman"/>
          <w:color w:val="000000"/>
          <w:sz w:val="44"/>
          <w:szCs w:val="44"/>
        </w:rPr>
      </w:pPr>
      <w:r>
        <w:rPr>
          <w:rFonts w:ascii="Times New Roman" w:eastAsia="方正小标宋简体" w:hAnsi="Times New Roman"/>
          <w:color w:val="000000"/>
          <w:sz w:val="44"/>
          <w:szCs w:val="44"/>
        </w:rPr>
        <w:t>增材制造</w:t>
      </w:r>
      <w:r>
        <w:rPr>
          <w:rFonts w:ascii="Times New Roman" w:eastAsia="方正小标宋简体" w:hAnsi="Times New Roman" w:hint="eastAsia"/>
          <w:color w:val="000000"/>
          <w:sz w:val="44"/>
          <w:szCs w:val="44"/>
        </w:rPr>
        <w:t>聚醚醚酮</w:t>
      </w:r>
      <w:r>
        <w:rPr>
          <w:rFonts w:ascii="Times New Roman" w:eastAsia="方正小标宋简体" w:hAnsi="Times New Roman"/>
          <w:color w:val="000000"/>
          <w:sz w:val="44"/>
          <w:szCs w:val="44"/>
        </w:rPr>
        <w:t>/</w:t>
      </w:r>
      <w:r>
        <w:rPr>
          <w:rFonts w:ascii="Times New Roman" w:eastAsia="方正小标宋简体" w:hAnsi="Times New Roman"/>
          <w:color w:val="000000"/>
          <w:sz w:val="44"/>
          <w:szCs w:val="44"/>
        </w:rPr>
        <w:t>生物陶瓷复合材料颅骨</w:t>
      </w:r>
    </w:p>
    <w:p w:rsidR="003B04B8" w:rsidRDefault="00026F40">
      <w:pPr>
        <w:snapToGrid w:val="0"/>
        <w:jc w:val="center"/>
        <w:rPr>
          <w:rFonts w:ascii="Times New Roman" w:eastAsia="方正小标宋简体" w:hAnsi="Times New Roman"/>
          <w:color w:val="000000"/>
          <w:sz w:val="44"/>
          <w:szCs w:val="44"/>
        </w:rPr>
      </w:pPr>
      <w:r>
        <w:rPr>
          <w:rFonts w:ascii="Times New Roman" w:eastAsia="方正小标宋简体" w:hAnsi="Times New Roman"/>
          <w:color w:val="000000"/>
          <w:sz w:val="44"/>
          <w:szCs w:val="44"/>
        </w:rPr>
        <w:t>修补假体系统</w:t>
      </w:r>
      <w:r w:rsidR="009E17D0">
        <w:rPr>
          <w:rFonts w:ascii="Times New Roman" w:eastAsia="方正小标宋简体" w:hAnsi="Times New Roman" w:hint="eastAsia"/>
          <w:color w:val="000000"/>
          <w:sz w:val="44"/>
          <w:szCs w:val="44"/>
        </w:rPr>
        <w:t>技术</w:t>
      </w:r>
      <w:r>
        <w:rPr>
          <w:rFonts w:ascii="Times New Roman" w:eastAsia="方正小标宋简体" w:hAnsi="Times New Roman"/>
          <w:color w:val="000000"/>
          <w:sz w:val="44"/>
          <w:szCs w:val="44"/>
        </w:rPr>
        <w:t>审评要点</w:t>
      </w:r>
    </w:p>
    <w:p w:rsidR="003B04B8" w:rsidRDefault="00026F40">
      <w:pPr>
        <w:snapToGrid w:val="0"/>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（征求意见稿）</w:t>
      </w:r>
    </w:p>
    <w:p w:rsidR="003B04B8" w:rsidRDefault="003B04B8">
      <w:pPr>
        <w:spacing w:line="520" w:lineRule="exact"/>
        <w:jc w:val="center"/>
        <w:rPr>
          <w:rFonts w:ascii="Times New Roman" w:eastAsia="仿宋_GB2312" w:hAnsi="Times New Roman"/>
          <w:sz w:val="32"/>
          <w:szCs w:val="32"/>
        </w:rPr>
      </w:pPr>
    </w:p>
    <w:p w:rsidR="003B04B8" w:rsidRDefault="00026F40">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本审评要点是增材制造聚醚醚酮</w:t>
      </w:r>
      <w:r>
        <w:rPr>
          <w:rFonts w:ascii="Times New Roman" w:eastAsia="仿宋_GB2312" w:hAnsi="Times New Roman" w:hint="eastAsia"/>
          <w:sz w:val="32"/>
          <w:szCs w:val="32"/>
        </w:rPr>
        <w:t>/</w:t>
      </w:r>
      <w:r>
        <w:rPr>
          <w:rFonts w:ascii="Times New Roman" w:eastAsia="仿宋_GB2312" w:hAnsi="Times New Roman" w:hint="eastAsia"/>
          <w:sz w:val="32"/>
          <w:szCs w:val="32"/>
        </w:rPr>
        <w:t>生物陶瓷复合材料颅骨修补假体系统产品安全性、有效性和质量控制方面有重要影响的技术要求</w:t>
      </w:r>
      <w:r>
        <w:rPr>
          <w:rFonts w:ascii="Times New Roman" w:eastAsia="仿宋_GB2312" w:hAnsi="Times New Roman" w:hint="eastAsia"/>
          <w:sz w:val="32"/>
          <w:szCs w:val="32"/>
        </w:rPr>
        <w:t>/</w:t>
      </w:r>
      <w:r>
        <w:rPr>
          <w:rFonts w:ascii="Times New Roman" w:eastAsia="仿宋_GB2312" w:hAnsi="Times New Roman" w:hint="eastAsia"/>
          <w:sz w:val="32"/>
          <w:szCs w:val="32"/>
        </w:rPr>
        <w:t>审评共识的文件，通过综合分析增材制造聚醚醚酮</w:t>
      </w:r>
      <w:r>
        <w:rPr>
          <w:rFonts w:ascii="Times New Roman" w:eastAsia="仿宋_GB2312" w:hAnsi="Times New Roman" w:hint="eastAsia"/>
          <w:sz w:val="32"/>
          <w:szCs w:val="32"/>
        </w:rPr>
        <w:t>/</w:t>
      </w:r>
      <w:r>
        <w:rPr>
          <w:rFonts w:ascii="Times New Roman" w:eastAsia="仿宋_GB2312" w:hAnsi="Times New Roman" w:hint="eastAsia"/>
          <w:sz w:val="32"/>
          <w:szCs w:val="32"/>
        </w:rPr>
        <w:t>生物陶瓷复合材料颅骨修补假体系统产品的风险和受益信息和相关领域的科学研究，提炼汇总为本文件，用于规范技术审评工作，统一技术审评尺度。</w:t>
      </w:r>
    </w:p>
    <w:p w:rsidR="003B04B8" w:rsidRDefault="00026F40">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本审评要点是对增材制造聚醚醚酮</w:t>
      </w:r>
      <w:r>
        <w:rPr>
          <w:rFonts w:ascii="Times New Roman" w:eastAsia="仿宋_GB2312" w:hAnsi="Times New Roman" w:hint="eastAsia"/>
          <w:sz w:val="32"/>
          <w:szCs w:val="32"/>
        </w:rPr>
        <w:t>/</w:t>
      </w:r>
      <w:r>
        <w:rPr>
          <w:rFonts w:ascii="Times New Roman" w:eastAsia="仿宋_GB2312" w:hAnsi="Times New Roman" w:hint="eastAsia"/>
          <w:sz w:val="32"/>
          <w:szCs w:val="32"/>
        </w:rPr>
        <w:t>生物陶瓷复合材料颅骨修补假体系统产品预期能达到安全和性能指标的验证</w:t>
      </w:r>
      <w:r>
        <w:rPr>
          <w:rFonts w:ascii="Times New Roman" w:eastAsia="仿宋_GB2312" w:hAnsi="Times New Roman" w:hint="eastAsia"/>
          <w:sz w:val="32"/>
          <w:szCs w:val="32"/>
        </w:rPr>
        <w:t>/</w:t>
      </w:r>
      <w:r>
        <w:rPr>
          <w:rFonts w:ascii="Times New Roman" w:eastAsia="仿宋_GB2312" w:hAnsi="Times New Roman" w:hint="eastAsia"/>
          <w:sz w:val="32"/>
          <w:szCs w:val="32"/>
        </w:rPr>
        <w:t>确认要求，供注册申请人准备注册申报资料的指导性文件，但不包括注册审批所涉及的行政事项，亦不作为法规强制执行，需在遵循法律规章、规范性文件和强制性医疗器械标准的前提下，结合产品的具体特性，使用本审评要点。</w:t>
      </w:r>
    </w:p>
    <w:p w:rsidR="003B04B8" w:rsidRDefault="00026F40">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rsidR="003B04B8" w:rsidRDefault="00026F40">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hint="eastAsia"/>
          <w:color w:val="000000"/>
          <w:sz w:val="32"/>
          <w:szCs w:val="32"/>
        </w:rPr>
        <w:t>一、适用范围</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该要点适用于增材制造</w:t>
      </w:r>
      <w:r>
        <w:rPr>
          <w:rFonts w:ascii="Times New Roman" w:eastAsia="仿宋_GB2312" w:hAnsi="Times New Roman" w:hint="eastAsia"/>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生物陶瓷复合材料颅</w:t>
      </w:r>
      <w:r>
        <w:rPr>
          <w:rFonts w:ascii="Times New Roman" w:eastAsia="仿宋_GB2312" w:hAnsi="Times New Roman"/>
          <w:color w:val="000000"/>
          <w:sz w:val="32"/>
          <w:szCs w:val="32"/>
        </w:rPr>
        <w:t>骨修补假体系统。</w:t>
      </w:r>
      <w:r>
        <w:rPr>
          <w:rFonts w:ascii="Times New Roman" w:eastAsia="仿宋_GB2312" w:hAnsi="Times New Roman" w:hint="eastAsia"/>
          <w:color w:val="000000"/>
          <w:sz w:val="32"/>
          <w:szCs w:val="32"/>
        </w:rPr>
        <w:t>根据《医疗器械分类目录》，分类编码为</w:t>
      </w:r>
      <w:r>
        <w:rPr>
          <w:rFonts w:ascii="Times New Roman" w:eastAsia="仿宋_GB2312" w:hAnsi="Times New Roman"/>
          <w:color w:val="000000"/>
          <w:sz w:val="32"/>
          <w:szCs w:val="32"/>
        </w:rPr>
        <w:t>13-06-09</w:t>
      </w:r>
      <w:r>
        <w:rPr>
          <w:rFonts w:ascii="Times New Roman" w:eastAsia="仿宋_GB2312" w:hAnsi="Times New Roman" w:hint="eastAsia"/>
          <w:color w:val="000000"/>
          <w:sz w:val="32"/>
          <w:szCs w:val="32"/>
        </w:rPr>
        <w:t>，管理类别为Ⅲ类。</w:t>
      </w:r>
    </w:p>
    <w:p w:rsidR="003B04B8" w:rsidRDefault="00026F40">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二、产品简介</w:t>
      </w:r>
    </w:p>
    <w:p w:rsidR="003B04B8" w:rsidRDefault="00026F40">
      <w:pPr>
        <w:snapToGrid w:val="0"/>
        <w:spacing w:line="520" w:lineRule="exact"/>
        <w:ind w:firstLineChars="200" w:firstLine="640"/>
        <w:rPr>
          <w:rFonts w:ascii="Times New Roman" w:eastAsia="仿宋_GB2312" w:hAnsi="Times New Roman"/>
          <w:color w:val="000000"/>
          <w:sz w:val="32"/>
          <w:szCs w:val="32"/>
          <w:highlight w:val="magenta"/>
        </w:rPr>
      </w:pPr>
      <w:r>
        <w:rPr>
          <w:rFonts w:ascii="Times New Roman" w:eastAsia="仿宋_GB2312" w:hAnsi="Times New Roman"/>
          <w:color w:val="000000"/>
          <w:sz w:val="32"/>
          <w:szCs w:val="32"/>
        </w:rPr>
        <w:t>产品由颅骨修补假体、配合使用的</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、螺钉组成，</w:t>
      </w:r>
      <w:r>
        <w:rPr>
          <w:rFonts w:ascii="Times New Roman" w:eastAsia="仿宋_GB2312" w:hAnsi="Times New Roman"/>
          <w:color w:val="000000"/>
          <w:sz w:val="32"/>
          <w:szCs w:val="32"/>
        </w:rPr>
        <w:lastRenderedPageBreak/>
        <w:t>其中颅骨修补假体、配合使用的</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采用</w:t>
      </w:r>
      <w:r>
        <w:rPr>
          <w:rFonts w:ascii="Times New Roman" w:eastAsia="仿宋_GB2312" w:hAnsi="Times New Roman" w:hint="eastAsia"/>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生物陶瓷复合材料制成（如</w:t>
      </w:r>
      <w:r>
        <w:rPr>
          <w:rFonts w:ascii="Times New Roman" w:eastAsia="仿宋_GB2312" w:hAnsi="Times New Roman" w:hint="eastAsia"/>
          <w:color w:val="000000"/>
          <w:sz w:val="32"/>
          <w:szCs w:val="32"/>
        </w:rPr>
        <w:t>聚醚醚酮（</w:t>
      </w:r>
      <w:r>
        <w:rPr>
          <w:rFonts w:ascii="Times New Roman" w:eastAsia="仿宋_GB2312" w:hAnsi="Times New Roman" w:hint="eastAsia"/>
          <w:color w:val="000000"/>
          <w:sz w:val="32"/>
          <w:szCs w:val="32"/>
        </w:rPr>
        <w:t>PEEK</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双相磷酸钙（</w:t>
      </w:r>
      <w:r>
        <w:rPr>
          <w:rFonts w:ascii="Times New Roman" w:eastAsia="仿宋_GB2312" w:hAnsi="Times New Roman" w:hint="eastAsia"/>
          <w:color w:val="000000"/>
          <w:sz w:val="32"/>
          <w:szCs w:val="32"/>
        </w:rPr>
        <w:t>BCP</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复合材料），螺钉</w:t>
      </w:r>
      <w:bookmarkStart w:id="0" w:name="_GoBack"/>
      <w:bookmarkEnd w:id="0"/>
      <w:r>
        <w:rPr>
          <w:rFonts w:ascii="Times New Roman" w:eastAsia="仿宋_GB2312" w:hAnsi="Times New Roman" w:hint="eastAsia"/>
          <w:color w:val="000000"/>
          <w:sz w:val="32"/>
          <w:szCs w:val="32"/>
        </w:rPr>
        <w:t>可</w:t>
      </w:r>
      <w:r>
        <w:rPr>
          <w:rFonts w:ascii="Times New Roman" w:eastAsia="仿宋_GB2312" w:hAnsi="Times New Roman"/>
          <w:color w:val="000000"/>
          <w:sz w:val="32"/>
          <w:szCs w:val="32"/>
        </w:rPr>
        <w:t>采用</w:t>
      </w:r>
      <w:r>
        <w:rPr>
          <w:rFonts w:ascii="Times New Roman" w:eastAsia="仿宋_GB2312" w:hAnsi="Times New Roman" w:hint="eastAsia"/>
          <w:color w:val="000000"/>
          <w:sz w:val="32"/>
          <w:szCs w:val="32"/>
        </w:rPr>
        <w:t>金属</w:t>
      </w:r>
      <w:r>
        <w:rPr>
          <w:rFonts w:ascii="Times New Roman" w:eastAsia="仿宋_GB2312" w:hAnsi="Times New Roman"/>
          <w:color w:val="000000"/>
          <w:sz w:val="32"/>
          <w:szCs w:val="32"/>
        </w:rPr>
        <w:t>材料制成</w:t>
      </w:r>
      <w:r>
        <w:rPr>
          <w:rFonts w:ascii="Times New Roman" w:eastAsia="仿宋_GB2312" w:hAnsi="Times New Roman" w:hint="eastAsia"/>
          <w:color w:val="000000"/>
          <w:sz w:val="32"/>
          <w:szCs w:val="32"/>
        </w:rPr>
        <w:t>（如</w:t>
      </w:r>
      <w:r>
        <w:rPr>
          <w:rFonts w:ascii="Times New Roman" w:eastAsia="仿宋_GB2312" w:hAnsi="Times New Roman" w:hint="eastAsia"/>
          <w:color w:val="000000"/>
          <w:sz w:val="32"/>
          <w:szCs w:val="32"/>
        </w:rPr>
        <w:t>TC4</w:t>
      </w:r>
      <w:r>
        <w:rPr>
          <w:rFonts w:ascii="Times New Roman" w:eastAsia="仿宋_GB2312" w:hAnsi="Times New Roman" w:hint="eastAsia"/>
          <w:color w:val="000000"/>
          <w:sz w:val="32"/>
          <w:szCs w:val="32"/>
        </w:rPr>
        <w:t>钛合金）或高分子材料制成（如</w:t>
      </w:r>
      <w:r>
        <w:rPr>
          <w:rFonts w:ascii="Times New Roman" w:eastAsia="仿宋_GB2312" w:hAnsi="Times New Roman" w:hint="eastAsia"/>
          <w:color w:val="000000"/>
          <w:sz w:val="32"/>
          <w:szCs w:val="32"/>
        </w:rPr>
        <w:t>P</w:t>
      </w:r>
      <w:r>
        <w:rPr>
          <w:rFonts w:ascii="Times New Roman" w:eastAsia="仿宋_GB2312" w:hAnsi="Times New Roman"/>
          <w:color w:val="000000"/>
          <w:sz w:val="32"/>
          <w:szCs w:val="32"/>
        </w:rPr>
        <w:t>EEK</w:t>
      </w:r>
      <w:r>
        <w:rPr>
          <w:rFonts w:ascii="Times New Roman" w:eastAsia="仿宋_GB2312" w:hAnsi="Times New Roman" w:hint="eastAsia"/>
          <w:color w:val="000000"/>
          <w:sz w:val="32"/>
          <w:szCs w:val="32"/>
        </w:rPr>
        <w:t>等）</w:t>
      </w:r>
      <w:r>
        <w:rPr>
          <w:rFonts w:ascii="Times New Roman" w:eastAsia="仿宋_GB2312" w:hAnsi="Times New Roman"/>
          <w:color w:val="000000"/>
          <w:sz w:val="32"/>
          <w:szCs w:val="32"/>
        </w:rPr>
        <w:t>。颅骨修补假体采用增材制造工艺制成，配合使用的</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可采用增材制造工艺制成</w:t>
      </w:r>
      <w:r>
        <w:rPr>
          <w:rFonts w:ascii="Times New Roman" w:eastAsia="仿宋_GB2312" w:hAnsi="Times New Roman" w:hint="eastAsia"/>
          <w:color w:val="000000"/>
          <w:sz w:val="32"/>
          <w:szCs w:val="32"/>
        </w:rPr>
        <w:t>，亦可采用机加工工艺制成</w:t>
      </w:r>
      <w:r>
        <w:rPr>
          <w:rFonts w:ascii="Times New Roman" w:eastAsia="仿宋_GB2312" w:hAnsi="Times New Roman"/>
          <w:color w:val="000000"/>
          <w:sz w:val="32"/>
          <w:szCs w:val="32"/>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颅骨修补假体可包含适宜骨长入的孔隙结构，</w:t>
      </w:r>
      <w:r>
        <w:rPr>
          <w:rFonts w:ascii="Times New Roman" w:eastAsia="仿宋_GB2312" w:hAnsi="Times New Roman" w:hint="eastAsia"/>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生物陶瓷复合材料本身的性能可使骨组织长入，上表面孔隙结构可使头皮软组织长入，可加快颅骨的修复周期。</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和螺钉起到连接固定作用。</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颅骨修补假体</w:t>
      </w:r>
      <w:r>
        <w:rPr>
          <w:rFonts w:ascii="Times New Roman" w:eastAsia="仿宋_GB2312" w:hAnsi="Times New Roman"/>
          <w:color w:val="000000"/>
          <w:sz w:val="32"/>
          <w:szCs w:val="32"/>
        </w:rPr>
        <w:t>与</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、螺钉配合使用，用于缺损颅骨的替代或重建。</w:t>
      </w:r>
    </w:p>
    <w:p w:rsidR="003B04B8" w:rsidRDefault="00026F40">
      <w:pPr>
        <w:numPr>
          <w:ilvl w:val="0"/>
          <w:numId w:val="2"/>
        </w:num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参考文件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该产品应按照《医疗器械注册申报资料要求及说明》要求提供注册申报资料。该产品是以聚醚醚酮为主体的复合材料经增材制造工艺制成的植入产品，可参考《增材制造聚醚醚酮植入物注册审查指导原则》中的适用部分。</w:t>
      </w:r>
      <w:r>
        <w:rPr>
          <w:rFonts w:ascii="Times New Roman" w:eastAsia="仿宋_GB2312" w:hAnsi="Times New Roman" w:hint="eastAsia"/>
          <w:color w:val="000000"/>
          <w:sz w:val="32"/>
          <w:szCs w:val="32"/>
        </w:rPr>
        <w:t>产品颅骨修补假体亦可与可吸收材料制成的链接板、螺钉组件配合使用或与可吸收颅骨锁配合使用，其中可吸收组件可</w:t>
      </w:r>
      <w:bookmarkStart w:id="1" w:name="_Hlk151805395"/>
      <w:r>
        <w:rPr>
          <w:rFonts w:ascii="Times New Roman" w:eastAsia="仿宋_GB2312" w:hAnsi="Times New Roman" w:hint="eastAsia"/>
          <w:color w:val="000000"/>
          <w:sz w:val="32"/>
          <w:szCs w:val="32"/>
        </w:rPr>
        <w:t>参考《可</w:t>
      </w:r>
      <w:r>
        <w:rPr>
          <w:rFonts w:ascii="Times New Roman" w:eastAsia="仿宋_GB2312" w:hAnsi="Times New Roman" w:hint="eastAsia"/>
          <w:color w:val="000000"/>
          <w:sz w:val="32"/>
          <w:szCs w:val="32"/>
        </w:rPr>
        <w:t>吸收骨内固定植入物注册审查指导原则》</w:t>
      </w:r>
      <w:bookmarkEnd w:id="1"/>
      <w:r>
        <w:rPr>
          <w:rFonts w:ascii="Times New Roman" w:eastAsia="仿宋_GB2312" w:hAnsi="Times New Roman" w:hint="eastAsia"/>
          <w:color w:val="000000"/>
          <w:sz w:val="32"/>
          <w:szCs w:val="32"/>
        </w:rPr>
        <w:t>中的适用部分。</w:t>
      </w:r>
    </w:p>
    <w:p w:rsidR="003B04B8" w:rsidRDefault="00026F40">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四、审评主要关注点</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基于监管科学研究和既往产品审评经验，对照《医疗器械安全和性能基本原则清单》，列明证明符合基本要求的方法，提出下列重点关注内容。</w:t>
      </w:r>
    </w:p>
    <w:p w:rsidR="003B04B8" w:rsidRDefault="00026F40">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（一）综述资料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产品描述</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产品的结构及组成包括但不限于所含组件、选用材料及符合标准、材料牌号信息</w:t>
      </w:r>
      <w:r>
        <w:rPr>
          <w:rFonts w:eastAsia="仿宋_GB2312" w:hint="eastAsia"/>
          <w:sz w:val="32"/>
          <w:szCs w:val="32"/>
        </w:rPr>
        <w:t>（注意材料牌号的描述需与其符合的标准一致）</w:t>
      </w:r>
      <w:r>
        <w:rPr>
          <w:rFonts w:ascii="Times New Roman" w:eastAsia="仿宋_GB2312" w:hAnsi="Times New Roman"/>
          <w:color w:val="000000"/>
          <w:sz w:val="32"/>
          <w:szCs w:val="32"/>
        </w:rPr>
        <w:t>、表面处理</w:t>
      </w:r>
      <w:r>
        <w:rPr>
          <w:rFonts w:ascii="Times New Roman" w:eastAsia="仿宋_GB2312" w:hAnsi="Times New Roman" w:hint="eastAsia"/>
          <w:color w:val="000000"/>
          <w:sz w:val="32"/>
          <w:szCs w:val="32"/>
        </w:rPr>
        <w:t>方式</w:t>
      </w:r>
      <w:r>
        <w:rPr>
          <w:rFonts w:ascii="Times New Roman" w:eastAsia="仿宋_GB2312" w:hAnsi="Times New Roman"/>
          <w:color w:val="000000"/>
          <w:sz w:val="32"/>
          <w:szCs w:val="32"/>
        </w:rPr>
        <w:t>、加工工艺、交付状态</w:t>
      </w:r>
      <w:r>
        <w:rPr>
          <w:rFonts w:ascii="Times New Roman" w:eastAsia="仿宋_GB2312" w:hAnsi="Times New Roman" w:hint="eastAsia"/>
          <w:color w:val="000000"/>
          <w:sz w:val="32"/>
          <w:szCs w:val="32"/>
        </w:rPr>
        <w:t>、灭菌方式、</w:t>
      </w:r>
      <w:r>
        <w:rPr>
          <w:rFonts w:ascii="Times New Roman" w:eastAsia="仿宋_GB2312" w:hAnsi="Times New Roman"/>
          <w:color w:val="000000"/>
          <w:sz w:val="32"/>
          <w:szCs w:val="32"/>
        </w:rPr>
        <w:t>灭菌有效期信息。</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型号规格</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存在多种型号规格的产品，需明确各型号规格的区别，采用对比表及带有说明性文字的图片、图表，对各种型号规格的结构组成、产品特征、性能指标、功能等方面加以描述。需描述产品各型号的关键尺寸参数（包括公差），例如颅骨修补假体的长度、宽度、弧高</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弧度</w:t>
      </w:r>
      <w:r>
        <w:rPr>
          <w:rFonts w:ascii="Times New Roman" w:eastAsia="仿宋_GB2312" w:hAnsi="Times New Roman"/>
          <w:color w:val="000000"/>
          <w:sz w:val="32"/>
          <w:szCs w:val="32"/>
        </w:rPr>
        <w:t>、厚度、孔径，</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的长度、宽度、厚度、</w:t>
      </w:r>
      <w:r>
        <w:rPr>
          <w:rFonts w:ascii="Times New Roman" w:eastAsia="仿宋_GB2312" w:hAnsi="Times New Roman" w:hint="eastAsia"/>
          <w:color w:val="000000"/>
          <w:sz w:val="32"/>
          <w:szCs w:val="32"/>
        </w:rPr>
        <w:t>孔径、</w:t>
      </w:r>
      <w:r>
        <w:rPr>
          <w:rFonts w:ascii="Times New Roman" w:eastAsia="仿宋_GB2312" w:hAnsi="Times New Roman"/>
          <w:color w:val="000000"/>
          <w:sz w:val="32"/>
          <w:szCs w:val="32"/>
        </w:rPr>
        <w:t>雪花型</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的直径，螺钉的长度、</w:t>
      </w:r>
      <w:r>
        <w:rPr>
          <w:rFonts w:ascii="Times New Roman" w:eastAsia="仿宋_GB2312" w:hAnsi="Times New Roman" w:hint="eastAsia"/>
          <w:color w:val="000000"/>
          <w:sz w:val="32"/>
          <w:szCs w:val="32"/>
        </w:rPr>
        <w:t>螺纹直径</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底径、头部直径</w:t>
      </w:r>
      <w:r>
        <w:rPr>
          <w:rFonts w:ascii="Times New Roman" w:eastAsia="仿宋_GB2312" w:hAnsi="Times New Roman"/>
          <w:color w:val="000000"/>
          <w:sz w:val="32"/>
          <w:szCs w:val="32"/>
        </w:rPr>
        <w:t>。提供产品各型号规格的划分原则。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包装说明</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需以图片和文字相结合的方式明示申报产品的包装信息，以列表形式说明所有包装内容物。提供包装材料的信息，评价包装材料对材料储存过程的影响。</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与同类和</w:t>
      </w:r>
      <w:r>
        <w:rPr>
          <w:rFonts w:ascii="Times New Roman" w:eastAsia="仿宋_GB2312" w:hAnsi="Times New Roman"/>
          <w:color w:val="000000"/>
          <w:sz w:val="32"/>
          <w:szCs w:val="32"/>
        </w:rPr>
        <w:t>/</w:t>
      </w:r>
      <w:r>
        <w:rPr>
          <w:rFonts w:ascii="Times New Roman" w:eastAsia="仿宋_GB2312" w:hAnsi="Times New Roman"/>
          <w:color w:val="000000"/>
          <w:sz w:val="32"/>
          <w:szCs w:val="32"/>
        </w:rPr>
        <w:t>或前代产品的参考和比较</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需提供同类产品（国内外已上市）或前代产品（如有）的信息，阐述申请注册产品的研发背景和目的。对于同类产品，需说明选择其作为研发参考的原因。</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综述同类产品国内外研究、临床使用现状及发展趋势。同时列表比较说明申报产品与参考产品（同类产品或前代产品）在工作原理、原材料、制造工艺、表面处理、结构特征、关键尺寸、适用范围及产品性能指标等方面的异同</w:t>
      </w:r>
      <w:r>
        <w:rPr>
          <w:rFonts w:ascii="Times New Roman" w:eastAsia="仿宋_GB2312" w:hAnsi="Times New Roman"/>
          <w:color w:val="000000"/>
          <w:sz w:val="32"/>
          <w:szCs w:val="32"/>
        </w:rPr>
        <w:t>。</w:t>
      </w:r>
      <w:r>
        <w:rPr>
          <w:rFonts w:eastAsia="仿宋_GB2312" w:hint="eastAsia"/>
          <w:color w:val="000000"/>
          <w:sz w:val="32"/>
          <w:szCs w:val="32"/>
        </w:rPr>
        <w:t>考虑到采用传统工艺制备的颅骨修补假体系统与增材制造颅骨修</w:t>
      </w:r>
      <w:r>
        <w:rPr>
          <w:rFonts w:eastAsia="仿宋_GB2312" w:hint="eastAsia"/>
          <w:color w:val="000000"/>
          <w:sz w:val="32"/>
          <w:szCs w:val="32"/>
        </w:rPr>
        <w:lastRenderedPageBreak/>
        <w:t>补假体系统在原材料、制造工艺、多孔结构以及性能指标等方面的差异，申请人应着重论述上述差异对产品安全有效性的影响。</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适用范围和禁忌证</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产品的适用范围、适用人群、禁忌证需与申报产品的性能、功能相符，并需与临床评价资料结论一致。</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5.1</w:t>
      </w:r>
      <w:r>
        <w:rPr>
          <w:rFonts w:ascii="Times New Roman" w:eastAsia="仿宋_GB2312" w:hAnsi="Times New Roman"/>
          <w:color w:val="000000"/>
          <w:sz w:val="32"/>
          <w:szCs w:val="32"/>
        </w:rPr>
        <w:t>适用范围：适用范围的表述需客观、清晰，使用有明确定义或行业公认的术语或名词。例如：与</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、螺钉配合使用，用于缺损颅骨的替代或重建。</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5.2</w:t>
      </w:r>
      <w:r>
        <w:rPr>
          <w:rFonts w:ascii="Times New Roman" w:eastAsia="仿宋_GB2312" w:hAnsi="Times New Roman"/>
          <w:color w:val="000000"/>
          <w:sz w:val="32"/>
          <w:szCs w:val="32"/>
        </w:rPr>
        <w:t>预期使用环境：明确预期使用的地点（如医疗机构），说明可能影响其安全性和有效性的环</w:t>
      </w:r>
      <w:r>
        <w:rPr>
          <w:rFonts w:ascii="Times New Roman" w:eastAsia="仿宋_GB2312" w:hAnsi="Times New Roman"/>
          <w:color w:val="000000"/>
          <w:sz w:val="32"/>
          <w:szCs w:val="32"/>
        </w:rPr>
        <w:t>境条件。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5.3</w:t>
      </w:r>
      <w:r>
        <w:rPr>
          <w:rFonts w:ascii="Times New Roman" w:eastAsia="仿宋_GB2312" w:hAnsi="Times New Roman"/>
          <w:color w:val="000000"/>
          <w:sz w:val="32"/>
          <w:szCs w:val="32"/>
        </w:rPr>
        <w:t>适用人群：说明该器械目标患者人群信息，以及不适宜应用的某些疾病、情况或特定人群（如适用）。</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5.4</w:t>
      </w:r>
      <w:r>
        <w:rPr>
          <w:rFonts w:ascii="Times New Roman" w:eastAsia="仿宋_GB2312" w:hAnsi="Times New Roman"/>
          <w:color w:val="000000"/>
          <w:sz w:val="32"/>
          <w:szCs w:val="32"/>
        </w:rPr>
        <w:t>禁忌证（如适用）。</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6.</w:t>
      </w:r>
      <w:r>
        <w:rPr>
          <w:rFonts w:ascii="Times New Roman" w:eastAsia="仿宋_GB2312" w:hAnsi="Times New Roman"/>
          <w:color w:val="000000"/>
          <w:sz w:val="32"/>
          <w:szCs w:val="32"/>
        </w:rPr>
        <w:t>申报产品上市历史</w:t>
      </w:r>
    </w:p>
    <w:p w:rsidR="003B04B8" w:rsidRDefault="00026F40">
      <w:pPr>
        <w:snapToGrid w:val="0"/>
        <w:spacing w:line="520" w:lineRule="exact"/>
        <w:ind w:firstLineChars="200" w:firstLine="640"/>
        <w:rPr>
          <w:rFonts w:ascii="Times New Roman" w:eastAsia="楷体_GB2312" w:hAnsi="Times New Roman"/>
          <w:color w:val="000000"/>
          <w:sz w:val="32"/>
          <w:szCs w:val="32"/>
        </w:rPr>
      </w:pPr>
      <w:r>
        <w:rPr>
          <w:rFonts w:ascii="Times New Roman" w:eastAsia="仿宋_GB2312" w:hAnsi="Times New Roman"/>
          <w:color w:val="000000"/>
          <w:sz w:val="32"/>
          <w:szCs w:val="32"/>
        </w:rPr>
        <w:t>如适用，提交申报产品在各国家或地区的上市批准时间、销售情况。如有不良事件和召回，分别对申报产品上市后发生的不良事件、召回的发生时间、申请人采取的处理和解决方案、相关部门的调查处理情况等进行描述。</w:t>
      </w:r>
    </w:p>
    <w:p w:rsidR="003B04B8" w:rsidRDefault="00026F40">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（二）非临床资料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产品风险管理资料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注册申请人需对产品全生命周期实施风险管理，提交风险管理资料（参照</w:t>
      </w:r>
      <w:r>
        <w:rPr>
          <w:rFonts w:ascii="Times New Roman" w:eastAsia="仿宋_GB2312" w:hAnsi="Times New Roman"/>
          <w:color w:val="000000"/>
          <w:sz w:val="32"/>
          <w:szCs w:val="32"/>
        </w:rPr>
        <w:t>GB/T 42062</w:t>
      </w:r>
      <w:r>
        <w:rPr>
          <w:rFonts w:ascii="Times New Roman" w:eastAsia="仿宋_GB2312" w:hAnsi="Times New Roman"/>
          <w:color w:val="000000"/>
          <w:sz w:val="32"/>
          <w:szCs w:val="32"/>
        </w:rPr>
        <w:t>《医疗器械</w:t>
      </w: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风险管理对医疗器械的应用》），充分识别产品的设计、原材料采购、生产加工过程、表面处理、后处理、产品包装、灭菌、运输、贮存、使用等产品生命周期内各个环节的安全特征，从生物和化学</w:t>
      </w:r>
      <w:r>
        <w:rPr>
          <w:rFonts w:ascii="Times New Roman" w:eastAsia="仿宋_GB2312" w:hAnsi="Times New Roman"/>
          <w:color w:val="000000"/>
          <w:sz w:val="32"/>
          <w:szCs w:val="32"/>
        </w:rPr>
        <w:lastRenderedPageBreak/>
        <w:t>危险、能量危险、性能有关的危险等方面，对产品进行全面的风险分析，并详述所采取的风险控制措施。</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风险管理报告需包括生产和生产后活动，具体内容参考</w:t>
      </w:r>
      <w:r>
        <w:rPr>
          <w:rFonts w:ascii="Times New Roman" w:eastAsia="仿宋_GB2312" w:hAnsi="Times New Roman"/>
          <w:color w:val="000000"/>
          <w:sz w:val="32"/>
          <w:szCs w:val="32"/>
        </w:rPr>
        <w:t>GB/T 42062</w:t>
      </w:r>
      <w:r>
        <w:rPr>
          <w:rFonts w:eastAsia="仿宋_GB2312" w:hint="eastAsia"/>
          <w:sz w:val="32"/>
          <w:szCs w:val="32"/>
        </w:rPr>
        <w:t>《医疗器械</w:t>
      </w:r>
      <w:r>
        <w:rPr>
          <w:rFonts w:eastAsia="仿宋_GB2312"/>
          <w:sz w:val="32"/>
          <w:szCs w:val="32"/>
        </w:rPr>
        <w:t xml:space="preserve"> </w:t>
      </w:r>
      <w:r>
        <w:rPr>
          <w:rFonts w:eastAsia="仿宋_GB2312" w:hint="eastAsia"/>
          <w:sz w:val="32"/>
          <w:szCs w:val="32"/>
        </w:rPr>
        <w:t>风险管理对医疗器械的应用》</w:t>
      </w:r>
      <w:r>
        <w:rPr>
          <w:rFonts w:ascii="Times New Roman" w:eastAsia="仿宋_GB2312" w:hAnsi="Times New Roman"/>
          <w:color w:val="000000"/>
          <w:sz w:val="32"/>
          <w:szCs w:val="32"/>
        </w:rPr>
        <w:t>第</w:t>
      </w:r>
      <w:r>
        <w:rPr>
          <w:rFonts w:ascii="Times New Roman" w:eastAsia="仿宋_GB2312" w:hAnsi="Times New Roman"/>
          <w:color w:val="000000"/>
          <w:sz w:val="32"/>
          <w:szCs w:val="32"/>
        </w:rPr>
        <w:t>10</w:t>
      </w:r>
      <w:r>
        <w:rPr>
          <w:rFonts w:ascii="Times New Roman" w:eastAsia="仿宋_GB2312" w:hAnsi="Times New Roman"/>
          <w:color w:val="000000"/>
          <w:sz w:val="32"/>
          <w:szCs w:val="32"/>
        </w:rPr>
        <w:t>章和《医疗器械安全和性能的基本原则》的</w:t>
      </w:r>
      <w:r>
        <w:rPr>
          <w:rFonts w:ascii="Times New Roman" w:eastAsia="仿宋_GB2312" w:hAnsi="Times New Roman"/>
          <w:kern w:val="0"/>
          <w:sz w:val="32"/>
          <w:szCs w:val="32"/>
        </w:rPr>
        <w:t>2.1.2e)</w:t>
      </w:r>
      <w:r>
        <w:rPr>
          <w:rFonts w:ascii="Times New Roman" w:eastAsia="仿宋_GB2312" w:hAnsi="Times New Roman"/>
          <w:kern w:val="0"/>
          <w:sz w:val="32"/>
          <w:szCs w:val="32"/>
        </w:rPr>
        <w:t>和</w:t>
      </w:r>
      <w:r>
        <w:rPr>
          <w:rFonts w:ascii="Times New Roman" w:eastAsia="仿宋_GB2312" w:hAnsi="Times New Roman"/>
          <w:kern w:val="0"/>
          <w:sz w:val="32"/>
          <w:szCs w:val="32"/>
        </w:rPr>
        <w:t>f)</w:t>
      </w:r>
      <w:r>
        <w:rPr>
          <w:rFonts w:ascii="Times New Roman" w:eastAsia="仿宋_GB2312" w:hAnsi="Times New Roman"/>
          <w:kern w:val="0"/>
          <w:sz w:val="32"/>
          <w:szCs w:val="32"/>
        </w:rPr>
        <w:t>部分</w:t>
      </w:r>
      <w:r>
        <w:rPr>
          <w:rFonts w:ascii="Times New Roman" w:eastAsia="仿宋_GB2312" w:hAnsi="Times New Roman"/>
          <w:color w:val="000000"/>
          <w:sz w:val="32"/>
          <w:szCs w:val="32"/>
        </w:rPr>
        <w:t>)</w:t>
      </w:r>
      <w:r>
        <w:rPr>
          <w:rFonts w:ascii="Times New Roman" w:eastAsia="仿宋_GB2312" w:hAnsi="Times New Roman"/>
          <w:color w:val="000000"/>
          <w:sz w:val="32"/>
          <w:szCs w:val="32"/>
        </w:rPr>
        <w:t>。产品变更注册和已在境外上市产品注册时，申报资料中的风险管理报告需包</w:t>
      </w:r>
      <w:r>
        <w:rPr>
          <w:rFonts w:ascii="Times New Roman" w:eastAsia="仿宋_GB2312" w:hAnsi="Times New Roman"/>
          <w:color w:val="000000"/>
          <w:sz w:val="32"/>
          <w:szCs w:val="32"/>
        </w:rPr>
        <w:t>括上述内容，将风险管理贯穿于产品的全生命周期。</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对于增材制造聚醚醚酮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颅骨修补假体系统存在的风险可从设计开发中医工交互过程、影像数据采集和重建过程、植入物结构设计对于预期功能的满足性、原材料、增材制造成形、清洁和灭菌工艺、个性化手术等方面考量，具体可参考《增材制造聚醚醚酮植入物注册审查指导原则》附录</w:t>
      </w:r>
      <w:r>
        <w:rPr>
          <w:rFonts w:ascii="Times New Roman" w:eastAsia="仿宋_GB2312" w:hAnsi="Times New Roman"/>
          <w:color w:val="000000"/>
          <w:sz w:val="32"/>
          <w:szCs w:val="32"/>
        </w:rPr>
        <w:t>“</w:t>
      </w:r>
      <w:r>
        <w:rPr>
          <w:rFonts w:ascii="Times New Roman" w:eastAsia="仿宋_GB2312" w:hAnsi="Times New Roman"/>
          <w:color w:val="000000"/>
          <w:sz w:val="32"/>
          <w:szCs w:val="32"/>
        </w:rPr>
        <w:t>增材制造聚醚醚酮植入物风险管理资料要求</w:t>
      </w:r>
      <w:r>
        <w:rPr>
          <w:rFonts w:ascii="Times New Roman" w:eastAsia="仿宋_GB2312" w:hAnsi="Times New Roman"/>
          <w:color w:val="000000"/>
          <w:sz w:val="32"/>
          <w:szCs w:val="32"/>
        </w:rPr>
        <w:t>”</w:t>
      </w:r>
      <w:r>
        <w:rPr>
          <w:rFonts w:ascii="Times New Roman" w:eastAsia="仿宋_GB2312" w:hAnsi="Times New Roman"/>
          <w:color w:val="000000"/>
          <w:sz w:val="32"/>
          <w:szCs w:val="32"/>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产品技术要求及检验报告</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2.1</w:t>
      </w:r>
      <w:r>
        <w:rPr>
          <w:rFonts w:ascii="Times New Roman" w:eastAsia="仿宋_GB2312" w:hAnsi="Times New Roman" w:hint="eastAsia"/>
          <w:color w:val="000000"/>
          <w:sz w:val="32"/>
          <w:szCs w:val="32"/>
        </w:rPr>
        <w:t>产品技术要求</w:t>
      </w:r>
    </w:p>
    <w:p w:rsidR="003B04B8" w:rsidRDefault="00026F40">
      <w:pPr>
        <w:widowControl/>
        <w:spacing w:line="520" w:lineRule="exact"/>
        <w:ind w:firstLineChars="200" w:firstLine="640"/>
        <w:rPr>
          <w:rFonts w:ascii="Times New Roman" w:eastAsia="仿宋_GB2312" w:hAnsi="Times New Roman"/>
          <w:color w:val="000000"/>
          <w:sz w:val="32"/>
          <w:szCs w:val="32"/>
        </w:rPr>
      </w:pPr>
      <w:r>
        <w:rPr>
          <w:rFonts w:eastAsia="仿宋_GB2312" w:hint="eastAsia"/>
          <w:sz w:val="32"/>
          <w:szCs w:val="32"/>
        </w:rPr>
        <w:t>产品技术要求的制定需符合《医疗器械产品技术要求编写指导原则》的要求，同时结合产品适用的相关国家标准、行</w:t>
      </w:r>
      <w:r>
        <w:rPr>
          <w:rFonts w:eastAsia="仿宋_GB2312" w:hint="eastAsia"/>
          <w:sz w:val="32"/>
          <w:szCs w:val="32"/>
        </w:rPr>
        <w:t>业标准以及产品的特点，选择适用项对各项性能指标和检验方法进行制定，以保证产品安全、有效</w:t>
      </w:r>
      <w:r>
        <w:rPr>
          <w:rFonts w:eastAsia="仿宋_GB2312"/>
          <w:kern w:val="0"/>
          <w:sz w:val="32"/>
          <w:szCs w:val="32"/>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性能指标：</w:t>
      </w:r>
      <w:r>
        <w:rPr>
          <w:rFonts w:ascii="Times New Roman" w:eastAsia="仿宋_GB2312" w:hAnsi="Times New Roman"/>
          <w:color w:val="000000"/>
          <w:sz w:val="32"/>
          <w:szCs w:val="32"/>
        </w:rPr>
        <w:t>产品技术要求</w:t>
      </w:r>
      <w:r>
        <w:rPr>
          <w:rFonts w:ascii="Times New Roman" w:eastAsia="仿宋_GB2312" w:hAnsi="Times New Roman" w:hint="eastAsia"/>
          <w:color w:val="000000"/>
          <w:sz w:val="32"/>
          <w:szCs w:val="32"/>
        </w:rPr>
        <w:t>中</w:t>
      </w:r>
      <w:r>
        <w:rPr>
          <w:rFonts w:ascii="Times New Roman" w:eastAsia="仿宋_GB2312" w:hAnsi="Times New Roman"/>
          <w:color w:val="000000"/>
          <w:sz w:val="32"/>
          <w:szCs w:val="32"/>
        </w:rPr>
        <w:t>性能指标一般包括硬度</w:t>
      </w:r>
      <w:r>
        <w:rPr>
          <w:rFonts w:ascii="Times New Roman" w:eastAsia="仿宋_GB2312" w:hAnsi="Times New Roman" w:hint="eastAsia"/>
          <w:color w:val="000000"/>
          <w:sz w:val="32"/>
          <w:szCs w:val="32"/>
        </w:rPr>
        <w:t>（适用于金属材质螺钉产品）</w:t>
      </w:r>
      <w:r>
        <w:rPr>
          <w:rFonts w:ascii="Times New Roman" w:eastAsia="仿宋_GB2312" w:hAnsi="Times New Roman"/>
          <w:color w:val="000000"/>
          <w:sz w:val="32"/>
          <w:szCs w:val="32"/>
        </w:rPr>
        <w:t>，表面质量（表面缺陷、表面粗糙度、外观），</w:t>
      </w:r>
      <w:r>
        <w:rPr>
          <w:rFonts w:ascii="Times New Roman" w:eastAsia="仿宋_GB2312" w:hAnsi="Times New Roman" w:hint="eastAsia"/>
          <w:color w:val="000000"/>
          <w:sz w:val="32"/>
          <w:szCs w:val="32"/>
        </w:rPr>
        <w:t>内部缺陷（如内部结构是否存在气泡造成的孔洞、裂纹等缺陷，是否存在未熔合、层间结合不良、丝径断裂等缺陷）、</w:t>
      </w:r>
      <w:r>
        <w:rPr>
          <w:rFonts w:ascii="Times New Roman" w:eastAsia="仿宋_GB2312" w:hAnsi="Times New Roman"/>
          <w:color w:val="000000"/>
          <w:sz w:val="32"/>
          <w:szCs w:val="32"/>
        </w:rPr>
        <w:t>产品重要部位尺寸和公差，多孔结构形貌（若适用，如多孔结构的孔径、丝径、孔隙率、平均孔隙截距、</w:t>
      </w:r>
      <w:r>
        <w:rPr>
          <w:rFonts w:ascii="Times New Roman" w:eastAsia="仿宋_GB2312" w:hAnsi="Times New Roman"/>
          <w:color w:val="000000"/>
          <w:sz w:val="32"/>
          <w:szCs w:val="32"/>
        </w:rPr>
        <w:lastRenderedPageBreak/>
        <w:t>孔隙梯度、孔内部连通性、多孔结构的厚度等），螺钉的断裂扭矩和断裂扭转角、轴向拔出力、旋入扭矩和旋出扭矩、自攻力（若</w:t>
      </w:r>
      <w:r>
        <w:rPr>
          <w:rFonts w:ascii="Times New Roman" w:eastAsia="仿宋_GB2312" w:hAnsi="Times New Roman"/>
          <w:color w:val="000000"/>
          <w:sz w:val="32"/>
          <w:szCs w:val="32"/>
        </w:rPr>
        <w:t>适用），配合性能（若适用），无菌（若适用），环氧乙烷残留量（若适用）。</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检验方法：</w:t>
      </w:r>
      <w:r>
        <w:rPr>
          <w:rFonts w:ascii="Times New Roman" w:eastAsia="仿宋_GB2312" w:hAnsi="Times New Roman"/>
          <w:color w:val="000000"/>
          <w:sz w:val="32"/>
          <w:szCs w:val="32"/>
        </w:rPr>
        <w:t>产品的检验方法需根据技术性能指标设定，检验方法需优先采用国家标准</w:t>
      </w:r>
      <w:r>
        <w:rPr>
          <w:rFonts w:ascii="Times New Roman" w:eastAsia="仿宋_GB2312" w:hAnsi="Times New Roman"/>
          <w:color w:val="000000"/>
          <w:sz w:val="32"/>
          <w:szCs w:val="32"/>
        </w:rPr>
        <w:t>/</w:t>
      </w:r>
      <w:r>
        <w:rPr>
          <w:rFonts w:ascii="Times New Roman" w:eastAsia="仿宋_GB2312" w:hAnsi="Times New Roman"/>
          <w:color w:val="000000"/>
          <w:sz w:val="32"/>
          <w:szCs w:val="32"/>
        </w:rPr>
        <w:t>行业标准中的方法。对于相关国家标准</w:t>
      </w:r>
      <w:r>
        <w:rPr>
          <w:rFonts w:ascii="Times New Roman" w:eastAsia="仿宋_GB2312" w:hAnsi="Times New Roman"/>
          <w:color w:val="000000"/>
          <w:sz w:val="32"/>
          <w:szCs w:val="32"/>
        </w:rPr>
        <w:t>/</w:t>
      </w:r>
      <w:r>
        <w:rPr>
          <w:rFonts w:ascii="Times New Roman" w:eastAsia="仿宋_GB2312" w:hAnsi="Times New Roman"/>
          <w:color w:val="000000"/>
          <w:sz w:val="32"/>
          <w:szCs w:val="32"/>
        </w:rPr>
        <w:t>行业标准中不适用的条款，需说明不适用的原因。所有引用的标准注明其编号和年代号。自建检验方法需提供相应的方法学依据及理论基础，同时保证检验方法具有可操作性和可重现性，必要时可以采用相应图示进行说明，文本较大的可以附录形式提供。</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产品技术要求</w:t>
      </w:r>
      <w:r>
        <w:rPr>
          <w:rFonts w:ascii="Times New Roman" w:eastAsia="仿宋_GB2312" w:hAnsi="Times New Roman"/>
          <w:color w:val="000000"/>
          <w:sz w:val="32"/>
          <w:szCs w:val="32"/>
        </w:rPr>
        <w:t>附录：</w:t>
      </w:r>
      <w:r>
        <w:rPr>
          <w:rFonts w:ascii="Times New Roman" w:eastAsia="仿宋_GB2312" w:hAnsi="Times New Roman" w:hint="eastAsia"/>
          <w:color w:val="000000"/>
          <w:sz w:val="32"/>
          <w:szCs w:val="32"/>
        </w:rPr>
        <w:t>需载明</w:t>
      </w:r>
      <w:r>
        <w:rPr>
          <w:rFonts w:ascii="Times New Roman" w:eastAsia="仿宋_GB2312" w:hAnsi="Times New Roman"/>
          <w:color w:val="000000"/>
          <w:sz w:val="32"/>
          <w:szCs w:val="32"/>
        </w:rPr>
        <w:t>产品原材料组分配比，包括无机物和有机物比例以及对于含两种及以上无机物成分时各无</w:t>
      </w:r>
      <w:r>
        <w:rPr>
          <w:rFonts w:ascii="Times New Roman" w:eastAsia="仿宋_GB2312" w:hAnsi="Times New Roman"/>
          <w:color w:val="000000"/>
          <w:sz w:val="32"/>
          <w:szCs w:val="32"/>
        </w:rPr>
        <w:t>机物组分的比例</w:t>
      </w:r>
      <w:r>
        <w:rPr>
          <w:rFonts w:ascii="Times New Roman" w:eastAsia="仿宋_GB2312" w:hAnsi="Times New Roman" w:hint="eastAsia"/>
          <w:color w:val="000000"/>
          <w:sz w:val="32"/>
          <w:szCs w:val="32"/>
        </w:rPr>
        <w:t>。螺钉制造材料性能，如为</w:t>
      </w:r>
      <w:r>
        <w:rPr>
          <w:rFonts w:ascii="Times New Roman" w:eastAsia="仿宋_GB2312" w:hAnsi="Times New Roman"/>
          <w:color w:val="000000"/>
          <w:sz w:val="32"/>
          <w:szCs w:val="32"/>
        </w:rPr>
        <w:t>金属材料</w:t>
      </w:r>
      <w:r>
        <w:rPr>
          <w:rFonts w:ascii="Times New Roman" w:eastAsia="仿宋_GB2312" w:hAnsi="Times New Roman" w:hint="eastAsia"/>
          <w:color w:val="000000"/>
          <w:sz w:val="32"/>
          <w:szCs w:val="32"/>
        </w:rPr>
        <w:t>需包含</w:t>
      </w:r>
      <w:r>
        <w:rPr>
          <w:rFonts w:ascii="Times New Roman" w:eastAsia="仿宋_GB2312" w:hAnsi="Times New Roman"/>
          <w:color w:val="000000"/>
          <w:sz w:val="32"/>
          <w:szCs w:val="32"/>
        </w:rPr>
        <w:t>化学成分、显微组织；</w:t>
      </w:r>
      <w:r>
        <w:rPr>
          <w:rFonts w:ascii="Times New Roman" w:eastAsia="仿宋_GB2312" w:hAnsi="Times New Roman" w:hint="eastAsia"/>
          <w:color w:val="000000"/>
          <w:sz w:val="32"/>
          <w:szCs w:val="32"/>
        </w:rPr>
        <w:t>如为</w:t>
      </w:r>
      <w:r>
        <w:rPr>
          <w:rFonts w:ascii="Times New Roman" w:eastAsia="仿宋_GB2312" w:hAnsi="Times New Roman" w:hint="eastAsia"/>
          <w:color w:val="000000"/>
          <w:sz w:val="32"/>
          <w:szCs w:val="32"/>
        </w:rPr>
        <w:t>P</w:t>
      </w:r>
      <w:r>
        <w:rPr>
          <w:rFonts w:ascii="Times New Roman" w:eastAsia="仿宋_GB2312" w:hAnsi="Times New Roman"/>
          <w:color w:val="000000"/>
          <w:sz w:val="32"/>
          <w:szCs w:val="32"/>
        </w:rPr>
        <w:t>EEK</w:t>
      </w:r>
      <w:r>
        <w:rPr>
          <w:rFonts w:ascii="Times New Roman" w:eastAsia="仿宋_GB2312" w:hAnsi="Times New Roman" w:hint="eastAsia"/>
          <w:color w:val="000000"/>
          <w:sz w:val="32"/>
          <w:szCs w:val="32"/>
        </w:rPr>
        <w:t>材料，需符合</w:t>
      </w:r>
      <w:r>
        <w:rPr>
          <w:rFonts w:ascii="Times New Roman" w:eastAsia="仿宋_GB2312" w:hAnsi="Times New Roman" w:hint="eastAsia"/>
          <w:color w:val="000000"/>
          <w:sz w:val="32"/>
          <w:szCs w:val="32"/>
        </w:rPr>
        <w:t>Y</w:t>
      </w:r>
      <w:r>
        <w:rPr>
          <w:rFonts w:ascii="Times New Roman" w:eastAsia="仿宋_GB2312" w:hAnsi="Times New Roman"/>
          <w:color w:val="000000"/>
          <w:sz w:val="32"/>
          <w:szCs w:val="32"/>
        </w:rPr>
        <w:t xml:space="preserve">Y/T </w:t>
      </w:r>
      <w:r>
        <w:rPr>
          <w:rFonts w:ascii="Times New Roman" w:eastAsia="仿宋_GB2312" w:hAnsi="Times New Roman" w:hint="eastAsia"/>
          <w:color w:val="000000"/>
          <w:sz w:val="32"/>
          <w:szCs w:val="32"/>
        </w:rPr>
        <w:t>0660</w:t>
      </w:r>
      <w:r>
        <w:rPr>
          <w:rFonts w:eastAsia="仿宋_GB2312" w:hint="eastAsia"/>
          <w:color w:val="000000"/>
          <w:sz w:val="32"/>
          <w:szCs w:val="32"/>
        </w:rPr>
        <w:t>《外科植入物</w:t>
      </w:r>
      <w:r>
        <w:rPr>
          <w:rFonts w:eastAsia="仿宋_GB2312"/>
          <w:color w:val="000000"/>
          <w:sz w:val="32"/>
          <w:szCs w:val="32"/>
        </w:rPr>
        <w:t>用聚醚醚酮（</w:t>
      </w:r>
      <w:r>
        <w:rPr>
          <w:rFonts w:ascii="Times New Roman" w:eastAsia="仿宋_GB2312" w:hAnsi="Times New Roman"/>
          <w:color w:val="000000"/>
          <w:sz w:val="32"/>
          <w:szCs w:val="32"/>
        </w:rPr>
        <w:t>PEEK</w:t>
      </w:r>
      <w:r>
        <w:rPr>
          <w:rFonts w:eastAsia="仿宋_GB2312"/>
          <w:color w:val="000000"/>
          <w:sz w:val="32"/>
          <w:szCs w:val="32"/>
        </w:rPr>
        <w:t>）</w:t>
      </w:r>
      <w:r>
        <w:rPr>
          <w:rFonts w:eastAsia="仿宋_GB2312" w:hint="eastAsia"/>
          <w:color w:val="000000"/>
          <w:sz w:val="32"/>
          <w:szCs w:val="32"/>
        </w:rPr>
        <w:t>聚合物</w:t>
      </w:r>
      <w:r>
        <w:rPr>
          <w:rFonts w:eastAsia="仿宋_GB2312"/>
          <w:color w:val="000000"/>
          <w:sz w:val="32"/>
          <w:szCs w:val="32"/>
        </w:rPr>
        <w:t>的标准规范</w:t>
      </w:r>
      <w:r>
        <w:rPr>
          <w:rFonts w:eastAsia="仿宋_GB2312" w:hint="eastAsia"/>
          <w:color w:val="000000"/>
          <w:sz w:val="32"/>
          <w:szCs w:val="32"/>
        </w:rPr>
        <w:t>》</w:t>
      </w:r>
      <w:r>
        <w:rPr>
          <w:rFonts w:ascii="Times New Roman" w:eastAsia="仿宋_GB2312" w:hAnsi="Times New Roman" w:hint="eastAsia"/>
          <w:color w:val="000000"/>
          <w:sz w:val="32"/>
          <w:szCs w:val="32"/>
        </w:rPr>
        <w:t>标准中表</w:t>
      </w:r>
      <w:r>
        <w:rPr>
          <w:rFonts w:ascii="Times New Roman" w:eastAsia="仿宋_GB2312" w:hAnsi="Times New Roman" w:hint="eastAsia"/>
          <w:color w:val="000000"/>
          <w:sz w:val="32"/>
          <w:szCs w:val="32"/>
        </w:rPr>
        <w:t>1</w:t>
      </w:r>
      <w:r>
        <w:rPr>
          <w:rFonts w:ascii="Times New Roman" w:eastAsia="仿宋_GB2312" w:hAnsi="Times New Roman" w:hint="eastAsia"/>
          <w:color w:val="000000"/>
          <w:sz w:val="32"/>
          <w:szCs w:val="32"/>
        </w:rPr>
        <w:t>和表</w:t>
      </w:r>
      <w:r>
        <w:rPr>
          <w:rFonts w:ascii="Times New Roman" w:eastAsia="仿宋_GB2312" w:hAnsi="Times New Roman" w:hint="eastAsia"/>
          <w:color w:val="000000"/>
          <w:sz w:val="32"/>
          <w:szCs w:val="32"/>
        </w:rPr>
        <w:t>2</w:t>
      </w:r>
      <w:r>
        <w:rPr>
          <w:rFonts w:ascii="Times New Roman" w:eastAsia="仿宋_GB2312" w:hAnsi="Times New Roman" w:hint="eastAsia"/>
          <w:color w:val="000000"/>
          <w:sz w:val="32"/>
          <w:szCs w:val="32"/>
        </w:rPr>
        <w:t>的要求。</w:t>
      </w:r>
      <w:r>
        <w:rPr>
          <w:rFonts w:ascii="Times New Roman" w:eastAsia="仿宋_GB2312" w:hAnsi="Times New Roman"/>
          <w:color w:val="000000"/>
          <w:sz w:val="32"/>
          <w:szCs w:val="32"/>
        </w:rPr>
        <w:t>复合材料（红外光谱、重金属含量、黏度、</w:t>
      </w:r>
      <w:r>
        <w:rPr>
          <w:rFonts w:ascii="Times New Roman" w:eastAsia="仿宋_GB2312" w:hAnsi="Times New Roman" w:hint="eastAsia"/>
          <w:color w:val="000000"/>
          <w:sz w:val="32"/>
          <w:szCs w:val="32"/>
        </w:rPr>
        <w:t>玻璃化转变温度（</w:t>
      </w:r>
      <w:r>
        <w:rPr>
          <w:rFonts w:ascii="Times New Roman" w:eastAsia="仿宋_GB2312" w:hAnsi="Times New Roman"/>
          <w:color w:val="000000"/>
          <w:sz w:val="32"/>
          <w:szCs w:val="32"/>
        </w:rPr>
        <w:t>Tg</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结晶温度（</w:t>
      </w:r>
      <w:r>
        <w:rPr>
          <w:rFonts w:ascii="Times New Roman" w:eastAsia="仿宋_GB2312" w:hAnsi="Times New Roman"/>
          <w:color w:val="000000"/>
          <w:sz w:val="32"/>
          <w:szCs w:val="32"/>
        </w:rPr>
        <w:t>Tc</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熔融温度（</w:t>
      </w:r>
      <w:r>
        <w:rPr>
          <w:rFonts w:ascii="Times New Roman" w:eastAsia="仿宋_GB2312" w:hAnsi="Times New Roman"/>
          <w:color w:val="000000"/>
          <w:sz w:val="32"/>
          <w:szCs w:val="32"/>
        </w:rPr>
        <w:t>Tm</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、密度、熔体体积流动速率、熔体稳定性、结晶度、拉伸屈服强度、拉伸断裂强度、断裂伸长率、冲击强度、弯曲强度、拉伸模量、弯曲模量等）</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阳极氧化表面元素定性分析。</w:t>
      </w:r>
      <w:r>
        <w:rPr>
          <w:rFonts w:ascii="Times New Roman" w:eastAsia="仿宋_GB2312" w:hAnsi="Times New Roman" w:hint="eastAsia"/>
          <w:color w:val="000000"/>
          <w:sz w:val="32"/>
          <w:szCs w:val="32"/>
        </w:rPr>
        <w:t>建议在附录中</w:t>
      </w:r>
      <w:r>
        <w:rPr>
          <w:rFonts w:ascii="Times New Roman" w:eastAsia="仿宋_GB2312" w:hAnsi="Times New Roman"/>
          <w:color w:val="000000"/>
          <w:sz w:val="32"/>
          <w:szCs w:val="32"/>
        </w:rPr>
        <w:t>明确产品各维度尺寸参数的设计规则，包括</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连接槽和钉孔的设计规则。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2.2</w:t>
      </w:r>
      <w:r>
        <w:rPr>
          <w:rFonts w:ascii="Times New Roman" w:eastAsia="仿宋_GB2312" w:hAnsi="Times New Roman" w:hint="eastAsia"/>
          <w:color w:val="000000"/>
          <w:sz w:val="32"/>
          <w:szCs w:val="32"/>
        </w:rPr>
        <w:t>检验报告</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注册申请人需提供符合医疗器械注册申报法规文件要求的检验报告。增材制造</w:t>
      </w:r>
      <w:r>
        <w:rPr>
          <w:rFonts w:eastAsia="仿宋_GB2312"/>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生物陶瓷复合材料颅骨修</w:t>
      </w:r>
      <w:r>
        <w:rPr>
          <w:rFonts w:ascii="Times New Roman" w:eastAsia="仿宋_GB2312" w:hAnsi="Times New Roman"/>
          <w:color w:val="000000"/>
          <w:sz w:val="32"/>
          <w:szCs w:val="32"/>
        </w:rPr>
        <w:lastRenderedPageBreak/>
        <w:t>补假体系统在同一注册单元内所检验的产品需为能够代表本注册单元内其他产品安全性和有效性的典型产品，并提供典型性产品的选择依据。例如</w:t>
      </w:r>
      <w:r>
        <w:rPr>
          <w:rFonts w:ascii="Times New Roman" w:eastAsia="仿宋_GB2312" w:hAnsi="Times New Roman" w:hint="eastAsia"/>
          <w:color w:val="000000"/>
          <w:sz w:val="32"/>
          <w:szCs w:val="32"/>
        </w:rPr>
        <w:t>颅骨修补假体、链接板和</w:t>
      </w:r>
      <w:r>
        <w:rPr>
          <w:rFonts w:ascii="Times New Roman" w:eastAsia="仿宋_GB2312" w:hAnsi="Times New Roman"/>
          <w:color w:val="000000"/>
          <w:sz w:val="32"/>
          <w:szCs w:val="32"/>
        </w:rPr>
        <w:t>螺钉需分别选取典型性型号进行检验；</w:t>
      </w:r>
      <w:r>
        <w:rPr>
          <w:rFonts w:ascii="Times New Roman" w:eastAsia="仿宋_GB2312" w:hAnsi="Times New Roman" w:hint="eastAsia"/>
          <w:color w:val="000000"/>
          <w:sz w:val="32"/>
          <w:szCs w:val="32"/>
        </w:rPr>
        <w:t>对于螺钉产品如同时包含</w:t>
      </w:r>
      <w:r>
        <w:rPr>
          <w:rFonts w:ascii="Times New Roman" w:eastAsia="仿宋_GB2312" w:hAnsi="Times New Roman"/>
          <w:color w:val="000000"/>
          <w:sz w:val="32"/>
          <w:szCs w:val="32"/>
        </w:rPr>
        <w:t>着色阳极氧化处理和黑灰色阳极氧化处理</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需分别选取典型性型号进行检验。</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研究资料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w:t>
      </w:r>
      <w:r>
        <w:rPr>
          <w:rFonts w:ascii="Times New Roman" w:eastAsia="仿宋_GB2312" w:hAnsi="Times New Roman"/>
          <w:color w:val="000000"/>
          <w:sz w:val="32"/>
          <w:szCs w:val="32"/>
        </w:rPr>
        <w:t>物理和机械性能研究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根据产品适用范围，结合产品植入部位承力模式、适用的具体产品注册审查指导原则要求，明确植入物各项动、静态力学性能要求，提供性能验证报告，并提供性能指标的确定依据和临床可接受性论证资料。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对于增材制造</w:t>
      </w:r>
      <w:r>
        <w:rPr>
          <w:rFonts w:eastAsia="仿宋_GB2312"/>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生物陶瓷复合材料颅骨修补假体系统，需提供颅骨修补假体与配合使用的</w:t>
      </w:r>
      <w:r>
        <w:rPr>
          <w:rFonts w:ascii="Times New Roman" w:eastAsia="仿宋_GB2312" w:hAnsi="Times New Roman" w:hint="eastAsia"/>
          <w:color w:val="000000"/>
          <w:sz w:val="32"/>
          <w:szCs w:val="32"/>
        </w:rPr>
        <w:t>链接板</w:t>
      </w:r>
      <w:r>
        <w:rPr>
          <w:rFonts w:ascii="Times New Roman" w:eastAsia="仿宋_GB2312" w:hAnsi="Times New Roman"/>
          <w:color w:val="000000"/>
          <w:sz w:val="32"/>
          <w:szCs w:val="32"/>
        </w:rPr>
        <w:t>、螺钉组配系统的固定稳定性能研究资料，如</w:t>
      </w:r>
      <w:r>
        <w:rPr>
          <w:rFonts w:ascii="Times New Roman" w:eastAsia="仿宋_GB2312" w:hAnsi="Times New Roman" w:hint="eastAsia"/>
          <w:color w:val="000000"/>
          <w:sz w:val="32"/>
          <w:szCs w:val="32"/>
        </w:rPr>
        <w:t>系统的</w:t>
      </w:r>
      <w:r>
        <w:rPr>
          <w:rFonts w:ascii="Times New Roman" w:eastAsia="仿宋_GB2312" w:hAnsi="Times New Roman"/>
          <w:color w:val="000000"/>
          <w:sz w:val="32"/>
          <w:szCs w:val="32"/>
        </w:rPr>
        <w:t>动静态抗压缩性能、抗冲击性能。</w:t>
      </w:r>
      <w:r>
        <w:rPr>
          <w:rFonts w:ascii="Times New Roman" w:eastAsia="仿宋_GB2312" w:hAnsi="Times New Roman" w:hint="eastAsia"/>
          <w:color w:val="000000"/>
          <w:sz w:val="32"/>
          <w:szCs w:val="32"/>
        </w:rPr>
        <w:t>综合考虑颅骨修补假体的结构设计、尺寸规格（厚度、弧高</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弧度、长度等）以及配合使用的链接板和螺钉的结构设计、尺寸规格及使用数量和分布等对于力学性能的影响，</w:t>
      </w:r>
      <w:r>
        <w:rPr>
          <w:rFonts w:ascii="Times New Roman" w:eastAsia="仿宋_GB2312" w:hAnsi="Times New Roman"/>
          <w:color w:val="000000"/>
          <w:sz w:val="32"/>
          <w:szCs w:val="32"/>
        </w:rPr>
        <w:t>提供试验</w:t>
      </w:r>
      <w:r>
        <w:rPr>
          <w:rFonts w:ascii="Times New Roman" w:eastAsia="仿宋_GB2312" w:hAnsi="Times New Roman"/>
          <w:color w:val="000000"/>
          <w:sz w:val="32"/>
          <w:szCs w:val="32"/>
        </w:rPr>
        <w:t>组配系统为最差情形的确定依据</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提供</w:t>
      </w:r>
      <w:r>
        <w:rPr>
          <w:rFonts w:ascii="Times New Roman" w:eastAsia="仿宋_GB2312" w:hAnsi="Times New Roman" w:hint="eastAsia"/>
          <w:color w:val="000000"/>
          <w:sz w:val="32"/>
          <w:szCs w:val="32"/>
        </w:rPr>
        <w:t>试验工装、</w:t>
      </w:r>
      <w:r>
        <w:rPr>
          <w:rFonts w:ascii="Times New Roman" w:eastAsia="仿宋_GB2312" w:hAnsi="Times New Roman"/>
          <w:color w:val="000000"/>
          <w:sz w:val="32"/>
          <w:szCs w:val="32"/>
        </w:rPr>
        <w:t>试验方法、参数设定（如加载模式、载荷大小、动态试验</w:t>
      </w:r>
      <w:r>
        <w:rPr>
          <w:rFonts w:ascii="Times New Roman" w:eastAsia="仿宋_GB2312" w:hAnsi="Times New Roman" w:hint="eastAsia"/>
          <w:color w:val="000000"/>
          <w:sz w:val="32"/>
          <w:szCs w:val="32"/>
        </w:rPr>
        <w:t>循环</w:t>
      </w:r>
      <w:r>
        <w:rPr>
          <w:rFonts w:ascii="Times New Roman" w:eastAsia="仿宋_GB2312" w:hAnsi="Times New Roman"/>
          <w:color w:val="000000"/>
          <w:sz w:val="32"/>
          <w:szCs w:val="32"/>
        </w:rPr>
        <w:t>次数等）等的确定依据，分析论证试验结果的可接受性。</w:t>
      </w:r>
      <w:r>
        <w:rPr>
          <w:rFonts w:ascii="Times New Roman" w:eastAsia="仿宋_GB2312" w:hAnsi="Times New Roman" w:hint="eastAsia"/>
          <w:color w:val="000000"/>
          <w:sz w:val="32"/>
          <w:szCs w:val="32"/>
        </w:rPr>
        <w:t>提供不同材料组件（如金属与高分子材料）间磨屑风险评估资料，分析论证试验结果的可接受性。</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对于链接板，需提供链接板的动静态压缩弯曲性能研究资料。</w:t>
      </w:r>
      <w:r>
        <w:rPr>
          <w:rFonts w:ascii="Times New Roman" w:eastAsia="仿宋_GB2312" w:hAnsi="Times New Roman"/>
          <w:color w:val="000000"/>
          <w:sz w:val="32"/>
          <w:szCs w:val="32"/>
        </w:rPr>
        <w:t>提供试验</w:t>
      </w:r>
      <w:r>
        <w:rPr>
          <w:rFonts w:ascii="Times New Roman" w:eastAsia="仿宋_GB2312" w:hAnsi="Times New Roman" w:hint="eastAsia"/>
          <w:color w:val="000000"/>
          <w:sz w:val="32"/>
          <w:szCs w:val="32"/>
        </w:rPr>
        <w:t>样品</w:t>
      </w:r>
      <w:r>
        <w:rPr>
          <w:rFonts w:ascii="Times New Roman" w:eastAsia="仿宋_GB2312" w:hAnsi="Times New Roman"/>
          <w:color w:val="000000"/>
          <w:sz w:val="32"/>
          <w:szCs w:val="32"/>
        </w:rPr>
        <w:t>为最差情形的确定依据</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提供试验方法、参数设定（如加载模式、载荷大小、试验配置、动态试验</w:t>
      </w:r>
      <w:r>
        <w:rPr>
          <w:rFonts w:ascii="Times New Roman" w:eastAsia="仿宋_GB2312" w:hAnsi="Times New Roman" w:hint="eastAsia"/>
          <w:color w:val="000000"/>
          <w:sz w:val="32"/>
          <w:szCs w:val="32"/>
        </w:rPr>
        <w:t>循</w:t>
      </w:r>
      <w:r>
        <w:rPr>
          <w:rFonts w:ascii="Times New Roman" w:eastAsia="仿宋_GB2312" w:hAnsi="Times New Roman" w:hint="eastAsia"/>
          <w:color w:val="000000"/>
          <w:sz w:val="32"/>
          <w:szCs w:val="32"/>
        </w:rPr>
        <w:lastRenderedPageBreak/>
        <w:t>环</w:t>
      </w:r>
      <w:r>
        <w:rPr>
          <w:rFonts w:ascii="Times New Roman" w:eastAsia="仿宋_GB2312" w:hAnsi="Times New Roman"/>
          <w:color w:val="000000"/>
          <w:sz w:val="32"/>
          <w:szCs w:val="32"/>
        </w:rPr>
        <w:t>次数等）等的确定依据，分析论证试验结果的可接受性。</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对于螺钉，需提供断裂扭转、轴向拔出、旋动扭矩、自攻</w:t>
      </w:r>
      <w:r>
        <w:rPr>
          <w:rFonts w:eastAsia="仿宋_GB2312" w:hint="eastAsia"/>
          <w:kern w:val="0"/>
          <w:sz w:val="32"/>
          <w:szCs w:val="32"/>
          <w:lang w:val="zh-CN"/>
        </w:rPr>
        <w:t>（如适用）</w:t>
      </w:r>
      <w:r>
        <w:rPr>
          <w:rFonts w:ascii="Times New Roman" w:eastAsia="仿宋_GB2312" w:hAnsi="Times New Roman"/>
          <w:color w:val="000000"/>
          <w:sz w:val="32"/>
          <w:szCs w:val="32"/>
        </w:rPr>
        <w:t>性能研究</w:t>
      </w:r>
      <w:r>
        <w:rPr>
          <w:rFonts w:ascii="Times New Roman" w:eastAsia="仿宋_GB2312" w:hAnsi="Times New Roman"/>
          <w:color w:val="000000"/>
          <w:sz w:val="32"/>
          <w:szCs w:val="32"/>
        </w:rPr>
        <w:t>资料。</w:t>
      </w:r>
      <w:r>
        <w:rPr>
          <w:rFonts w:eastAsia="仿宋_GB2312" w:hint="eastAsia"/>
          <w:kern w:val="0"/>
          <w:sz w:val="32"/>
          <w:szCs w:val="32"/>
          <w:lang w:val="zh-CN"/>
        </w:rPr>
        <w:t>注意在进行最差情形选择时，需充分考虑螺钉的螺纹型式及螺纹尺寸，表面处理方式，切削刃设计及尺寸等对各项性能的影响，分别选取各项性能的最差情形进行性能研究，并提供最差情形的确定依据，</w:t>
      </w:r>
      <w:r>
        <w:rPr>
          <w:rFonts w:eastAsia="仿宋_GB2312"/>
          <w:kern w:val="0"/>
          <w:sz w:val="32"/>
          <w:szCs w:val="32"/>
          <w:lang w:val="zh-CN"/>
        </w:rPr>
        <w:t>分析论证试验结果的可接受性</w:t>
      </w:r>
      <w:r>
        <w:rPr>
          <w:rFonts w:eastAsia="仿宋_GB2312" w:hint="eastAsia"/>
          <w:kern w:val="0"/>
          <w:sz w:val="32"/>
          <w:szCs w:val="32"/>
          <w:lang w:val="zh-CN"/>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参考《增材制造金属植入物理化性能均一性研究指导原则》，对产品在化学成分、几何结构、力学性能等方面的一致性进行评价或对比。具体包含：化学成分、尺寸、内部质量（缺陷、粉末残留等）、显微组织、表面质量（表面缺陷、表面粗糙度）、动静态力学性能（</w:t>
      </w:r>
      <w:r>
        <w:rPr>
          <w:rFonts w:ascii="Times New Roman" w:eastAsia="仿宋_GB2312" w:hAnsi="Times New Roman" w:hint="eastAsia"/>
          <w:color w:val="000000"/>
          <w:sz w:val="32"/>
          <w:szCs w:val="32"/>
        </w:rPr>
        <w:t>如拉伸、压缩、弯曲、扭转、短梁剪切、层间剪切、冲击、拉</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拉疲劳等</w:t>
      </w:r>
      <w:r>
        <w:rPr>
          <w:rFonts w:ascii="Times New Roman" w:eastAsia="仿宋_GB2312" w:hAnsi="Times New Roman"/>
          <w:color w:val="000000"/>
          <w:sz w:val="32"/>
          <w:szCs w:val="32"/>
        </w:rPr>
        <w:t>）等。需明确所评价或对比产品的典型性、一致性（如在成形室的不同位置、不同方向、不同批次等），并确定可接受的偏差范围。</w:t>
      </w:r>
    </w:p>
    <w:p w:rsidR="003B04B8" w:rsidRDefault="00026F40">
      <w:pPr>
        <w:pStyle w:val="af6"/>
        <w:snapToGrid w:val="0"/>
        <w:spacing w:line="520" w:lineRule="exact"/>
        <w:ind w:left="640" w:firstLineChars="0" w:firstLine="0"/>
        <w:rPr>
          <w:rFonts w:ascii="Times New Roman" w:eastAsia="仿宋_GB2312" w:hAnsi="Times New Roman"/>
          <w:color w:val="000000"/>
          <w:sz w:val="32"/>
          <w:szCs w:val="32"/>
        </w:rPr>
      </w:pPr>
      <w:r>
        <w:rPr>
          <w:rFonts w:ascii="Times New Roman" w:eastAsia="仿宋_GB2312" w:hAnsi="Times New Roman"/>
          <w:color w:val="000000"/>
          <w:sz w:val="32"/>
          <w:szCs w:val="32"/>
        </w:rPr>
        <w:t>3.2</w:t>
      </w:r>
      <w:r>
        <w:rPr>
          <w:rFonts w:ascii="Times New Roman" w:eastAsia="仿宋_GB2312" w:hAnsi="Times New Roman"/>
          <w:color w:val="000000"/>
          <w:sz w:val="32"/>
          <w:szCs w:val="32"/>
        </w:rPr>
        <w:t>材料</w:t>
      </w:r>
      <w:r>
        <w:rPr>
          <w:rFonts w:ascii="Times New Roman" w:eastAsia="仿宋_GB2312" w:hAnsi="Times New Roman"/>
          <w:color w:val="000000"/>
          <w:sz w:val="32"/>
          <w:szCs w:val="32"/>
        </w:rPr>
        <w:t>/</w:t>
      </w:r>
      <w:r>
        <w:rPr>
          <w:rFonts w:ascii="Times New Roman" w:eastAsia="仿宋_GB2312" w:hAnsi="Times New Roman"/>
          <w:color w:val="000000"/>
          <w:sz w:val="32"/>
          <w:szCs w:val="32"/>
        </w:rPr>
        <w:t>化学表征研究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3.2.1</w:t>
      </w:r>
      <w:r>
        <w:rPr>
          <w:rFonts w:eastAsia="仿宋_GB2312" w:hint="eastAsia"/>
          <w:sz w:val="32"/>
          <w:szCs w:val="32"/>
        </w:rPr>
        <w:t>产品材料性能研究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w:t>
      </w:r>
      <w:r>
        <w:rPr>
          <w:rFonts w:eastAsia="仿宋_GB2312"/>
          <w:color w:val="000000"/>
          <w:sz w:val="32"/>
          <w:szCs w:val="32"/>
        </w:rPr>
        <w:t>聚醚醚酮</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生物陶瓷复合材料颅骨修补假体和链接板产品，</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需</w:t>
      </w:r>
      <w:r>
        <w:rPr>
          <w:rFonts w:ascii="Times New Roman" w:eastAsia="仿宋_GB2312" w:hAnsi="Times New Roman"/>
          <w:color w:val="000000"/>
          <w:sz w:val="32"/>
          <w:szCs w:val="32"/>
        </w:rPr>
        <w:t>明确产品原材料组分配比，包括无机物和有机物</w:t>
      </w:r>
      <w:r>
        <w:rPr>
          <w:rFonts w:ascii="Times New Roman" w:eastAsia="仿宋_GB2312" w:hAnsi="Times New Roman"/>
          <w:color w:val="000000"/>
          <w:sz w:val="32"/>
          <w:szCs w:val="32"/>
        </w:rPr>
        <w:t>PEEK</w:t>
      </w:r>
      <w:r>
        <w:rPr>
          <w:rFonts w:ascii="Times New Roman" w:eastAsia="仿宋_GB2312" w:hAnsi="Times New Roman"/>
          <w:color w:val="000000"/>
          <w:sz w:val="32"/>
          <w:szCs w:val="32"/>
        </w:rPr>
        <w:t>比例以及对于含两种及以上无机物成分时各无机物组分的比例。例如</w:t>
      </w:r>
      <w:r>
        <w:rPr>
          <w:rFonts w:ascii="Times New Roman" w:eastAsia="仿宋_GB2312" w:hAnsi="Times New Roman"/>
          <w:color w:val="000000"/>
          <w:sz w:val="32"/>
          <w:szCs w:val="32"/>
        </w:rPr>
        <w:t>PEEK</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BCP</w:t>
      </w:r>
      <w:r>
        <w:rPr>
          <w:rFonts w:ascii="Times New Roman" w:eastAsia="仿宋_GB2312" w:hAnsi="Times New Roman"/>
          <w:color w:val="000000"/>
          <w:sz w:val="32"/>
          <w:szCs w:val="32"/>
        </w:rPr>
        <w:t>复合材料，</w:t>
      </w:r>
      <w:r>
        <w:rPr>
          <w:rFonts w:ascii="Times New Roman" w:eastAsia="仿宋_GB2312" w:hAnsi="Times New Roman" w:hint="eastAsia"/>
          <w:color w:val="000000"/>
          <w:sz w:val="32"/>
          <w:szCs w:val="32"/>
        </w:rPr>
        <w:t>需明确</w:t>
      </w:r>
      <w:r>
        <w:rPr>
          <w:rFonts w:ascii="Times New Roman" w:eastAsia="仿宋_GB2312" w:hAnsi="Times New Roman"/>
          <w:color w:val="000000"/>
          <w:sz w:val="32"/>
          <w:szCs w:val="32"/>
        </w:rPr>
        <w:t>无机物</w:t>
      </w:r>
      <w:r>
        <w:rPr>
          <w:rFonts w:ascii="Times New Roman" w:eastAsia="仿宋_GB2312" w:hAnsi="Times New Roman"/>
          <w:color w:val="000000"/>
          <w:sz w:val="32"/>
          <w:szCs w:val="32"/>
        </w:rPr>
        <w:t>BCP</w:t>
      </w:r>
      <w:r>
        <w:rPr>
          <w:rFonts w:ascii="Times New Roman" w:eastAsia="仿宋_GB2312" w:hAnsi="Times New Roman"/>
          <w:color w:val="000000"/>
          <w:sz w:val="32"/>
          <w:szCs w:val="32"/>
        </w:rPr>
        <w:t>和有机物</w:t>
      </w:r>
      <w:r>
        <w:rPr>
          <w:rFonts w:ascii="Times New Roman" w:eastAsia="仿宋_GB2312" w:hAnsi="Times New Roman"/>
          <w:color w:val="000000"/>
          <w:sz w:val="32"/>
          <w:szCs w:val="32"/>
        </w:rPr>
        <w:t>PEEK</w:t>
      </w:r>
      <w:r>
        <w:rPr>
          <w:rFonts w:ascii="Times New Roman" w:eastAsia="仿宋_GB2312" w:hAnsi="Times New Roman"/>
          <w:color w:val="000000"/>
          <w:sz w:val="32"/>
          <w:szCs w:val="32"/>
        </w:rPr>
        <w:t>比例以及两种无机物（</w:t>
      </w:r>
      <w:r>
        <w:rPr>
          <w:rFonts w:ascii="Times New Roman" w:eastAsia="仿宋_GB2312" w:hAnsi="Times New Roman" w:hint="eastAsia"/>
          <w:color w:val="000000"/>
          <w:sz w:val="32"/>
          <w:szCs w:val="32"/>
        </w:rPr>
        <w:t>羟基磷灰石</w:t>
      </w:r>
      <w:r>
        <w:rPr>
          <w:rFonts w:ascii="Times New Roman" w:eastAsia="仿宋_GB2312" w:hAnsi="Times New Roman"/>
          <w:color w:val="000000"/>
          <w:sz w:val="32"/>
          <w:szCs w:val="32"/>
        </w:rPr>
        <w:t>和</w:t>
      </w:r>
      <w:r>
        <w:rPr>
          <w:rFonts w:ascii="Times New Roman" w:eastAsia="仿宋_GB2312" w:hAnsi="Times New Roman"/>
          <w:color w:val="000000"/>
          <w:sz w:val="32"/>
          <w:szCs w:val="32"/>
        </w:rPr>
        <w:t>β-</w:t>
      </w:r>
      <w:r>
        <w:rPr>
          <w:rFonts w:ascii="Times New Roman" w:eastAsia="仿宋_GB2312" w:hAnsi="Times New Roman" w:hint="eastAsia"/>
          <w:color w:val="000000"/>
          <w:sz w:val="32"/>
          <w:szCs w:val="32"/>
        </w:rPr>
        <w:t>磷酸三钙</w:t>
      </w:r>
      <w:r>
        <w:rPr>
          <w:rFonts w:ascii="Times New Roman" w:eastAsia="仿宋_GB2312" w:hAnsi="Times New Roman"/>
          <w:color w:val="000000"/>
          <w:sz w:val="32"/>
          <w:szCs w:val="32"/>
        </w:rPr>
        <w:t>）</w:t>
      </w:r>
      <w:r>
        <w:rPr>
          <w:rFonts w:ascii="Times New Roman" w:eastAsia="仿宋_GB2312" w:hAnsi="Times New Roman"/>
          <w:color w:val="000000"/>
          <w:sz w:val="32"/>
          <w:szCs w:val="32"/>
        </w:rPr>
        <w:t>的比例</w:t>
      </w:r>
      <w:r>
        <w:rPr>
          <w:rFonts w:ascii="Times New Roman" w:eastAsia="仿宋_GB2312" w:hAnsi="Times New Roman" w:hint="eastAsia"/>
          <w:color w:val="000000"/>
          <w:sz w:val="32"/>
          <w:szCs w:val="32"/>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需提供复合材料性能研究资料</w:t>
      </w:r>
      <w:r>
        <w:rPr>
          <w:rFonts w:ascii="Times New Roman" w:eastAsia="仿宋_GB2312" w:hAnsi="Times New Roman"/>
          <w:color w:val="000000"/>
          <w:sz w:val="32"/>
          <w:szCs w:val="32"/>
        </w:rPr>
        <w:t>，包括但不限于红外光谱、重金属含量、黏度、</w:t>
      </w:r>
      <w:r>
        <w:rPr>
          <w:rFonts w:ascii="Times New Roman" w:eastAsia="仿宋_GB2312" w:hAnsi="Times New Roman" w:hint="eastAsia"/>
          <w:color w:val="000000"/>
          <w:sz w:val="32"/>
          <w:szCs w:val="32"/>
        </w:rPr>
        <w:t>玻璃化转变温度（</w:t>
      </w:r>
      <w:r>
        <w:rPr>
          <w:rFonts w:ascii="Times New Roman" w:eastAsia="仿宋_GB2312" w:hAnsi="Times New Roman"/>
          <w:color w:val="000000"/>
          <w:sz w:val="32"/>
          <w:szCs w:val="32"/>
        </w:rPr>
        <w:t>Tg</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结晶温度（</w:t>
      </w:r>
      <w:r>
        <w:rPr>
          <w:rFonts w:ascii="Times New Roman" w:eastAsia="仿宋_GB2312" w:hAnsi="Times New Roman"/>
          <w:color w:val="000000"/>
          <w:sz w:val="32"/>
          <w:szCs w:val="32"/>
        </w:rPr>
        <w:t>Tc</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lastRenderedPageBreak/>
        <w:t>熔融温度（</w:t>
      </w:r>
      <w:r>
        <w:rPr>
          <w:rFonts w:ascii="Times New Roman" w:eastAsia="仿宋_GB2312" w:hAnsi="Times New Roman"/>
          <w:color w:val="000000"/>
          <w:sz w:val="32"/>
          <w:szCs w:val="32"/>
        </w:rPr>
        <w:t>Tm</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、密度、熔体体积流动速率、熔体稳定性、结晶度、拉伸屈服强度、拉伸断裂强度、断裂伸长率、冲击强度、弯曲强度、拉伸模量、弯曲模量等。提供各项性能指标要求的确定依据及可接受性论述。</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需</w:t>
      </w:r>
      <w:r>
        <w:rPr>
          <w:rFonts w:ascii="Times New Roman" w:eastAsia="仿宋_GB2312" w:hAnsi="Times New Roman"/>
          <w:color w:val="000000"/>
          <w:sz w:val="32"/>
          <w:szCs w:val="32"/>
        </w:rPr>
        <w:t>提供无机材料</w:t>
      </w:r>
      <w:r>
        <w:rPr>
          <w:rFonts w:ascii="Times New Roman" w:eastAsia="仿宋_GB2312" w:hAnsi="Times New Roman" w:hint="eastAsia"/>
          <w:color w:val="000000"/>
          <w:sz w:val="32"/>
          <w:szCs w:val="32"/>
        </w:rPr>
        <w:t>性能研究资料，包括</w:t>
      </w:r>
      <w:r>
        <w:rPr>
          <w:rFonts w:ascii="Times New Roman" w:eastAsia="仿宋_GB2312" w:hAnsi="Times New Roman"/>
          <w:color w:val="000000"/>
          <w:sz w:val="32"/>
          <w:szCs w:val="32"/>
        </w:rPr>
        <w:t>无机材料粒径、粒径分布，成分和相纯度，钙磷原子比等。提供各项性能指标要求的确定依据及可接受性论述。</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对于配合使用螺钉产品，</w:t>
      </w:r>
      <w:r>
        <w:rPr>
          <w:rFonts w:ascii="Times New Roman" w:eastAsia="仿宋_GB2312" w:hAnsi="Times New Roman" w:hint="eastAsia"/>
          <w:color w:val="000000"/>
          <w:sz w:val="32"/>
          <w:szCs w:val="32"/>
        </w:rPr>
        <w:t>如为金属材料制成，需明确金属材料牌号，提供所用</w:t>
      </w:r>
      <w:r>
        <w:rPr>
          <w:rFonts w:ascii="Times New Roman" w:eastAsia="仿宋_GB2312" w:hAnsi="Times New Roman" w:hint="eastAsia"/>
          <w:color w:val="000000"/>
          <w:sz w:val="32"/>
          <w:szCs w:val="32"/>
        </w:rPr>
        <w:t>材料对应标准的相应规定的研究资料，如化学成分、显微组织等。如为</w:t>
      </w:r>
      <w:r>
        <w:rPr>
          <w:rFonts w:ascii="Times New Roman" w:eastAsia="仿宋_GB2312" w:hAnsi="Times New Roman" w:hint="eastAsia"/>
          <w:color w:val="000000"/>
          <w:sz w:val="32"/>
          <w:szCs w:val="32"/>
        </w:rPr>
        <w:t>P</w:t>
      </w:r>
      <w:r>
        <w:rPr>
          <w:rFonts w:ascii="Times New Roman" w:eastAsia="仿宋_GB2312" w:hAnsi="Times New Roman"/>
          <w:color w:val="000000"/>
          <w:sz w:val="32"/>
          <w:szCs w:val="32"/>
        </w:rPr>
        <w:t>EEK</w:t>
      </w:r>
      <w:r>
        <w:rPr>
          <w:rFonts w:ascii="Times New Roman" w:eastAsia="仿宋_GB2312" w:hAnsi="Times New Roman" w:hint="eastAsia"/>
          <w:color w:val="000000"/>
          <w:sz w:val="32"/>
          <w:szCs w:val="32"/>
        </w:rPr>
        <w:t>材料制成，需明确其材料牌号，提供符合所用材料对应标准中的相应规定的研究资料，如理化性能、制品的典型性能等研究资料。</w:t>
      </w:r>
    </w:p>
    <w:p w:rsidR="003B04B8" w:rsidRDefault="00026F40">
      <w:pPr>
        <w:spacing w:line="520" w:lineRule="exact"/>
        <w:ind w:firstLineChars="200" w:firstLine="640"/>
        <w:rPr>
          <w:rFonts w:eastAsia="仿宋_GB2312"/>
          <w:sz w:val="32"/>
          <w:szCs w:val="32"/>
        </w:rPr>
      </w:pPr>
      <w:r>
        <w:rPr>
          <w:rFonts w:ascii="Times New Roman" w:eastAsia="仿宋_GB2312" w:hAnsi="Times New Roman" w:hint="eastAsia"/>
          <w:color w:val="000000"/>
          <w:sz w:val="32"/>
          <w:szCs w:val="32"/>
        </w:rPr>
        <w:t>3.2.</w:t>
      </w:r>
      <w:r>
        <w:rPr>
          <w:rFonts w:ascii="Times New Roman" w:eastAsia="仿宋_GB2312" w:hAnsi="Times New Roman"/>
          <w:color w:val="000000"/>
          <w:sz w:val="32"/>
          <w:szCs w:val="32"/>
        </w:rPr>
        <w:t>2</w:t>
      </w:r>
      <w:r>
        <w:rPr>
          <w:rFonts w:eastAsia="仿宋_GB2312" w:hint="eastAsia"/>
          <w:sz w:val="32"/>
          <w:szCs w:val="32"/>
        </w:rPr>
        <w:t>部件表面处理</w:t>
      </w:r>
    </w:p>
    <w:p w:rsidR="003B04B8" w:rsidRDefault="00026F40">
      <w:pPr>
        <w:spacing w:line="520" w:lineRule="exact"/>
        <w:ind w:firstLineChars="200" w:firstLine="640"/>
        <w:rPr>
          <w:rFonts w:eastAsia="仿宋_GB2312"/>
          <w:sz w:val="32"/>
          <w:szCs w:val="32"/>
        </w:rPr>
      </w:pPr>
      <w:r>
        <w:rPr>
          <w:rFonts w:eastAsia="仿宋_GB2312" w:hint="eastAsia"/>
          <w:sz w:val="32"/>
          <w:szCs w:val="32"/>
        </w:rPr>
        <w:t>对于表面经过阳极氧化的螺钉产品，需要明确阳极氧化的类型（着色阳极氧化或黑灰色阳极氧化），具体的阳极氧化工艺（具体包括电解液、电流、电压、氧化前后的具体工艺流程和组件的表面状态、清洗方法、残留检测方法等），并对基体材料进行化学成分测试，对阳极氧化层进行表面元素定性分析。参考</w:t>
      </w:r>
      <w:r>
        <w:rPr>
          <w:rFonts w:ascii="Times New Roman" w:eastAsia="仿宋_GB2312" w:hAnsi="Times New Roman"/>
          <w:sz w:val="32"/>
          <w:szCs w:val="32"/>
        </w:rPr>
        <w:t>YY/T 1615</w:t>
      </w:r>
      <w:r>
        <w:rPr>
          <w:rFonts w:eastAsia="仿宋_GB2312" w:hint="eastAsia"/>
          <w:sz w:val="32"/>
          <w:szCs w:val="32"/>
        </w:rPr>
        <w:t>《外科</w:t>
      </w:r>
      <w:r>
        <w:rPr>
          <w:rFonts w:eastAsia="仿宋_GB2312"/>
          <w:sz w:val="32"/>
          <w:szCs w:val="32"/>
        </w:rPr>
        <w:t>植入物</w:t>
      </w:r>
      <w:r>
        <w:rPr>
          <w:rFonts w:eastAsia="仿宋_GB2312" w:hint="eastAsia"/>
          <w:sz w:val="32"/>
          <w:szCs w:val="32"/>
        </w:rPr>
        <w:t xml:space="preserve"> </w:t>
      </w:r>
      <w:r>
        <w:rPr>
          <w:rFonts w:eastAsia="仿宋_GB2312" w:hint="eastAsia"/>
          <w:sz w:val="32"/>
          <w:szCs w:val="32"/>
        </w:rPr>
        <w:t>钛及钛合金</w:t>
      </w:r>
      <w:r>
        <w:rPr>
          <w:rFonts w:eastAsia="仿宋_GB2312"/>
          <w:sz w:val="32"/>
          <w:szCs w:val="32"/>
        </w:rPr>
        <w:t>阳极氧化膜</w:t>
      </w:r>
      <w:r>
        <w:rPr>
          <w:rFonts w:eastAsia="仿宋_GB2312" w:hint="eastAsia"/>
          <w:sz w:val="32"/>
          <w:szCs w:val="32"/>
        </w:rPr>
        <w:t xml:space="preserve"> </w:t>
      </w:r>
      <w:r>
        <w:rPr>
          <w:rFonts w:eastAsia="仿宋_GB2312" w:hint="eastAsia"/>
          <w:sz w:val="32"/>
          <w:szCs w:val="32"/>
        </w:rPr>
        <w:t>通用要求》标准的要求，对于着色阳极氧化产品，需提交颜色和色差相关验证资料；对于黑灰色阳极氧化产品，需提交阳极氧化膜膜厚、开路电位、力学性能（包括抗划痕性、硬度试验）。</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3.2.</w:t>
      </w:r>
      <w:r>
        <w:rPr>
          <w:rFonts w:ascii="Times New Roman" w:eastAsia="仿宋_GB2312" w:hAnsi="Times New Roman"/>
          <w:color w:val="000000"/>
          <w:sz w:val="32"/>
          <w:szCs w:val="32"/>
        </w:rPr>
        <w:t>3</w:t>
      </w:r>
      <w:r>
        <w:rPr>
          <w:rFonts w:ascii="Times New Roman" w:eastAsia="仿宋_GB2312" w:hAnsi="Times New Roman" w:hint="eastAsia"/>
          <w:color w:val="000000"/>
          <w:sz w:val="32"/>
          <w:szCs w:val="32"/>
        </w:rPr>
        <w:t xml:space="preserve"> </w:t>
      </w:r>
      <w:r>
        <w:rPr>
          <w:rFonts w:ascii="Times New Roman" w:eastAsia="仿宋_GB2312" w:hAnsi="Times New Roman" w:hint="eastAsia"/>
          <w:color w:val="000000"/>
          <w:sz w:val="32"/>
          <w:szCs w:val="32"/>
        </w:rPr>
        <w:t>其他表征资料</w:t>
      </w:r>
    </w:p>
    <w:p w:rsidR="003B04B8" w:rsidRDefault="00026F40">
      <w:pPr>
        <w:snapToGrid w:val="0"/>
        <w:spacing w:line="520" w:lineRule="exact"/>
        <w:ind w:firstLineChars="200" w:firstLine="640"/>
        <w:rPr>
          <w:rFonts w:ascii="Times New Roman" w:eastAsia="仿宋_GB2312" w:hAnsi="Times New Roman"/>
          <w:strike/>
          <w:color w:val="000000"/>
          <w:sz w:val="32"/>
          <w:szCs w:val="32"/>
          <w:highlight w:val="green"/>
        </w:rPr>
      </w:pPr>
      <w:r>
        <w:rPr>
          <w:rFonts w:ascii="Times New Roman" w:eastAsia="仿宋_GB2312" w:hAnsi="Times New Roman"/>
          <w:color w:val="000000"/>
          <w:sz w:val="32"/>
          <w:szCs w:val="32"/>
        </w:rPr>
        <w:t>提供无机颗粒在</w:t>
      </w:r>
      <w:r>
        <w:rPr>
          <w:rFonts w:ascii="Times New Roman" w:eastAsia="仿宋_GB2312" w:hAnsi="Times New Roman"/>
          <w:color w:val="000000"/>
          <w:sz w:val="32"/>
          <w:szCs w:val="32"/>
        </w:rPr>
        <w:t>PEEK</w:t>
      </w:r>
      <w:r>
        <w:rPr>
          <w:rFonts w:ascii="Times New Roman" w:eastAsia="仿宋_GB2312" w:hAnsi="Times New Roman"/>
          <w:color w:val="000000"/>
          <w:sz w:val="32"/>
          <w:szCs w:val="32"/>
        </w:rPr>
        <w:t>基体中分散、团聚、界面结合情况的评价研究资料。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3.3</w:t>
      </w:r>
      <w:r>
        <w:rPr>
          <w:rFonts w:ascii="Times New Roman" w:eastAsia="仿宋_GB2312" w:hAnsi="Times New Roman"/>
          <w:color w:val="000000"/>
          <w:sz w:val="32"/>
          <w:szCs w:val="32"/>
        </w:rPr>
        <w:t>生物学特性研究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申请人需按照</w:t>
      </w:r>
      <w:r>
        <w:rPr>
          <w:rFonts w:ascii="Times New Roman" w:eastAsia="仿宋_GB2312" w:hAnsi="Times New Roman"/>
          <w:color w:val="000000"/>
          <w:sz w:val="32"/>
          <w:szCs w:val="32"/>
        </w:rPr>
        <w:t>GB/T 16886.1</w:t>
      </w:r>
      <w:r>
        <w:rPr>
          <w:rFonts w:ascii="Times New Roman" w:eastAsia="仿宋_GB2312" w:hAnsi="Times New Roman"/>
          <w:color w:val="000000"/>
          <w:sz w:val="32"/>
          <w:szCs w:val="32"/>
        </w:rPr>
        <w:t>《医疗器械生物学评价第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部分：风险管理过程中的评价与试验》中的系统方法框图及《国家食品药品监督管理局关于印发医疗器械生物学评价和审查指南的通知》中的审查要点进行风险评</w:t>
      </w:r>
      <w:r>
        <w:rPr>
          <w:rFonts w:ascii="Times New Roman" w:eastAsia="仿宋_GB2312" w:hAnsi="Times New Roman"/>
          <w:color w:val="000000"/>
          <w:sz w:val="32"/>
          <w:szCs w:val="32"/>
        </w:rPr>
        <w:t>价，必要时根据</w:t>
      </w:r>
      <w:r>
        <w:rPr>
          <w:rFonts w:ascii="Times New Roman" w:eastAsia="仿宋_GB2312" w:hAnsi="Times New Roman"/>
          <w:color w:val="000000"/>
          <w:sz w:val="32"/>
          <w:szCs w:val="32"/>
        </w:rPr>
        <w:t>GB/T 16886</w:t>
      </w:r>
      <w:r>
        <w:rPr>
          <w:rFonts w:ascii="Times New Roman" w:eastAsia="仿宋_GB2312" w:hAnsi="Times New Roman"/>
          <w:color w:val="000000"/>
          <w:sz w:val="32"/>
          <w:szCs w:val="32"/>
        </w:rPr>
        <w:t>系列标准进行生物学试验。生物学评价终点一般包括细胞毒性、致敏、刺激或皮内反应、材料介导的致热性、急性全身毒性、亚急性毒性、慢性毒性、亚慢性毒性、植入反应、遗传毒性和致癌性。需结合增材制造</w:t>
      </w:r>
      <w:r>
        <w:rPr>
          <w:rFonts w:ascii="Times New Roman" w:eastAsia="仿宋_GB2312" w:hAnsi="Times New Roman" w:hint="eastAsia"/>
          <w:color w:val="000000"/>
          <w:sz w:val="32"/>
          <w:szCs w:val="32"/>
        </w:rPr>
        <w:t>聚醚醚酮</w:t>
      </w:r>
      <w:r>
        <w:rPr>
          <w:rFonts w:ascii="Times New Roman" w:eastAsia="仿宋_GB2312" w:hAnsi="Times New Roman"/>
          <w:color w:val="000000"/>
          <w:sz w:val="32"/>
          <w:szCs w:val="32"/>
        </w:rPr>
        <w:t>/</w:t>
      </w:r>
      <w:r>
        <w:rPr>
          <w:rFonts w:ascii="Times New Roman" w:eastAsia="仿宋_GB2312" w:hAnsi="Times New Roman"/>
          <w:color w:val="000000"/>
          <w:sz w:val="32"/>
          <w:szCs w:val="32"/>
        </w:rPr>
        <w:t>生物陶瓷复合材料颅骨修补假体系统的预期目的、物理和</w:t>
      </w:r>
      <w:r>
        <w:rPr>
          <w:rFonts w:ascii="Times New Roman" w:eastAsia="仿宋_GB2312" w:hAnsi="Times New Roman"/>
          <w:color w:val="000000"/>
          <w:sz w:val="32"/>
          <w:szCs w:val="32"/>
        </w:rPr>
        <w:t>/</w:t>
      </w:r>
      <w:r>
        <w:rPr>
          <w:rFonts w:ascii="Times New Roman" w:eastAsia="仿宋_GB2312" w:hAnsi="Times New Roman"/>
          <w:color w:val="000000"/>
          <w:sz w:val="32"/>
          <w:szCs w:val="32"/>
        </w:rPr>
        <w:t>或化学表征等论证产品在上述各项生物学风险评定终点的安全性</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需重点关注可沥滤化学物质的存在及毒性的可接受性。</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3.4</w:t>
      </w:r>
      <w:r>
        <w:rPr>
          <w:rFonts w:ascii="Times New Roman" w:eastAsia="仿宋_GB2312" w:hAnsi="Times New Roman" w:hint="eastAsia"/>
          <w:color w:val="000000"/>
          <w:sz w:val="32"/>
          <w:szCs w:val="32"/>
        </w:rPr>
        <w:t>生物陶瓷离子释放性能研究（如适用）</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产品为以</w:t>
      </w:r>
      <w:r>
        <w:rPr>
          <w:rFonts w:ascii="Times New Roman" w:eastAsia="仿宋_GB2312" w:hAnsi="Times New Roman" w:hint="eastAsia"/>
          <w:color w:val="000000"/>
          <w:sz w:val="32"/>
          <w:szCs w:val="32"/>
        </w:rPr>
        <w:t>P</w:t>
      </w:r>
      <w:r>
        <w:rPr>
          <w:rFonts w:ascii="Times New Roman" w:eastAsia="仿宋_GB2312" w:hAnsi="Times New Roman"/>
          <w:color w:val="000000"/>
          <w:sz w:val="32"/>
          <w:szCs w:val="32"/>
        </w:rPr>
        <w:t>EEK</w:t>
      </w:r>
      <w:r>
        <w:rPr>
          <w:rFonts w:ascii="Times New Roman" w:eastAsia="仿宋_GB2312" w:hAnsi="Times New Roman" w:hint="eastAsia"/>
          <w:color w:val="000000"/>
          <w:sz w:val="32"/>
          <w:szCs w:val="32"/>
        </w:rPr>
        <w:t>材料为主体的复合材料制成，其主体材料不会发生降解，但混合的生物陶</w:t>
      </w:r>
      <w:r>
        <w:rPr>
          <w:rFonts w:ascii="Times New Roman" w:eastAsia="仿宋_GB2312" w:hAnsi="Times New Roman" w:hint="eastAsia"/>
          <w:color w:val="000000"/>
          <w:sz w:val="32"/>
          <w:szCs w:val="32"/>
        </w:rPr>
        <w:t>瓷材料在体内服役过程中会逐渐以离子的形式释放，注册申请人需</w:t>
      </w:r>
      <w:r>
        <w:rPr>
          <w:rFonts w:ascii="Times New Roman" w:eastAsia="仿宋_GB2312" w:hAnsi="Times New Roman"/>
          <w:color w:val="000000"/>
          <w:sz w:val="32"/>
          <w:szCs w:val="32"/>
        </w:rPr>
        <w:t>对复合材料在体内服役过程中的释放性能进行研究，提供释放曲线，检测释放的离子种类和离子浓度（包括即时浓度和累积浓度），综合评估体内</w:t>
      </w:r>
      <w:r>
        <w:rPr>
          <w:rFonts w:ascii="Times New Roman" w:eastAsia="仿宋_GB2312" w:hAnsi="Times New Roman" w:hint="eastAsia"/>
          <w:color w:val="000000"/>
          <w:sz w:val="32"/>
          <w:szCs w:val="32"/>
        </w:rPr>
        <w:t>整合生物陶瓷材料的</w:t>
      </w:r>
      <w:r>
        <w:rPr>
          <w:rFonts w:ascii="Times New Roman" w:eastAsia="仿宋_GB2312" w:hAnsi="Times New Roman"/>
          <w:color w:val="000000"/>
          <w:sz w:val="32"/>
          <w:szCs w:val="32"/>
        </w:rPr>
        <w:t>速率，保证在释放过程中不会达到产生生物毒性的浓度。</w:t>
      </w:r>
    </w:p>
    <w:p w:rsidR="003B04B8" w:rsidRDefault="00026F40">
      <w:pPr>
        <w:snapToGrid w:val="0"/>
        <w:spacing w:line="520" w:lineRule="exact"/>
        <w:ind w:firstLineChars="200" w:firstLine="640"/>
        <w:rPr>
          <w:rFonts w:eastAsia="仿宋_GB2312"/>
          <w:sz w:val="32"/>
          <w:szCs w:val="32"/>
        </w:rPr>
      </w:pPr>
      <w:r>
        <w:rPr>
          <w:rFonts w:ascii="Times New Roman" w:eastAsia="仿宋_GB2312" w:hAnsi="Times New Roman" w:hint="eastAsia"/>
          <w:color w:val="000000"/>
          <w:sz w:val="32"/>
          <w:szCs w:val="32"/>
        </w:rPr>
        <w:t>同时需结合生物陶瓷材料在复合材料中所占比例，考虑生物陶瓷离子在体内释放后产品力学性能的保持对于骨缺损部位力学性能要求的满足性。</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3.5 </w:t>
      </w:r>
      <w:r>
        <w:rPr>
          <w:rFonts w:ascii="Times New Roman" w:eastAsia="仿宋_GB2312" w:hAnsi="Times New Roman" w:hint="eastAsia"/>
          <w:color w:val="000000"/>
          <w:sz w:val="32"/>
          <w:szCs w:val="32"/>
        </w:rPr>
        <w:t>生产加工工艺验证</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3.5.1</w:t>
      </w:r>
      <w:r>
        <w:rPr>
          <w:rFonts w:ascii="Times New Roman" w:eastAsia="仿宋_GB2312" w:hAnsi="Times New Roman" w:hint="eastAsia"/>
          <w:color w:val="000000"/>
          <w:sz w:val="32"/>
          <w:szCs w:val="32"/>
        </w:rPr>
        <w:t>医工交互</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lastRenderedPageBreak/>
        <w:t>注册申请人需按照《个性化匹配骨植入物及工具医工交互质控审查指导原则》明确增材制造聚</w:t>
      </w:r>
      <w:r>
        <w:rPr>
          <w:rFonts w:ascii="Times New Roman" w:eastAsia="仿宋_GB2312" w:hAnsi="Times New Roman" w:hint="eastAsia"/>
          <w:color w:val="000000"/>
          <w:sz w:val="32"/>
          <w:szCs w:val="32"/>
        </w:rPr>
        <w:t>醚醚酮</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生物陶瓷复合材料颅骨修补假体系统的设计开发中各个环节（包括策划、输入、输出、评审、验证、确认、修改、更改）的医方职责和工程师职责以及医工交互的内容，并对医工交互全流程进行质量控制。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3.5.2</w:t>
      </w:r>
      <w:r>
        <w:rPr>
          <w:rFonts w:ascii="Times New Roman" w:eastAsia="仿宋_GB2312" w:hAnsi="Times New Roman" w:hint="eastAsia"/>
          <w:color w:val="000000"/>
          <w:sz w:val="32"/>
          <w:szCs w:val="32"/>
        </w:rPr>
        <w:t>影像数据采集和重建</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注册申请人需根据《无源植入性骨、关节及口腔硬组织个性化增材制造医疗器械注册技术审查指导原则》明确医学影像采集使用的软硬件设备及采集和重建过程的关键要素。例如，</w:t>
      </w:r>
      <w:r>
        <w:rPr>
          <w:rFonts w:ascii="Times New Roman" w:eastAsia="仿宋_GB2312" w:hAnsi="Times New Roman"/>
          <w:color w:val="000000"/>
          <w:sz w:val="32"/>
          <w:szCs w:val="32"/>
        </w:rPr>
        <w:t>CT</w:t>
      </w:r>
      <w:r>
        <w:rPr>
          <w:rFonts w:ascii="Times New Roman" w:eastAsia="仿宋_GB2312" w:hAnsi="Times New Roman"/>
          <w:color w:val="000000"/>
          <w:sz w:val="32"/>
          <w:szCs w:val="32"/>
        </w:rPr>
        <w:t>数据采集需明确切片间距</w:t>
      </w:r>
      <w:r>
        <w:rPr>
          <w:rFonts w:ascii="Times New Roman" w:eastAsia="仿宋_GB2312" w:hAnsi="Times New Roman"/>
          <w:color w:val="000000"/>
          <w:sz w:val="32"/>
          <w:szCs w:val="32"/>
        </w:rPr>
        <w:t>/</w:t>
      </w:r>
      <w:r>
        <w:rPr>
          <w:rFonts w:ascii="Times New Roman" w:eastAsia="仿宋_GB2312" w:hAnsi="Times New Roman"/>
          <w:color w:val="000000"/>
          <w:sz w:val="32"/>
          <w:szCs w:val="32"/>
        </w:rPr>
        <w:t>层数、扫描层厚、单层分辨率</w:t>
      </w:r>
      <w:r>
        <w:rPr>
          <w:rFonts w:ascii="Times New Roman" w:eastAsia="仿宋_GB2312" w:hAnsi="Times New Roman"/>
          <w:color w:val="000000"/>
          <w:sz w:val="32"/>
          <w:szCs w:val="32"/>
        </w:rPr>
        <w:t>/</w:t>
      </w:r>
      <w:r>
        <w:rPr>
          <w:rFonts w:ascii="Times New Roman" w:eastAsia="仿宋_GB2312" w:hAnsi="Times New Roman"/>
          <w:color w:val="000000"/>
          <w:sz w:val="32"/>
          <w:szCs w:val="32"/>
        </w:rPr>
        <w:t>像素数、视野和体位；三维重建需明确阈值分割、图像修正（如降噪、平滑、填充等）、被简化或省略的几何特征及其原因。</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3.5.3</w:t>
      </w:r>
      <w:r>
        <w:rPr>
          <w:rFonts w:ascii="Times New Roman" w:eastAsia="仿宋_GB2312" w:hAnsi="Times New Roman" w:hint="eastAsia"/>
          <w:color w:val="000000"/>
          <w:sz w:val="32"/>
          <w:szCs w:val="32"/>
        </w:rPr>
        <w:t>打印工艺参数</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根据产品的性能要求和预期用途，明确</w:t>
      </w:r>
      <w:r>
        <w:rPr>
          <w:rFonts w:ascii="Times New Roman" w:eastAsia="仿宋_GB2312" w:hAnsi="Times New Roman"/>
          <w:color w:val="000000"/>
          <w:sz w:val="32"/>
          <w:szCs w:val="32"/>
        </w:rPr>
        <w:t>3D</w:t>
      </w:r>
      <w:r>
        <w:rPr>
          <w:rFonts w:ascii="Times New Roman" w:eastAsia="仿宋_GB2312" w:hAnsi="Times New Roman"/>
          <w:color w:val="000000"/>
          <w:sz w:val="32"/>
          <w:szCs w:val="32"/>
        </w:rPr>
        <w:t>打印舱室环境以及材料成型关键参数，并论证合理性。同时，应当</w:t>
      </w:r>
      <w:r>
        <w:rPr>
          <w:rFonts w:ascii="Times New Roman" w:eastAsia="仿宋_GB2312" w:hAnsi="Times New Roman" w:hint="eastAsia"/>
          <w:color w:val="000000"/>
          <w:sz w:val="32"/>
          <w:szCs w:val="32"/>
        </w:rPr>
        <w:t>对</w:t>
      </w:r>
      <w:r>
        <w:rPr>
          <w:rFonts w:ascii="Times New Roman" w:eastAsia="仿宋_GB2312" w:hAnsi="Times New Roman" w:hint="eastAsia"/>
          <w:color w:val="000000"/>
          <w:sz w:val="32"/>
          <w:szCs w:val="32"/>
        </w:rPr>
        <w:t>3</w:t>
      </w:r>
      <w:r>
        <w:rPr>
          <w:rFonts w:ascii="Times New Roman" w:eastAsia="仿宋_GB2312" w:hAnsi="Times New Roman"/>
          <w:color w:val="000000"/>
          <w:sz w:val="32"/>
          <w:szCs w:val="32"/>
        </w:rPr>
        <w:t>D</w:t>
      </w:r>
      <w:r>
        <w:rPr>
          <w:rFonts w:ascii="Times New Roman" w:eastAsia="仿宋_GB2312" w:hAnsi="Times New Roman" w:hint="eastAsia"/>
          <w:color w:val="000000"/>
          <w:sz w:val="32"/>
          <w:szCs w:val="32"/>
        </w:rPr>
        <w:t>打印工艺稳定性进行验证，可包括</w:t>
      </w:r>
      <w:r>
        <w:rPr>
          <w:rFonts w:ascii="Times New Roman" w:eastAsia="仿宋_GB2312" w:hAnsi="Times New Roman" w:hint="eastAsia"/>
          <w:color w:val="000000"/>
          <w:sz w:val="32"/>
          <w:szCs w:val="32"/>
        </w:rPr>
        <w:t>3</w:t>
      </w:r>
      <w:r>
        <w:rPr>
          <w:rFonts w:ascii="Times New Roman" w:eastAsia="仿宋_GB2312" w:hAnsi="Times New Roman"/>
          <w:color w:val="000000"/>
          <w:sz w:val="32"/>
          <w:szCs w:val="32"/>
        </w:rPr>
        <w:t>D</w:t>
      </w:r>
      <w:r>
        <w:rPr>
          <w:rFonts w:ascii="Times New Roman" w:eastAsia="仿宋_GB2312" w:hAnsi="Times New Roman" w:hint="eastAsia"/>
          <w:color w:val="000000"/>
          <w:sz w:val="32"/>
          <w:szCs w:val="32"/>
        </w:rPr>
        <w:t>打印设备及环境稳定性，</w:t>
      </w:r>
      <w:r>
        <w:rPr>
          <w:rFonts w:ascii="Times New Roman" w:eastAsia="仿宋_GB2312" w:hAnsi="Times New Roman"/>
          <w:color w:val="000000"/>
          <w:sz w:val="32"/>
          <w:szCs w:val="32"/>
        </w:rPr>
        <w:t>3D</w:t>
      </w:r>
      <w:r>
        <w:rPr>
          <w:rFonts w:ascii="Times New Roman" w:eastAsia="仿宋_GB2312" w:hAnsi="Times New Roman" w:hint="eastAsia"/>
          <w:color w:val="000000"/>
          <w:sz w:val="32"/>
          <w:szCs w:val="32"/>
        </w:rPr>
        <w:t>打印产品尺寸精度稳定性及产品性能稳定性等</w:t>
      </w:r>
      <w:r>
        <w:rPr>
          <w:rFonts w:ascii="Times New Roman" w:eastAsia="仿宋_GB2312" w:hAnsi="Times New Roman"/>
          <w:color w:val="000000"/>
          <w:sz w:val="32"/>
          <w:szCs w:val="32"/>
        </w:rPr>
        <w:t>。应当针对选用的增材制造工艺及工艺参数进行验证，证明满足预期性能。如工艺参数发生变化，应当论证其性能不低于原有要求。</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对于采用聚醚醚酮</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生物陶瓷复合材料丝材经熔融沉积成型工艺（</w:t>
      </w:r>
      <w:r>
        <w:rPr>
          <w:rFonts w:ascii="Times New Roman" w:eastAsia="仿宋_GB2312" w:hAnsi="Times New Roman" w:hint="eastAsia"/>
          <w:color w:val="000000"/>
          <w:sz w:val="32"/>
          <w:szCs w:val="32"/>
        </w:rPr>
        <w:t>F</w:t>
      </w:r>
      <w:r>
        <w:rPr>
          <w:rFonts w:ascii="Times New Roman" w:eastAsia="仿宋_GB2312" w:hAnsi="Times New Roman"/>
          <w:color w:val="000000"/>
          <w:sz w:val="32"/>
          <w:szCs w:val="32"/>
        </w:rPr>
        <w:t>DM</w:t>
      </w:r>
      <w:r>
        <w:rPr>
          <w:rFonts w:ascii="Times New Roman" w:eastAsia="仿宋_GB2312" w:hAnsi="Times New Roman" w:hint="eastAsia"/>
          <w:color w:val="000000"/>
          <w:sz w:val="32"/>
          <w:szCs w:val="32"/>
        </w:rPr>
        <w:t>），一般需研究下列参数对产品或组件的影响，包括扫描间距、打印速度、在打印舱放置位置、打印路径、器械间距、打印支撑物位置、类型和数量、成型室温度、</w:t>
      </w:r>
      <w:r>
        <w:rPr>
          <w:rFonts w:ascii="Times New Roman" w:eastAsia="仿宋_GB2312" w:hAnsi="Times New Roman" w:hint="eastAsia"/>
          <w:color w:val="000000"/>
          <w:sz w:val="32"/>
          <w:szCs w:val="32"/>
        </w:rPr>
        <w:lastRenderedPageBreak/>
        <w:t>喷头温度、喷头直径、底板温度等。</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对于采用聚醚醚酮</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生物陶瓷复合材料粉末经选择性激光烧结工艺（</w:t>
      </w:r>
      <w:r>
        <w:rPr>
          <w:rFonts w:ascii="Times New Roman" w:eastAsia="仿宋_GB2312" w:hAnsi="Times New Roman" w:hint="eastAsia"/>
          <w:color w:val="000000"/>
          <w:sz w:val="32"/>
          <w:szCs w:val="32"/>
        </w:rPr>
        <w:t>SLS</w:t>
      </w:r>
      <w:r>
        <w:rPr>
          <w:rFonts w:ascii="Times New Roman" w:eastAsia="仿宋_GB2312" w:hAnsi="Times New Roman" w:hint="eastAsia"/>
          <w:color w:val="000000"/>
          <w:sz w:val="32"/>
          <w:szCs w:val="32"/>
        </w:rPr>
        <w:t>），一般需研究下列参数对产品或组件的影响，包括扫描间距、打印速度、在打印舱放置位置、打印路径、器械间距、打印支撑物位置、类型和数量、成型室温度、激光功率</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激光能量密度、光斑直径、铺粉层厚、预热温度等。需关</w:t>
      </w:r>
      <w:r>
        <w:rPr>
          <w:rFonts w:ascii="Times New Roman" w:eastAsia="仿宋_GB2312" w:hAnsi="Times New Roman" w:hint="eastAsia"/>
          <w:color w:val="000000"/>
          <w:sz w:val="32"/>
          <w:szCs w:val="32"/>
        </w:rPr>
        <w:t>注粉末混合的均匀性及粉末回收利用次数的相关要求。同时需要关注复合材料中无机物和有机物</w:t>
      </w:r>
      <w:r>
        <w:rPr>
          <w:rFonts w:ascii="Times New Roman" w:eastAsia="仿宋_GB2312" w:hAnsi="Times New Roman" w:hint="eastAsia"/>
          <w:color w:val="000000"/>
          <w:sz w:val="32"/>
          <w:szCs w:val="32"/>
        </w:rPr>
        <w:t>PEEK</w:t>
      </w:r>
      <w:r>
        <w:rPr>
          <w:rFonts w:ascii="Times New Roman" w:eastAsia="仿宋_GB2312" w:hAnsi="Times New Roman" w:hint="eastAsia"/>
          <w:color w:val="000000"/>
          <w:sz w:val="32"/>
          <w:szCs w:val="32"/>
        </w:rPr>
        <w:t>比例以及对于含两种及以上无机物成分时各无机物组分的比例不同对于选择性激光烧结工艺的影响。</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3.6</w:t>
      </w:r>
      <w:r>
        <w:rPr>
          <w:rFonts w:eastAsia="仿宋_GB2312"/>
          <w:kern w:val="0"/>
          <w:sz w:val="32"/>
          <w:szCs w:val="32"/>
        </w:rPr>
        <w:t>清洗和灭菌</w:t>
      </w:r>
      <w:r>
        <w:rPr>
          <w:rFonts w:eastAsia="仿宋_GB2312" w:hint="eastAsia"/>
          <w:kern w:val="0"/>
          <w:sz w:val="32"/>
          <w:szCs w:val="32"/>
        </w:rPr>
        <w:t>研究</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.6.1</w:t>
      </w:r>
      <w:r>
        <w:rPr>
          <w:rFonts w:ascii="Times New Roman" w:eastAsia="仿宋_GB2312" w:hAnsi="Times New Roman"/>
          <w:kern w:val="0"/>
          <w:sz w:val="32"/>
          <w:szCs w:val="32"/>
        </w:rPr>
        <w:t>清洗</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明确生产工艺中涉及的各种加工助剂（如切削液等）的使用情况和质量控制标准。明确产品的清洗过程，提供经清洗过程后加工助剂残留控制的验证资料。提供生产加工过程使用的所有加工助剂等添加剂残留量的控制措施和接受标准以及安全性评价报告。</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.6.2</w:t>
      </w:r>
      <w:r>
        <w:rPr>
          <w:rFonts w:ascii="Times New Roman" w:eastAsia="仿宋_GB2312" w:hAnsi="Times New Roman"/>
          <w:kern w:val="0"/>
          <w:sz w:val="32"/>
          <w:szCs w:val="32"/>
        </w:rPr>
        <w:t>灭菌研究</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描述用于保证产品无菌的质量保证体系，明确灭菌工</w:t>
      </w:r>
      <w:r>
        <w:rPr>
          <w:rFonts w:ascii="Times New Roman" w:eastAsia="仿宋_GB2312" w:hAnsi="Times New Roman"/>
          <w:kern w:val="0"/>
          <w:sz w:val="32"/>
          <w:szCs w:val="32"/>
        </w:rPr>
        <w:t>艺（方法和参数）和无菌保证水平（</w:t>
      </w:r>
      <w:r>
        <w:rPr>
          <w:rFonts w:ascii="Times New Roman" w:eastAsia="仿宋_GB2312" w:hAnsi="Times New Roman"/>
          <w:kern w:val="0"/>
          <w:sz w:val="32"/>
          <w:szCs w:val="32"/>
        </w:rPr>
        <w:t>SAL</w:t>
      </w:r>
      <w:r>
        <w:rPr>
          <w:rFonts w:ascii="Times New Roman" w:eastAsia="仿宋_GB2312" w:hAnsi="Times New Roman"/>
          <w:kern w:val="0"/>
          <w:sz w:val="32"/>
          <w:szCs w:val="32"/>
        </w:rPr>
        <w:t>）。产品的无菌保证水平（</w:t>
      </w:r>
      <w:r>
        <w:rPr>
          <w:rFonts w:ascii="Times New Roman" w:eastAsia="仿宋_GB2312" w:hAnsi="Times New Roman"/>
          <w:kern w:val="0"/>
          <w:sz w:val="32"/>
          <w:szCs w:val="32"/>
        </w:rPr>
        <w:t>SAL</w:t>
      </w:r>
      <w:r>
        <w:rPr>
          <w:rFonts w:ascii="Times New Roman" w:eastAsia="仿宋_GB2312" w:hAnsi="Times New Roman"/>
          <w:kern w:val="0"/>
          <w:sz w:val="32"/>
          <w:szCs w:val="32"/>
        </w:rPr>
        <w:t>）需达到</w:t>
      </w:r>
      <w:r>
        <w:rPr>
          <w:rFonts w:ascii="Times New Roman" w:eastAsia="仿宋_GB2312" w:hAnsi="Times New Roman"/>
          <w:kern w:val="0"/>
          <w:sz w:val="32"/>
          <w:szCs w:val="32"/>
        </w:rPr>
        <w:t>10</w:t>
      </w:r>
      <w:r>
        <w:rPr>
          <w:rFonts w:ascii="Times New Roman" w:eastAsia="仿宋_GB2312" w:hAnsi="Times New Roman"/>
          <w:kern w:val="0"/>
          <w:sz w:val="32"/>
          <w:szCs w:val="32"/>
          <w:vertAlign w:val="superscript"/>
        </w:rPr>
        <w:t>-6</w:t>
      </w:r>
      <w:r>
        <w:rPr>
          <w:rFonts w:ascii="Times New Roman" w:eastAsia="仿宋_GB2312" w:hAnsi="Times New Roman"/>
          <w:kern w:val="0"/>
          <w:sz w:val="32"/>
          <w:szCs w:val="32"/>
        </w:rPr>
        <w:t>。</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.6.2.1</w:t>
      </w:r>
      <w:r>
        <w:rPr>
          <w:rFonts w:ascii="Times New Roman" w:eastAsia="仿宋_GB2312" w:hAnsi="Times New Roman"/>
          <w:kern w:val="0"/>
          <w:sz w:val="32"/>
          <w:szCs w:val="32"/>
        </w:rPr>
        <w:t>生产企业灭菌</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对于经辐照灭菌的产品，需明确射线种类、辐照剂量及相关的验证报告，具体的剂量确定依据可参照</w:t>
      </w:r>
      <w:r>
        <w:rPr>
          <w:rFonts w:ascii="Times New Roman" w:eastAsia="仿宋_GB2312" w:hAnsi="Times New Roman"/>
          <w:kern w:val="0"/>
          <w:sz w:val="32"/>
          <w:szCs w:val="32"/>
        </w:rPr>
        <w:t>GB 18280</w:t>
      </w:r>
      <w:r>
        <w:rPr>
          <w:rFonts w:ascii="Times New Roman" w:eastAsia="仿宋_GB2312" w:hAnsi="Times New Roman"/>
          <w:kern w:val="0"/>
          <w:sz w:val="32"/>
          <w:szCs w:val="32"/>
        </w:rPr>
        <w:t>系列标准。需评价灭菌方法（包括辐照源）对于产品性能的影</w:t>
      </w:r>
      <w:r>
        <w:rPr>
          <w:rFonts w:ascii="Times New Roman" w:eastAsia="仿宋_GB2312" w:hAnsi="Times New Roman"/>
          <w:kern w:val="0"/>
          <w:sz w:val="32"/>
          <w:szCs w:val="32"/>
        </w:rPr>
        <w:lastRenderedPageBreak/>
        <w:t>响（尤其对于高分子材料制成的产品），并提供验证性能的确定依据、验证方案及报告以及接受指标的确定依据。</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对于经环氧乙烷灭菌的产品，需提供灭菌结果确认和过程控制报告，具体可参照</w:t>
      </w:r>
      <w:r>
        <w:rPr>
          <w:rFonts w:ascii="Times New Roman" w:eastAsia="仿宋_GB2312" w:hAnsi="Times New Roman"/>
          <w:kern w:val="0"/>
          <w:sz w:val="32"/>
          <w:szCs w:val="32"/>
        </w:rPr>
        <w:t>GB 18279</w:t>
      </w:r>
      <w:r>
        <w:rPr>
          <w:rFonts w:ascii="Times New Roman" w:eastAsia="仿宋_GB2312" w:hAnsi="Times New Roman"/>
          <w:kern w:val="0"/>
          <w:sz w:val="32"/>
          <w:szCs w:val="32"/>
        </w:rPr>
        <w:t>系列标准。</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如采用其他灭菌方法，需提供方法合理性论</w:t>
      </w:r>
      <w:r>
        <w:rPr>
          <w:rFonts w:ascii="Times New Roman" w:eastAsia="仿宋_GB2312" w:hAnsi="Times New Roman"/>
          <w:kern w:val="0"/>
          <w:sz w:val="32"/>
          <w:szCs w:val="32"/>
        </w:rPr>
        <w:t>证和工艺确认及过程控制报告。</w:t>
      </w:r>
    </w:p>
    <w:p w:rsidR="003B04B8" w:rsidRDefault="00026F40">
      <w:pPr>
        <w:widowControl/>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若灭菌使用的方法涉及出现残留，需明确残留物信息及采取的处理具体方法和条件，并提供研究资料。</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.6.2.2</w:t>
      </w:r>
      <w:r>
        <w:rPr>
          <w:rFonts w:ascii="Times New Roman" w:eastAsia="仿宋_GB2312" w:hAnsi="Times New Roman"/>
          <w:kern w:val="0"/>
          <w:sz w:val="32"/>
          <w:szCs w:val="32"/>
        </w:rPr>
        <w:t>最终使用者灭菌</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kern w:val="0"/>
          <w:sz w:val="32"/>
          <w:szCs w:val="32"/>
        </w:rPr>
        <w:t>对于非灭菌包装的终产品，需明确推荐采用的灭菌方法，提供确定依据及验证资料。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3.7</w:t>
      </w:r>
      <w:r>
        <w:rPr>
          <w:rFonts w:ascii="Times New Roman" w:eastAsia="仿宋_GB2312" w:hAnsi="Times New Roman"/>
          <w:color w:val="000000"/>
          <w:sz w:val="32"/>
          <w:szCs w:val="32"/>
        </w:rPr>
        <w:t>动物试验研究</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考虑到增材制造颅骨修补假体、链接板产品材料和工艺新颖，一般建议开展动物试验。动物试验需按照《医疗器械动物试验研究注册审查指导原则第二部分：试验设计、实施质量保证》的要求开展</w:t>
      </w:r>
      <w:r>
        <w:rPr>
          <w:rFonts w:ascii="Times New Roman" w:eastAsia="仿宋_GB2312" w:hAnsi="Times New Roman"/>
          <w:color w:val="000000"/>
          <w:sz w:val="32"/>
          <w:szCs w:val="32"/>
        </w:rPr>
        <w:t>。</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需明确动物试验模型建立依据、动物选择依据、观察时间、评价指标等内容。</w:t>
      </w:r>
      <w:r>
        <w:rPr>
          <w:rFonts w:ascii="Times New Roman" w:eastAsia="仿宋_GB2312" w:hAnsi="Times New Roman"/>
          <w:color w:val="000000"/>
          <w:sz w:val="32"/>
          <w:szCs w:val="32"/>
        </w:rPr>
        <w:t>需考虑动物自身情况对</w:t>
      </w:r>
      <w:r>
        <w:rPr>
          <w:rFonts w:ascii="Times New Roman" w:eastAsia="仿宋_GB2312" w:hAnsi="Times New Roman"/>
          <w:color w:val="000000"/>
          <w:sz w:val="32"/>
          <w:szCs w:val="32"/>
        </w:rPr>
        <w:t>试验结果的影响，合理选择动物，并提供动物模型、动物年龄、动物性别、动物品系的确定依据，需具备科学合理性。需结合产品适应证，明确产品主要和次要观察指标，特别是产品预期宣称功能的评价指标，并提供指标的确定依据。观察指标一般可设置为大体观察，血液学指标，植入物与周围骨组织生长情况，骨与植入物结合强度，新骨形成、骨细胞、骨基质及一些病理改变的观察，植入物界面新生骨生长情况等。观察周期需观察到组织反应达到稳定状态。</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4.</w:t>
      </w:r>
      <w:r>
        <w:rPr>
          <w:rFonts w:ascii="Times New Roman" w:eastAsia="仿宋_GB2312" w:hAnsi="Times New Roman"/>
          <w:color w:val="000000"/>
          <w:sz w:val="32"/>
          <w:szCs w:val="32"/>
        </w:rPr>
        <w:t>稳定性研究</w:t>
      </w:r>
    </w:p>
    <w:p w:rsidR="003B04B8" w:rsidRDefault="00026F40">
      <w:pPr>
        <w:widowControl/>
        <w:spacing w:line="520" w:lineRule="exact"/>
        <w:ind w:firstLineChars="200" w:firstLine="640"/>
        <w:rPr>
          <w:rFonts w:ascii="Times New Roman" w:eastAsia="仿宋_GB2312" w:hAnsi="Times New Roman"/>
          <w:bCs/>
          <w:kern w:val="0"/>
          <w:sz w:val="32"/>
          <w:szCs w:val="32"/>
        </w:rPr>
      </w:pPr>
      <w:r>
        <w:rPr>
          <w:rFonts w:ascii="Times New Roman" w:eastAsia="仿宋_GB2312" w:hAnsi="Times New Roman"/>
          <w:kern w:val="0"/>
          <w:sz w:val="32"/>
          <w:szCs w:val="32"/>
        </w:rPr>
        <w:t>申报产品需参照《无源植入性医疗器械稳定性研究指导原则》提供产品稳定性研究资料。稳定性研究一般包含货架有效期、使用稳定性和运输稳定性，其中货架有效期和运输稳定性研究包含器械本身性能稳定性和包装性能稳定性两方面。由纯钛或钛合金等金属材料制成的</w:t>
      </w:r>
      <w:r>
        <w:rPr>
          <w:rFonts w:ascii="Times New Roman" w:eastAsia="仿宋_GB2312" w:hAnsi="Times New Roman" w:hint="eastAsia"/>
          <w:bCs/>
          <w:sz w:val="32"/>
          <w:szCs w:val="32"/>
        </w:rPr>
        <w:t>产品</w:t>
      </w:r>
      <w:r>
        <w:rPr>
          <w:rFonts w:ascii="Times New Roman" w:eastAsia="仿宋_GB2312" w:hAnsi="Times New Roman"/>
          <w:kern w:val="0"/>
          <w:sz w:val="32"/>
          <w:szCs w:val="32"/>
        </w:rPr>
        <w:t>，其器械本身性能比较稳定，可主要考虑包装稳定性的验证，使用稳定性可在性能研究中开展验证。</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bCs/>
          <w:kern w:val="0"/>
          <w:sz w:val="32"/>
          <w:szCs w:val="32"/>
        </w:rPr>
        <w:t>4</w:t>
      </w:r>
      <w:r>
        <w:rPr>
          <w:rFonts w:ascii="Times New Roman" w:eastAsia="仿宋_GB2312" w:hAnsi="Times New Roman"/>
          <w:bCs/>
          <w:kern w:val="0"/>
          <w:sz w:val="32"/>
          <w:szCs w:val="32"/>
        </w:rPr>
        <w:t>.1</w:t>
      </w:r>
      <w:r>
        <w:rPr>
          <w:rFonts w:ascii="Times New Roman" w:eastAsia="仿宋_GB2312" w:hAnsi="Times New Roman"/>
          <w:bCs/>
          <w:kern w:val="0"/>
          <w:sz w:val="32"/>
          <w:szCs w:val="32"/>
        </w:rPr>
        <w:t>货架有效期</w:t>
      </w:r>
    </w:p>
    <w:p w:rsidR="003B04B8" w:rsidRDefault="00026F40">
      <w:pPr>
        <w:widowControl/>
        <w:spacing w:line="52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医疗器械货架有效期的验证试验通常可分为加速稳定性试验、实时稳定性试验两类。无论加速稳定性试验还是实时稳定性试验，注册申请人均需在试验方案中设定测试项目、测试方法及</w:t>
      </w:r>
      <w:r>
        <w:rPr>
          <w:rFonts w:ascii="Times New Roman" w:eastAsia="仿宋_GB2312" w:hAnsi="Times New Roman"/>
          <w:bCs/>
          <w:kern w:val="0"/>
          <w:sz w:val="32"/>
          <w:szCs w:val="32"/>
        </w:rPr>
        <w:t>判定标准。测试项目仅需评估产品随时间老化的相关性能，包括器械自身性能测试和包装系统性能测试两方面。包装系统性能测试（</w:t>
      </w:r>
      <w:r>
        <w:rPr>
          <w:rFonts w:ascii="Times New Roman" w:eastAsia="仿宋_GB2312" w:hAnsi="Times New Roman"/>
          <w:kern w:val="0"/>
          <w:sz w:val="32"/>
          <w:szCs w:val="32"/>
        </w:rPr>
        <w:t>如染色液穿透试验、气泡试验、材料密封强度试验等</w:t>
      </w:r>
      <w:r>
        <w:rPr>
          <w:rFonts w:ascii="Times New Roman" w:eastAsia="仿宋_GB2312" w:hAnsi="Times New Roman"/>
          <w:bCs/>
          <w:kern w:val="0"/>
          <w:sz w:val="32"/>
          <w:szCs w:val="32"/>
        </w:rPr>
        <w:t>）主要目的是为了验证包装系统对微生物的屏障性能，即无菌状态</w:t>
      </w:r>
      <w:r>
        <w:rPr>
          <w:rFonts w:ascii="Times New Roman" w:eastAsia="仿宋_GB2312" w:hAnsi="Times New Roman"/>
          <w:bCs/>
          <w:kern w:val="0"/>
          <w:sz w:val="32"/>
          <w:szCs w:val="32"/>
        </w:rPr>
        <w:t>/</w:t>
      </w:r>
      <w:r>
        <w:rPr>
          <w:rFonts w:ascii="Times New Roman" w:eastAsia="仿宋_GB2312" w:hAnsi="Times New Roman"/>
          <w:bCs/>
          <w:kern w:val="0"/>
          <w:sz w:val="32"/>
          <w:szCs w:val="32"/>
        </w:rPr>
        <w:t>微生物限度要求的保持。对于灭菌产品，需要明确灭菌方式与产品的包装材料、包装工艺环境、包装方法及包装系统性能的适配性。</w:t>
      </w:r>
      <w:r>
        <w:rPr>
          <w:rFonts w:ascii="Times New Roman" w:eastAsia="仿宋_GB2312" w:hAnsi="Times New Roman"/>
          <w:kern w:val="0"/>
          <w:sz w:val="32"/>
          <w:szCs w:val="32"/>
        </w:rPr>
        <w:t>实时稳定性试验结果是验证产品货架有效期的直接证据。当加速稳定性试验结果与其不一致时，应以实时稳定性试验结果为准。</w:t>
      </w:r>
    </w:p>
    <w:p w:rsidR="003B04B8" w:rsidRDefault="00026F40">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若注册申请人提供其他医疗器械的货架有效期验证资料，则需提供其</w:t>
      </w:r>
      <w:r>
        <w:rPr>
          <w:rFonts w:ascii="Times New Roman" w:eastAsia="仿宋_GB2312" w:hAnsi="Times New Roman"/>
          <w:kern w:val="0"/>
          <w:sz w:val="32"/>
          <w:szCs w:val="32"/>
        </w:rPr>
        <w:t>与本次申报产品在原材料、灭菌方法、灭菌工艺、包装材料、包装系统性能、包装方式及其他影响阻菌性能的因素方面具有等同性的证明资料。不同包装、不同灭菌方式的产品需分别提供验证资料。</w:t>
      </w:r>
    </w:p>
    <w:p w:rsidR="003B04B8" w:rsidRDefault="00026F40">
      <w:pPr>
        <w:widowControl/>
        <w:spacing w:line="52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lastRenderedPageBreak/>
        <w:t>4</w:t>
      </w:r>
      <w:r>
        <w:rPr>
          <w:rFonts w:ascii="Times New Roman" w:eastAsia="仿宋_GB2312" w:hAnsi="Times New Roman"/>
          <w:bCs/>
          <w:kern w:val="0"/>
          <w:sz w:val="32"/>
          <w:szCs w:val="32"/>
        </w:rPr>
        <w:t>.2</w:t>
      </w:r>
      <w:r>
        <w:rPr>
          <w:rFonts w:ascii="Times New Roman" w:eastAsia="仿宋_GB2312" w:hAnsi="Times New Roman"/>
          <w:bCs/>
          <w:kern w:val="0"/>
          <w:sz w:val="32"/>
          <w:szCs w:val="32"/>
        </w:rPr>
        <w:t>运输稳定性</w:t>
      </w:r>
    </w:p>
    <w:p w:rsidR="003B04B8" w:rsidRDefault="00026F40">
      <w:pPr>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kern w:val="0"/>
          <w:sz w:val="32"/>
          <w:szCs w:val="32"/>
        </w:rPr>
        <w:t>提交运输稳定性验证资料，证明规定的运输条件不会对医疗器械的特性和性能造成不利影响。运输稳定性验证应依据适用的国内、国际标准和验证方案进行，如：产品包装的跌落试验、振荡试验等。</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其他资料</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对于多孔结构设计，</w:t>
      </w:r>
      <w:r>
        <w:rPr>
          <w:rFonts w:ascii="Times New Roman" w:eastAsia="仿宋_GB2312" w:hAnsi="Times New Roman"/>
          <w:color w:val="000000"/>
          <w:sz w:val="32"/>
          <w:szCs w:val="32"/>
        </w:rPr>
        <w:t>需关注多孔结构设计（如多孔结构的孔径、丝径、孔隙率、平均孔隙截距、孔隙梯度、孔内部连通性、多孔结构的厚度等）对骨生长的效果，提供多孔结构设计依据。</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鉴于细菌内毒素可引发医疗器械致热性风险，申请人需</w:t>
      </w:r>
    </w:p>
    <w:p w:rsidR="003B04B8" w:rsidRDefault="00026F40">
      <w:pPr>
        <w:snapToGrid w:val="0"/>
        <w:spacing w:line="520" w:lineRule="exac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在研究资料中提供对细菌内毒素进行控制的验证报告，保证医疗器械的安全性。</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需评估在打印过程中是否出现烧损，孔隙堵塞，表面粗糙度变化等情况。</w:t>
      </w:r>
    </w:p>
    <w:p w:rsidR="003B04B8" w:rsidRDefault="00026F40">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（三）产品说明书和标签样稿</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产品说明书、标签和包装标识需符合《医疗器械说明书和标签管理规定》和相关国家标准、行业标准的要求，例如</w:t>
      </w:r>
      <w:r>
        <w:rPr>
          <w:rFonts w:ascii="Times New Roman" w:eastAsia="仿宋_GB2312" w:hAnsi="Times New Roman"/>
          <w:color w:val="000000"/>
          <w:sz w:val="32"/>
          <w:szCs w:val="32"/>
        </w:rPr>
        <w:t xml:space="preserve">YY/T </w:t>
      </w:r>
      <w:r>
        <w:rPr>
          <w:rFonts w:ascii="Times New Roman" w:eastAsia="仿宋_GB2312" w:hAnsi="Times New Roman"/>
          <w:color w:val="000000"/>
          <w:sz w:val="32"/>
          <w:szCs w:val="32"/>
        </w:rPr>
        <w:t>0466.1</w:t>
      </w:r>
      <w:r>
        <w:rPr>
          <w:rFonts w:ascii="Times New Roman" w:eastAsia="仿宋_GB2312" w:hAnsi="Times New Roman"/>
          <w:color w:val="000000"/>
          <w:sz w:val="32"/>
          <w:szCs w:val="32"/>
        </w:rPr>
        <w:t>《医疗器械用于医疗器械标签、标记和提供信息的符号第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部分：通用要求》。</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说明书需告知使用者所有使用过程中相关的剩余风险。对产品预期使用者的技术知识、经验、教育背景、培训、身体状况以及产品使用环境（含工作条件）有要求的，在说明书中需予以明确。若产品适用于除成人以外的人群，需在说明书中予以明确。</w:t>
      </w:r>
    </w:p>
    <w:p w:rsidR="003B04B8" w:rsidRDefault="00026F40">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考虑到金属材料制品植入人体后当在磁共振环境</w:t>
      </w:r>
      <w:r>
        <w:rPr>
          <w:rFonts w:ascii="Times New Roman" w:eastAsia="仿宋_GB2312" w:hAnsi="Times New Roman"/>
          <w:color w:val="000000"/>
          <w:sz w:val="32"/>
          <w:szCs w:val="32"/>
        </w:rPr>
        <w:t>中对</w:t>
      </w:r>
      <w:r>
        <w:rPr>
          <w:rFonts w:ascii="Times New Roman" w:eastAsia="仿宋_GB2312" w:hAnsi="Times New Roman"/>
          <w:color w:val="000000"/>
          <w:sz w:val="32"/>
          <w:szCs w:val="32"/>
        </w:rPr>
        <w:lastRenderedPageBreak/>
        <w:t>体内软组织及脏器进行检查时，可能会受</w:t>
      </w:r>
      <w:r>
        <w:rPr>
          <w:rFonts w:ascii="Times New Roman" w:eastAsia="仿宋_GB2312" w:hAnsi="Times New Roman" w:hint="eastAsia"/>
          <w:color w:val="000000"/>
          <w:sz w:val="32"/>
          <w:szCs w:val="32"/>
        </w:rPr>
        <w:t>磁共振环境</w:t>
      </w:r>
      <w:r>
        <w:rPr>
          <w:rFonts w:ascii="Times New Roman" w:eastAsia="仿宋_GB2312" w:hAnsi="Times New Roman"/>
          <w:color w:val="000000"/>
          <w:sz w:val="32"/>
          <w:szCs w:val="32"/>
        </w:rPr>
        <w:t>影响，产生不利结果，如对植入物周边组织产生损伤或对诊断结果产生影响等，</w:t>
      </w:r>
      <w:r>
        <w:rPr>
          <w:rFonts w:ascii="Times New Roman" w:eastAsia="仿宋_GB2312" w:hAnsi="Times New Roman" w:hint="eastAsia"/>
          <w:color w:val="000000"/>
          <w:sz w:val="32"/>
          <w:szCs w:val="32"/>
        </w:rPr>
        <w:t>建议与颅骨修补假体配合使用的螺钉采用高分子材</w:t>
      </w:r>
      <w:r>
        <w:rPr>
          <w:rFonts w:ascii="Times New Roman" w:eastAsia="仿宋_GB2312" w:hAnsi="Times New Roman" w:hint="eastAsia"/>
          <w:color w:val="000000"/>
          <w:sz w:val="32"/>
          <w:szCs w:val="32"/>
        </w:rPr>
        <w:t>料制造。</w:t>
      </w:r>
    </w:p>
    <w:sectPr w:rsidR="003B04B8">
      <w:footerReference w:type="default" r:id="rId8"/>
      <w:pgSz w:w="11906" w:h="16838"/>
      <w:pgMar w:top="1440" w:right="1800" w:bottom="1440" w:left="1800" w:header="851" w:footer="992"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F40" w:rsidRDefault="00026F40">
      <w:r>
        <w:separator/>
      </w:r>
    </w:p>
  </w:endnote>
  <w:endnote w:type="continuationSeparator" w:id="0">
    <w:p w:rsidR="00026F40" w:rsidRDefault="0002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4B8" w:rsidRDefault="00026F40">
    <w:pPr>
      <w:pStyle w:val="ad"/>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B04B8" w:rsidRDefault="00026F40">
                          <w:pPr>
                            <w:pStyle w:val="ad"/>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9E17D0">
                            <w:rPr>
                              <w:rFonts w:ascii="Times New Roman" w:hAnsi="Times New Roman"/>
                              <w:noProof/>
                              <w:sz w:val="21"/>
                              <w:szCs w:val="21"/>
                            </w:rPr>
                            <w:t>- 1 -</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B04B8" w:rsidRDefault="00026F40">
                    <w:pPr>
                      <w:pStyle w:val="ad"/>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9E17D0">
                      <w:rPr>
                        <w:rFonts w:ascii="Times New Roman" w:hAnsi="Times New Roman"/>
                        <w:noProof/>
                        <w:sz w:val="21"/>
                        <w:szCs w:val="21"/>
                      </w:rPr>
                      <w:t>- 1 -</w:t>
                    </w:r>
                    <w:r>
                      <w:rPr>
                        <w:rFonts w:ascii="Times New Roman" w:hAnsi="Times New Roman"/>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F40" w:rsidRDefault="00026F40">
      <w:r>
        <w:separator/>
      </w:r>
    </w:p>
  </w:footnote>
  <w:footnote w:type="continuationSeparator" w:id="0">
    <w:p w:rsidR="00026F40" w:rsidRDefault="00026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284" w:firstLine="0"/>
      </w:pPr>
      <w:rPr>
        <w:rFonts w:ascii="黑体" w:eastAsia="黑体" w:hAnsi="Times New Roman" w:hint="eastAsia"/>
        <w:b w:val="0"/>
        <w:i w:val="0"/>
        <w:sz w:val="21"/>
        <w:szCs w:val="21"/>
      </w:rPr>
    </w:lvl>
    <w:lvl w:ilvl="1">
      <w:start w:val="1"/>
      <w:numFmt w:val="decimal"/>
      <w:pStyle w:val="a0"/>
      <w:suff w:val="nothing"/>
      <w:lvlText w:val="%1.%2　"/>
      <w:lvlJc w:val="left"/>
      <w:pPr>
        <w:ind w:left="42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27BC720"/>
    <w:multiLevelType w:val="singleLevel"/>
    <w:tmpl w:val="627BC720"/>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jc4ZWNlYTRhZGZlNDJkNWZkYTEzODFhZmZlZWMifQ=="/>
  </w:docVars>
  <w:rsids>
    <w:rsidRoot w:val="495D629C"/>
    <w:rsid w:val="00026F40"/>
    <w:rsid w:val="00033811"/>
    <w:rsid w:val="00045374"/>
    <w:rsid w:val="0007168E"/>
    <w:rsid w:val="00072090"/>
    <w:rsid w:val="000A3E57"/>
    <w:rsid w:val="000D09FD"/>
    <w:rsid w:val="000D2566"/>
    <w:rsid w:val="000E1DCF"/>
    <w:rsid w:val="00194E17"/>
    <w:rsid w:val="001D3175"/>
    <w:rsid w:val="00222270"/>
    <w:rsid w:val="00243E6B"/>
    <w:rsid w:val="0027760F"/>
    <w:rsid w:val="00291F9D"/>
    <w:rsid w:val="002A6961"/>
    <w:rsid w:val="002D3279"/>
    <w:rsid w:val="002F796B"/>
    <w:rsid w:val="00340BC8"/>
    <w:rsid w:val="0034419B"/>
    <w:rsid w:val="003769C8"/>
    <w:rsid w:val="00391732"/>
    <w:rsid w:val="003A4BAE"/>
    <w:rsid w:val="003B04B8"/>
    <w:rsid w:val="003E58A3"/>
    <w:rsid w:val="004509A0"/>
    <w:rsid w:val="00486765"/>
    <w:rsid w:val="004B29BD"/>
    <w:rsid w:val="004C3DC6"/>
    <w:rsid w:val="004F26CF"/>
    <w:rsid w:val="004F7B02"/>
    <w:rsid w:val="005115E5"/>
    <w:rsid w:val="00531859"/>
    <w:rsid w:val="005359C3"/>
    <w:rsid w:val="00550657"/>
    <w:rsid w:val="005902DD"/>
    <w:rsid w:val="005B154B"/>
    <w:rsid w:val="005C73A8"/>
    <w:rsid w:val="005E33F9"/>
    <w:rsid w:val="005E749B"/>
    <w:rsid w:val="00637B87"/>
    <w:rsid w:val="00664414"/>
    <w:rsid w:val="00692114"/>
    <w:rsid w:val="006A3039"/>
    <w:rsid w:val="006F3F62"/>
    <w:rsid w:val="006F40D6"/>
    <w:rsid w:val="00724BFA"/>
    <w:rsid w:val="00741324"/>
    <w:rsid w:val="00783499"/>
    <w:rsid w:val="007E5C79"/>
    <w:rsid w:val="007F3162"/>
    <w:rsid w:val="008418F6"/>
    <w:rsid w:val="00867449"/>
    <w:rsid w:val="00870122"/>
    <w:rsid w:val="008A49E9"/>
    <w:rsid w:val="008F1F2B"/>
    <w:rsid w:val="008F5EF3"/>
    <w:rsid w:val="009149F8"/>
    <w:rsid w:val="009E17D0"/>
    <w:rsid w:val="009E212B"/>
    <w:rsid w:val="009E73A3"/>
    <w:rsid w:val="009F77A5"/>
    <w:rsid w:val="00A05F97"/>
    <w:rsid w:val="00A17DA4"/>
    <w:rsid w:val="00A24283"/>
    <w:rsid w:val="00A24298"/>
    <w:rsid w:val="00A3481E"/>
    <w:rsid w:val="00A47C7B"/>
    <w:rsid w:val="00AB18C9"/>
    <w:rsid w:val="00AF6AB7"/>
    <w:rsid w:val="00BC6A2B"/>
    <w:rsid w:val="00BD605B"/>
    <w:rsid w:val="00C04B97"/>
    <w:rsid w:val="00C43B1E"/>
    <w:rsid w:val="00C65989"/>
    <w:rsid w:val="00CA0B00"/>
    <w:rsid w:val="00CA483F"/>
    <w:rsid w:val="00CE7341"/>
    <w:rsid w:val="00D06833"/>
    <w:rsid w:val="00D17405"/>
    <w:rsid w:val="00DD1D5B"/>
    <w:rsid w:val="00DF37C2"/>
    <w:rsid w:val="00E02548"/>
    <w:rsid w:val="00E13CFE"/>
    <w:rsid w:val="00E26DD0"/>
    <w:rsid w:val="00E36685"/>
    <w:rsid w:val="00E905E6"/>
    <w:rsid w:val="00E9232E"/>
    <w:rsid w:val="00EB267F"/>
    <w:rsid w:val="00F07C8A"/>
    <w:rsid w:val="00F37400"/>
    <w:rsid w:val="00F42907"/>
    <w:rsid w:val="00F47811"/>
    <w:rsid w:val="00F83309"/>
    <w:rsid w:val="00FD0B57"/>
    <w:rsid w:val="014A29FB"/>
    <w:rsid w:val="01D57021"/>
    <w:rsid w:val="01E70628"/>
    <w:rsid w:val="01E765D3"/>
    <w:rsid w:val="02097107"/>
    <w:rsid w:val="021A5834"/>
    <w:rsid w:val="02325068"/>
    <w:rsid w:val="02391A30"/>
    <w:rsid w:val="0339392D"/>
    <w:rsid w:val="036628E9"/>
    <w:rsid w:val="038A01B0"/>
    <w:rsid w:val="038F15AB"/>
    <w:rsid w:val="03CB05F4"/>
    <w:rsid w:val="0421770F"/>
    <w:rsid w:val="04390EE3"/>
    <w:rsid w:val="054F47CB"/>
    <w:rsid w:val="05B32976"/>
    <w:rsid w:val="05C869C2"/>
    <w:rsid w:val="061F70AC"/>
    <w:rsid w:val="06510766"/>
    <w:rsid w:val="06652463"/>
    <w:rsid w:val="06B14D21"/>
    <w:rsid w:val="06B6041D"/>
    <w:rsid w:val="06FD04EE"/>
    <w:rsid w:val="0702724E"/>
    <w:rsid w:val="07230D7D"/>
    <w:rsid w:val="073A38EF"/>
    <w:rsid w:val="07585EEB"/>
    <w:rsid w:val="07BD39DB"/>
    <w:rsid w:val="084C600E"/>
    <w:rsid w:val="090417FC"/>
    <w:rsid w:val="09D02316"/>
    <w:rsid w:val="0AFB3396"/>
    <w:rsid w:val="0B2C2647"/>
    <w:rsid w:val="0B3805DC"/>
    <w:rsid w:val="0BCE4606"/>
    <w:rsid w:val="0BF13DC2"/>
    <w:rsid w:val="0C0063AB"/>
    <w:rsid w:val="0C3433F7"/>
    <w:rsid w:val="0C530BAB"/>
    <w:rsid w:val="0CD619C5"/>
    <w:rsid w:val="0D057296"/>
    <w:rsid w:val="0D725712"/>
    <w:rsid w:val="0DE932A6"/>
    <w:rsid w:val="0E7C1CF4"/>
    <w:rsid w:val="0E8D69FB"/>
    <w:rsid w:val="0FAA4129"/>
    <w:rsid w:val="10C55EF6"/>
    <w:rsid w:val="118E3392"/>
    <w:rsid w:val="11AB243F"/>
    <w:rsid w:val="11B75D27"/>
    <w:rsid w:val="124B6938"/>
    <w:rsid w:val="12E60189"/>
    <w:rsid w:val="131642CC"/>
    <w:rsid w:val="137A57FE"/>
    <w:rsid w:val="14060DE1"/>
    <w:rsid w:val="148969BF"/>
    <w:rsid w:val="15111760"/>
    <w:rsid w:val="15170DCC"/>
    <w:rsid w:val="15456501"/>
    <w:rsid w:val="15BB4707"/>
    <w:rsid w:val="161A0B74"/>
    <w:rsid w:val="161D2209"/>
    <w:rsid w:val="162463B3"/>
    <w:rsid w:val="16263E79"/>
    <w:rsid w:val="174263C1"/>
    <w:rsid w:val="17E177F9"/>
    <w:rsid w:val="184F526C"/>
    <w:rsid w:val="18D63C3C"/>
    <w:rsid w:val="19240D65"/>
    <w:rsid w:val="19CC3B2B"/>
    <w:rsid w:val="1A2F0966"/>
    <w:rsid w:val="1AC4111B"/>
    <w:rsid w:val="1AD5775F"/>
    <w:rsid w:val="1C9F1DD3"/>
    <w:rsid w:val="1DCF26C2"/>
    <w:rsid w:val="1F404B09"/>
    <w:rsid w:val="20993E6F"/>
    <w:rsid w:val="20B84D62"/>
    <w:rsid w:val="214D3D8B"/>
    <w:rsid w:val="218724E0"/>
    <w:rsid w:val="21B67349"/>
    <w:rsid w:val="22090C3B"/>
    <w:rsid w:val="2217240B"/>
    <w:rsid w:val="22312F3A"/>
    <w:rsid w:val="228D50BC"/>
    <w:rsid w:val="229E70CD"/>
    <w:rsid w:val="22CA3F38"/>
    <w:rsid w:val="2303790B"/>
    <w:rsid w:val="231D302B"/>
    <w:rsid w:val="234E077A"/>
    <w:rsid w:val="2365769E"/>
    <w:rsid w:val="23A979DB"/>
    <w:rsid w:val="25464FB6"/>
    <w:rsid w:val="25CD7E68"/>
    <w:rsid w:val="25F07DBB"/>
    <w:rsid w:val="26926505"/>
    <w:rsid w:val="27220444"/>
    <w:rsid w:val="273A388E"/>
    <w:rsid w:val="27D34FF4"/>
    <w:rsid w:val="27E6057B"/>
    <w:rsid w:val="27F301A1"/>
    <w:rsid w:val="28167664"/>
    <w:rsid w:val="2B527744"/>
    <w:rsid w:val="2B9A31F1"/>
    <w:rsid w:val="2BC12CFA"/>
    <w:rsid w:val="2BC379D1"/>
    <w:rsid w:val="2C632D5D"/>
    <w:rsid w:val="2CC953BD"/>
    <w:rsid w:val="2D1E4F96"/>
    <w:rsid w:val="2DAC2888"/>
    <w:rsid w:val="2DCC45C6"/>
    <w:rsid w:val="2DE22BE3"/>
    <w:rsid w:val="2E5B7B24"/>
    <w:rsid w:val="2E836087"/>
    <w:rsid w:val="2EC349C0"/>
    <w:rsid w:val="2EC9135C"/>
    <w:rsid w:val="306D4751"/>
    <w:rsid w:val="325839EC"/>
    <w:rsid w:val="331B2A61"/>
    <w:rsid w:val="342600EE"/>
    <w:rsid w:val="348401D4"/>
    <w:rsid w:val="3491429F"/>
    <w:rsid w:val="359600B1"/>
    <w:rsid w:val="35D33762"/>
    <w:rsid w:val="35DA4B63"/>
    <w:rsid w:val="36921F9A"/>
    <w:rsid w:val="37FA5E67"/>
    <w:rsid w:val="39900D74"/>
    <w:rsid w:val="39E72B45"/>
    <w:rsid w:val="3A477CBD"/>
    <w:rsid w:val="3B32715C"/>
    <w:rsid w:val="3B4838F9"/>
    <w:rsid w:val="3CCD2507"/>
    <w:rsid w:val="3CE3298B"/>
    <w:rsid w:val="3D09103E"/>
    <w:rsid w:val="3D326BEE"/>
    <w:rsid w:val="3D3C4E79"/>
    <w:rsid w:val="3D45293D"/>
    <w:rsid w:val="3DC816D3"/>
    <w:rsid w:val="3E606AB4"/>
    <w:rsid w:val="3E6C5360"/>
    <w:rsid w:val="3EB44211"/>
    <w:rsid w:val="3EC86EDB"/>
    <w:rsid w:val="3F4A1C92"/>
    <w:rsid w:val="40E942DB"/>
    <w:rsid w:val="415E0DDA"/>
    <w:rsid w:val="41650F8E"/>
    <w:rsid w:val="41F22911"/>
    <w:rsid w:val="42061DDA"/>
    <w:rsid w:val="421133C5"/>
    <w:rsid w:val="4215200F"/>
    <w:rsid w:val="42D35B70"/>
    <w:rsid w:val="451F2F53"/>
    <w:rsid w:val="45225855"/>
    <w:rsid w:val="45DB20A0"/>
    <w:rsid w:val="461C20B2"/>
    <w:rsid w:val="465313B5"/>
    <w:rsid w:val="46CE30E9"/>
    <w:rsid w:val="47206B69"/>
    <w:rsid w:val="472D077D"/>
    <w:rsid w:val="47AB577D"/>
    <w:rsid w:val="495D629C"/>
    <w:rsid w:val="49A31F6D"/>
    <w:rsid w:val="49D12BB1"/>
    <w:rsid w:val="4A525E27"/>
    <w:rsid w:val="4A576DAC"/>
    <w:rsid w:val="4AA5064D"/>
    <w:rsid w:val="4AC15FD8"/>
    <w:rsid w:val="4AC81310"/>
    <w:rsid w:val="4B8B7BFF"/>
    <w:rsid w:val="4DA4699A"/>
    <w:rsid w:val="4DB61257"/>
    <w:rsid w:val="4E090B8D"/>
    <w:rsid w:val="4EBE1019"/>
    <w:rsid w:val="4EBE41A3"/>
    <w:rsid w:val="4EE45607"/>
    <w:rsid w:val="4F2E29BF"/>
    <w:rsid w:val="4FAE10BE"/>
    <w:rsid w:val="515727CF"/>
    <w:rsid w:val="51CA5574"/>
    <w:rsid w:val="528B4028"/>
    <w:rsid w:val="529C0587"/>
    <w:rsid w:val="52BF1832"/>
    <w:rsid w:val="52EE2067"/>
    <w:rsid w:val="53133D0B"/>
    <w:rsid w:val="53373CD4"/>
    <w:rsid w:val="534F1156"/>
    <w:rsid w:val="539478A9"/>
    <w:rsid w:val="53CE52B2"/>
    <w:rsid w:val="543E5359"/>
    <w:rsid w:val="546B3B83"/>
    <w:rsid w:val="55196451"/>
    <w:rsid w:val="552D319F"/>
    <w:rsid w:val="55742EE0"/>
    <w:rsid w:val="55D34B7C"/>
    <w:rsid w:val="57A42861"/>
    <w:rsid w:val="57D55970"/>
    <w:rsid w:val="58D444F9"/>
    <w:rsid w:val="59457DDE"/>
    <w:rsid w:val="598D6B52"/>
    <w:rsid w:val="5AB03EA0"/>
    <w:rsid w:val="5ACC0723"/>
    <w:rsid w:val="5B3B6725"/>
    <w:rsid w:val="5BFB730F"/>
    <w:rsid w:val="5C947990"/>
    <w:rsid w:val="5CB25E65"/>
    <w:rsid w:val="5CB84210"/>
    <w:rsid w:val="5CDB5809"/>
    <w:rsid w:val="5D187F6C"/>
    <w:rsid w:val="5D1E0517"/>
    <w:rsid w:val="5D7B57A1"/>
    <w:rsid w:val="5F21507E"/>
    <w:rsid w:val="5F281184"/>
    <w:rsid w:val="5F2B2A77"/>
    <w:rsid w:val="5F616F40"/>
    <w:rsid w:val="5F9F5213"/>
    <w:rsid w:val="5FAA3012"/>
    <w:rsid w:val="60D66048"/>
    <w:rsid w:val="61D043E3"/>
    <w:rsid w:val="622332D3"/>
    <w:rsid w:val="630C7063"/>
    <w:rsid w:val="632D2297"/>
    <w:rsid w:val="63784E0A"/>
    <w:rsid w:val="63A454EE"/>
    <w:rsid w:val="64633FAD"/>
    <w:rsid w:val="64823370"/>
    <w:rsid w:val="65B35574"/>
    <w:rsid w:val="65BA3B59"/>
    <w:rsid w:val="661A65B0"/>
    <w:rsid w:val="66742BB3"/>
    <w:rsid w:val="668977B7"/>
    <w:rsid w:val="66B450DE"/>
    <w:rsid w:val="66C46E1E"/>
    <w:rsid w:val="67451D08"/>
    <w:rsid w:val="67740933"/>
    <w:rsid w:val="67780823"/>
    <w:rsid w:val="688F22C8"/>
    <w:rsid w:val="69285995"/>
    <w:rsid w:val="698757FB"/>
    <w:rsid w:val="6B340F05"/>
    <w:rsid w:val="6B645849"/>
    <w:rsid w:val="6BB34520"/>
    <w:rsid w:val="6BBD22E6"/>
    <w:rsid w:val="6CCD626C"/>
    <w:rsid w:val="6DA41F51"/>
    <w:rsid w:val="6DC67AB7"/>
    <w:rsid w:val="6E2B31C7"/>
    <w:rsid w:val="6ED66FA1"/>
    <w:rsid w:val="6FDE7DEE"/>
    <w:rsid w:val="70A81AE5"/>
    <w:rsid w:val="70F32E4C"/>
    <w:rsid w:val="72021562"/>
    <w:rsid w:val="74885803"/>
    <w:rsid w:val="75827882"/>
    <w:rsid w:val="76733229"/>
    <w:rsid w:val="77C52B34"/>
    <w:rsid w:val="77CA4DEB"/>
    <w:rsid w:val="77E02885"/>
    <w:rsid w:val="789A5DB2"/>
    <w:rsid w:val="78D36201"/>
    <w:rsid w:val="79015521"/>
    <w:rsid w:val="796F210D"/>
    <w:rsid w:val="79897C48"/>
    <w:rsid w:val="79935534"/>
    <w:rsid w:val="79A80F84"/>
    <w:rsid w:val="79A840C5"/>
    <w:rsid w:val="79CB3CB1"/>
    <w:rsid w:val="79D951C5"/>
    <w:rsid w:val="7A0C78FF"/>
    <w:rsid w:val="7BF04A6C"/>
    <w:rsid w:val="7C446B37"/>
    <w:rsid w:val="7C6D5DE8"/>
    <w:rsid w:val="7D476C12"/>
    <w:rsid w:val="7D5055DF"/>
    <w:rsid w:val="7D64006E"/>
    <w:rsid w:val="7D9C47B0"/>
    <w:rsid w:val="7DB440A4"/>
    <w:rsid w:val="7DB61018"/>
    <w:rsid w:val="7E0B22B1"/>
    <w:rsid w:val="7FF5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8FD841-6238-403A-A33E-5CAFDB43C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n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rFonts w:ascii="等线" w:eastAsia="等线" w:hAnsi="等线" w:cs="Times New Roman"/>
      <w:kern w:val="2"/>
      <w:sz w:val="21"/>
      <w:szCs w:val="22"/>
    </w:rPr>
  </w:style>
  <w:style w:type="paragraph" w:styleId="2">
    <w:name w:val="heading 2"/>
    <w:basedOn w:val="a5"/>
    <w:next w:val="a5"/>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pPr>
      <w:jc w:val="left"/>
    </w:pPr>
  </w:style>
  <w:style w:type="paragraph" w:styleId="ab">
    <w:name w:val="Balloon Text"/>
    <w:basedOn w:val="a5"/>
    <w:link w:val="ac"/>
    <w:qFormat/>
    <w:rPr>
      <w:sz w:val="18"/>
      <w:szCs w:val="18"/>
    </w:rPr>
  </w:style>
  <w:style w:type="paragraph" w:styleId="ad">
    <w:name w:val="footer"/>
    <w:basedOn w:val="a5"/>
    <w:link w:val="ae"/>
    <w:qFormat/>
    <w:pPr>
      <w:tabs>
        <w:tab w:val="center" w:pos="4153"/>
        <w:tab w:val="right" w:pos="8306"/>
      </w:tabs>
      <w:snapToGrid w:val="0"/>
      <w:jc w:val="left"/>
    </w:pPr>
    <w:rPr>
      <w:sz w:val="18"/>
      <w:szCs w:val="18"/>
    </w:rPr>
  </w:style>
  <w:style w:type="paragraph" w:styleId="af">
    <w:name w:val="header"/>
    <w:basedOn w:val="a5"/>
    <w:link w:val="af0"/>
    <w:qFormat/>
    <w:pPr>
      <w:pBdr>
        <w:bottom w:val="single" w:sz="6" w:space="1" w:color="auto"/>
      </w:pBdr>
      <w:tabs>
        <w:tab w:val="center" w:pos="4153"/>
        <w:tab w:val="right" w:pos="8306"/>
      </w:tabs>
      <w:snapToGrid w:val="0"/>
      <w:jc w:val="center"/>
    </w:pPr>
    <w:rPr>
      <w:sz w:val="18"/>
      <w:szCs w:val="18"/>
    </w:rPr>
  </w:style>
  <w:style w:type="paragraph" w:styleId="af1">
    <w:name w:val="annotation subject"/>
    <w:basedOn w:val="a9"/>
    <w:next w:val="a9"/>
    <w:link w:val="af2"/>
    <w:rPr>
      <w:b/>
      <w:bCs/>
    </w:rPr>
  </w:style>
  <w:style w:type="table" w:styleId="af3">
    <w:name w:val="Table Grid"/>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line number"/>
    <w:basedOn w:val="a6"/>
    <w:qFormat/>
  </w:style>
  <w:style w:type="character" w:styleId="af5">
    <w:name w:val="annotation reference"/>
    <w:basedOn w:val="a6"/>
    <w:rPr>
      <w:sz w:val="21"/>
      <w:szCs w:val="21"/>
    </w:rPr>
  </w:style>
  <w:style w:type="paragraph" w:styleId="af6">
    <w:name w:val="List Paragraph"/>
    <w:basedOn w:val="a5"/>
    <w:uiPriority w:val="34"/>
    <w:qFormat/>
    <w:pPr>
      <w:ind w:firstLineChars="200" w:firstLine="420"/>
    </w:pPr>
  </w:style>
  <w:style w:type="paragraph" w:customStyle="1" w:styleId="af7">
    <w:name w:val="调查项目"/>
    <w:basedOn w:val="a5"/>
    <w:qFormat/>
    <w:pPr>
      <w:widowControl/>
      <w:jc w:val="left"/>
      <w:outlineLvl w:val="1"/>
    </w:pPr>
    <w:rPr>
      <w:rFonts w:ascii="Tahoma" w:eastAsia="黑体" w:hAnsi="Tahoma"/>
      <w:bCs/>
      <w:color w:val="333399"/>
      <w:kern w:val="0"/>
      <w:sz w:val="18"/>
      <w:szCs w:val="18"/>
    </w:rPr>
  </w:style>
  <w:style w:type="paragraph" w:customStyle="1" w:styleId="af8">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9">
    <w:name w:val="表格正文文本"/>
    <w:basedOn w:val="a5"/>
    <w:qFormat/>
    <w:pPr>
      <w:widowControl/>
      <w:jc w:val="center"/>
    </w:pPr>
    <w:rPr>
      <w:rFonts w:ascii="Tahoma" w:eastAsia="宋体" w:hAnsi="Tahoma"/>
      <w:kern w:val="0"/>
      <w:sz w:val="18"/>
      <w:szCs w:val="20"/>
    </w:rPr>
  </w:style>
  <w:style w:type="paragraph" w:customStyle="1" w:styleId="afa">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a"/>
    <w:qFormat/>
    <w:rPr>
      <w:rFonts w:ascii="宋体"/>
      <w:sz w:val="21"/>
    </w:rPr>
  </w:style>
  <w:style w:type="paragraph" w:customStyle="1" w:styleId="a0">
    <w:name w:val="一级条标题"/>
    <w:next w:val="afa"/>
    <w:qFormat/>
    <w:pPr>
      <w:numPr>
        <w:ilvl w:val="1"/>
        <w:numId w:val="1"/>
      </w:numPr>
      <w:spacing w:beforeLines="50" w:before="156" w:afterLines="50" w:after="156"/>
      <w:ind w:left="0"/>
      <w:outlineLvl w:val="2"/>
    </w:pPr>
    <w:rPr>
      <w:rFonts w:ascii="黑体" w:eastAsia="黑体" w:hAnsi="Times New Roman" w:cs="Times New Roman"/>
      <w:sz w:val="21"/>
      <w:szCs w:val="21"/>
    </w:rPr>
  </w:style>
  <w:style w:type="paragraph" w:customStyle="1" w:styleId="a">
    <w:name w:val="章标题"/>
    <w:next w:val="afa"/>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fa"/>
    <w:qFormat/>
    <w:pPr>
      <w:numPr>
        <w:ilvl w:val="2"/>
      </w:numPr>
      <w:spacing w:before="50" w:after="50"/>
      <w:outlineLvl w:val="3"/>
    </w:pPr>
  </w:style>
  <w:style w:type="paragraph" w:customStyle="1" w:styleId="a2">
    <w:name w:val="三级条标题"/>
    <w:basedOn w:val="a1"/>
    <w:next w:val="afa"/>
    <w:qFormat/>
    <w:pPr>
      <w:numPr>
        <w:ilvl w:val="3"/>
      </w:numPr>
      <w:outlineLvl w:val="4"/>
    </w:pPr>
  </w:style>
  <w:style w:type="paragraph" w:customStyle="1" w:styleId="a3">
    <w:name w:val="四级条标题"/>
    <w:basedOn w:val="a2"/>
    <w:next w:val="afa"/>
    <w:qFormat/>
    <w:pPr>
      <w:numPr>
        <w:ilvl w:val="4"/>
      </w:numPr>
      <w:outlineLvl w:val="5"/>
    </w:pPr>
  </w:style>
  <w:style w:type="paragraph" w:customStyle="1" w:styleId="a4">
    <w:name w:val="五级条标题"/>
    <w:basedOn w:val="a3"/>
    <w:next w:val="afa"/>
    <w:qFormat/>
    <w:pPr>
      <w:numPr>
        <w:ilvl w:val="5"/>
      </w:numPr>
      <w:outlineLvl w:val="6"/>
    </w:pPr>
  </w:style>
  <w:style w:type="character" w:customStyle="1" w:styleId="af0">
    <w:name w:val="页眉 字符"/>
    <w:basedOn w:val="a6"/>
    <w:link w:val="af"/>
    <w:qFormat/>
    <w:rPr>
      <w:rFonts w:ascii="等线" w:eastAsia="等线" w:hAnsi="等线"/>
      <w:kern w:val="2"/>
      <w:sz w:val="18"/>
      <w:szCs w:val="18"/>
    </w:rPr>
  </w:style>
  <w:style w:type="character" w:customStyle="1" w:styleId="ae">
    <w:name w:val="页脚 字符"/>
    <w:basedOn w:val="a6"/>
    <w:link w:val="ad"/>
    <w:qFormat/>
    <w:rPr>
      <w:rFonts w:ascii="等线" w:eastAsia="等线" w:hAnsi="等线"/>
      <w:kern w:val="2"/>
      <w:sz w:val="18"/>
      <w:szCs w:val="18"/>
    </w:rPr>
  </w:style>
  <w:style w:type="character" w:customStyle="1" w:styleId="ac">
    <w:name w:val="批注框文本 字符"/>
    <w:basedOn w:val="a6"/>
    <w:link w:val="ab"/>
    <w:qFormat/>
    <w:rPr>
      <w:rFonts w:ascii="等线" w:eastAsia="等线" w:hAnsi="等线"/>
      <w:kern w:val="2"/>
      <w:sz w:val="18"/>
      <w:szCs w:val="18"/>
    </w:rPr>
  </w:style>
  <w:style w:type="character" w:customStyle="1" w:styleId="aa">
    <w:name w:val="批注文字 字符"/>
    <w:basedOn w:val="a6"/>
    <w:link w:val="a9"/>
    <w:qFormat/>
    <w:rPr>
      <w:rFonts w:ascii="等线" w:eastAsia="等线" w:hAnsi="等线" w:cs="Times New Roman"/>
      <w:kern w:val="2"/>
      <w:sz w:val="21"/>
      <w:szCs w:val="22"/>
    </w:rPr>
  </w:style>
  <w:style w:type="character" w:customStyle="1" w:styleId="af2">
    <w:name w:val="批注主题 字符"/>
    <w:basedOn w:val="aa"/>
    <w:link w:val="af1"/>
    <w:qFormat/>
    <w:rPr>
      <w:rFonts w:ascii="等线" w:eastAsia="等线" w:hAnsi="等线"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1310</Words>
  <Characters>7472</Characters>
  <Application>Microsoft Office Word</Application>
  <DocSecurity>0</DocSecurity>
  <Lines>62</Lines>
  <Paragraphs>17</Paragraphs>
  <ScaleCrop>false</ScaleCrop>
  <Company>神州网信技术有限公司</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dc:creator>
  <cp:lastModifiedBy>高田</cp:lastModifiedBy>
  <cp:revision>67</cp:revision>
  <dcterms:created xsi:type="dcterms:W3CDTF">2023-04-19T01:16:00Z</dcterms:created>
  <dcterms:modified xsi:type="dcterms:W3CDTF">2026-03-03T07:23:00Z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19FC029241DE4EB1AD3E05488DDFA4D1_13</vt:lpwstr>
  </property>
</Properties>
</file>