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6BFA8" w14:textId="617CC99E" w:rsidR="000968B5" w:rsidRPr="008B6261" w:rsidRDefault="009B4049" w:rsidP="00AB740F">
      <w:pPr>
        <w:snapToGrid w:val="0"/>
        <w:spacing w:line="520" w:lineRule="exact"/>
        <w:jc w:val="center"/>
        <w:rPr>
          <w:rFonts w:ascii="Times New Roman" w:eastAsia="方正小标宋简体" w:hAnsi="Times New Roman"/>
          <w:color w:val="000000"/>
          <w:sz w:val="44"/>
          <w:szCs w:val="44"/>
        </w:rPr>
      </w:pPr>
      <w:r w:rsidRPr="008B6261">
        <w:rPr>
          <w:rFonts w:ascii="Times New Roman" w:eastAsia="方正小标宋简体" w:hAnsi="Times New Roman"/>
          <w:color w:val="000000"/>
          <w:sz w:val="44"/>
          <w:szCs w:val="44"/>
        </w:rPr>
        <w:t>临时心脏</w:t>
      </w:r>
      <w:r w:rsidR="00714810" w:rsidRPr="008B6261">
        <w:rPr>
          <w:rFonts w:ascii="Times New Roman" w:eastAsia="方正小标宋简体" w:hAnsi="Times New Roman"/>
          <w:color w:val="000000"/>
          <w:sz w:val="44"/>
          <w:szCs w:val="44"/>
        </w:rPr>
        <w:t>起搏</w:t>
      </w:r>
      <w:r w:rsidRPr="008B6261">
        <w:rPr>
          <w:rFonts w:ascii="Times New Roman" w:eastAsia="方正小标宋简体" w:hAnsi="Times New Roman"/>
          <w:color w:val="000000"/>
          <w:sz w:val="44"/>
          <w:szCs w:val="44"/>
        </w:rPr>
        <w:t>电极导线</w:t>
      </w:r>
      <w:r w:rsidR="008A11F3" w:rsidRPr="008B6261">
        <w:rPr>
          <w:rFonts w:ascii="Times New Roman" w:eastAsia="方正小标宋简体" w:hAnsi="Times New Roman" w:hint="eastAsia"/>
          <w:color w:val="000000"/>
          <w:sz w:val="44"/>
          <w:szCs w:val="44"/>
        </w:rPr>
        <w:t>技术</w:t>
      </w:r>
      <w:r w:rsidR="000968B5" w:rsidRPr="008B6261">
        <w:rPr>
          <w:rFonts w:ascii="Times New Roman" w:eastAsia="方正小标宋简体" w:hAnsi="Times New Roman"/>
          <w:color w:val="000000"/>
          <w:sz w:val="44"/>
          <w:szCs w:val="44"/>
        </w:rPr>
        <w:t>审评要点</w:t>
      </w:r>
    </w:p>
    <w:p w14:paraId="75637B2D" w14:textId="77777777" w:rsidR="00AB740F" w:rsidRPr="008B6261" w:rsidRDefault="00AB740F" w:rsidP="00AB740F">
      <w:pPr>
        <w:snapToGrid w:val="0"/>
        <w:spacing w:line="520" w:lineRule="exact"/>
        <w:jc w:val="center"/>
        <w:rPr>
          <w:rFonts w:ascii="Times New Roman" w:eastAsia="方正小标宋简体" w:hAnsi="Times New Roman"/>
          <w:color w:val="000000"/>
          <w:sz w:val="44"/>
          <w:szCs w:val="44"/>
        </w:rPr>
      </w:pPr>
      <w:r w:rsidRPr="008B6261">
        <w:rPr>
          <w:rFonts w:ascii="Times New Roman" w:eastAsia="方正小标宋简体" w:hAnsi="Times New Roman"/>
          <w:color w:val="000000"/>
          <w:sz w:val="44"/>
          <w:szCs w:val="44"/>
        </w:rPr>
        <w:t>（征求意见稿）</w:t>
      </w:r>
    </w:p>
    <w:p w14:paraId="047963D0" w14:textId="77777777" w:rsidR="0026120F" w:rsidRPr="008B6261" w:rsidRDefault="0026120F" w:rsidP="00AB740F">
      <w:pPr>
        <w:snapToGrid w:val="0"/>
        <w:spacing w:line="520" w:lineRule="exact"/>
        <w:ind w:firstLineChars="200" w:firstLine="640"/>
        <w:rPr>
          <w:rFonts w:ascii="Times New Roman" w:eastAsia="黑体" w:hAnsi="Times New Roman"/>
          <w:color w:val="000000"/>
          <w:sz w:val="32"/>
          <w:szCs w:val="32"/>
        </w:rPr>
      </w:pPr>
    </w:p>
    <w:p w14:paraId="6C42497C" w14:textId="4F1731A6" w:rsidR="00B92EC2" w:rsidRPr="008B6261" w:rsidRDefault="00B92EC2" w:rsidP="008A11F3">
      <w:pPr>
        <w:snapToGrid w:val="0"/>
        <w:spacing w:line="520" w:lineRule="exact"/>
        <w:ind w:firstLineChars="200" w:firstLine="640"/>
        <w:rPr>
          <w:rFonts w:ascii="Times New Roman" w:eastAsia="仿宋_GB2312" w:hAnsi="Times New Roman"/>
          <w:kern w:val="0"/>
          <w:sz w:val="32"/>
          <w:szCs w:val="32"/>
        </w:rPr>
      </w:pPr>
      <w:r w:rsidRPr="008B6261">
        <w:rPr>
          <w:rFonts w:ascii="Times New Roman" w:eastAsia="仿宋_GB2312" w:hAnsi="Times New Roman" w:hint="eastAsia"/>
          <w:kern w:val="0"/>
          <w:sz w:val="32"/>
          <w:szCs w:val="32"/>
        </w:rPr>
        <w:t>本审评要点是临时心脏起搏电极导线</w:t>
      </w:r>
      <w:r w:rsidRPr="008B6261">
        <w:rPr>
          <w:rFonts w:ascii="Times New Roman" w:eastAsia="仿宋_GB2312" w:hAnsi="Times New Roman" w:hint="eastAsia"/>
          <w:sz w:val="32"/>
        </w:rPr>
        <w:t>安全性、有效性</w:t>
      </w:r>
      <w:r w:rsidRPr="008B6261">
        <w:rPr>
          <w:rFonts w:ascii="Times New Roman" w:eastAsia="仿宋_GB2312" w:hAnsi="Times New Roman"/>
          <w:sz w:val="32"/>
        </w:rPr>
        <w:t>和质量控制方面有重要影响的技术要求</w:t>
      </w:r>
      <w:r w:rsidRPr="008B6261">
        <w:rPr>
          <w:rFonts w:ascii="Times New Roman" w:eastAsia="仿宋_GB2312" w:hAnsi="Times New Roman" w:hint="eastAsia"/>
          <w:sz w:val="32"/>
        </w:rPr>
        <w:t>/</w:t>
      </w:r>
      <w:r w:rsidRPr="008B6261">
        <w:rPr>
          <w:rFonts w:ascii="Times New Roman" w:eastAsia="仿宋_GB2312" w:hAnsi="Times New Roman" w:hint="eastAsia"/>
          <w:sz w:val="32"/>
        </w:rPr>
        <w:t>审评</w:t>
      </w:r>
      <w:r w:rsidRPr="008B6261">
        <w:rPr>
          <w:rFonts w:ascii="Times New Roman" w:eastAsia="仿宋_GB2312" w:hAnsi="Times New Roman"/>
          <w:sz w:val="32"/>
        </w:rPr>
        <w:t>共识</w:t>
      </w:r>
      <w:r w:rsidRPr="008B6261">
        <w:rPr>
          <w:rFonts w:ascii="Times New Roman" w:eastAsia="仿宋_GB2312" w:hAnsi="Times New Roman" w:hint="eastAsia"/>
          <w:sz w:val="32"/>
        </w:rPr>
        <w:t>的</w:t>
      </w:r>
      <w:r w:rsidRPr="008B6261">
        <w:rPr>
          <w:rFonts w:ascii="Times New Roman" w:eastAsia="仿宋_GB2312" w:hAnsi="Times New Roman"/>
          <w:sz w:val="32"/>
        </w:rPr>
        <w:t>文件</w:t>
      </w:r>
      <w:r w:rsidRPr="008B6261">
        <w:rPr>
          <w:rFonts w:ascii="Times New Roman" w:eastAsia="仿宋_GB2312" w:hAnsi="Times New Roman" w:hint="eastAsia"/>
          <w:sz w:val="32"/>
        </w:rPr>
        <w:t>，</w:t>
      </w:r>
      <w:r w:rsidRPr="008B6261">
        <w:rPr>
          <w:rFonts w:ascii="Times New Roman" w:eastAsia="仿宋_GB2312" w:hAnsi="Times New Roman"/>
          <w:sz w:val="32"/>
        </w:rPr>
        <w:t>通过</w:t>
      </w:r>
      <w:r w:rsidRPr="008B6261">
        <w:rPr>
          <w:rFonts w:ascii="Times New Roman" w:eastAsia="仿宋_GB2312" w:hAnsi="Times New Roman" w:hint="eastAsia"/>
          <w:sz w:val="32"/>
        </w:rPr>
        <w:t>综合分析</w:t>
      </w:r>
      <w:r w:rsidRPr="008B6261">
        <w:rPr>
          <w:rFonts w:ascii="Times New Roman" w:eastAsia="仿宋_GB2312" w:hAnsi="Times New Roman" w:hint="eastAsia"/>
          <w:kern w:val="0"/>
          <w:sz w:val="32"/>
          <w:szCs w:val="32"/>
        </w:rPr>
        <w:t>临时心脏起搏电极导线</w:t>
      </w:r>
      <w:r w:rsidRPr="008B6261">
        <w:rPr>
          <w:rFonts w:ascii="Times New Roman" w:eastAsia="仿宋_GB2312" w:hAnsi="Times New Roman" w:hint="eastAsia"/>
          <w:bCs/>
          <w:color w:val="000000"/>
          <w:sz w:val="32"/>
          <w:szCs w:val="32"/>
        </w:rPr>
        <w:t>的风险和受益</w:t>
      </w:r>
      <w:r w:rsidRPr="008B6261">
        <w:rPr>
          <w:rFonts w:ascii="Times New Roman" w:eastAsia="仿宋_GB2312" w:hAnsi="Times New Roman"/>
          <w:sz w:val="32"/>
        </w:rPr>
        <w:t>信息和</w:t>
      </w:r>
      <w:r w:rsidRPr="008B6261">
        <w:rPr>
          <w:rFonts w:ascii="Times New Roman" w:eastAsia="仿宋_GB2312" w:hAnsi="Times New Roman" w:hint="eastAsia"/>
          <w:sz w:val="32"/>
        </w:rPr>
        <w:t>/</w:t>
      </w:r>
      <w:r w:rsidRPr="008B6261">
        <w:rPr>
          <w:rFonts w:ascii="Times New Roman" w:eastAsia="仿宋_GB2312" w:hAnsi="Times New Roman" w:hint="eastAsia"/>
          <w:sz w:val="32"/>
        </w:rPr>
        <w:t>或</w:t>
      </w:r>
      <w:r w:rsidRPr="008B6261">
        <w:rPr>
          <w:rFonts w:ascii="Times New Roman" w:eastAsia="仿宋_GB2312" w:hAnsi="Times New Roman" w:hint="eastAsia"/>
          <w:kern w:val="0"/>
          <w:sz w:val="32"/>
          <w:szCs w:val="32"/>
        </w:rPr>
        <w:t>临时心脏起搏电极导线</w:t>
      </w:r>
      <w:r w:rsidRPr="008B6261">
        <w:rPr>
          <w:rFonts w:ascii="Times New Roman" w:eastAsia="仿宋_GB2312" w:hAnsi="Times New Roman"/>
          <w:sz w:val="32"/>
        </w:rPr>
        <w:t>领域</w:t>
      </w:r>
      <w:r w:rsidRPr="008B6261">
        <w:rPr>
          <w:rFonts w:ascii="Times New Roman" w:eastAsia="仿宋_GB2312" w:hAnsi="Times New Roman" w:hint="eastAsia"/>
          <w:sz w:val="32"/>
        </w:rPr>
        <w:t>的科学研究</w:t>
      </w:r>
      <w:r w:rsidRPr="008B6261">
        <w:rPr>
          <w:rFonts w:ascii="Times New Roman" w:eastAsia="仿宋_GB2312" w:hAnsi="Times New Roman"/>
          <w:sz w:val="32"/>
        </w:rPr>
        <w:t>，提炼</w:t>
      </w:r>
      <w:r w:rsidRPr="008B6261">
        <w:rPr>
          <w:rFonts w:ascii="Times New Roman" w:eastAsia="仿宋_GB2312" w:hAnsi="Times New Roman" w:hint="eastAsia"/>
          <w:sz w:val="32"/>
        </w:rPr>
        <w:t>汇总为本文件，</w:t>
      </w:r>
      <w:r w:rsidRPr="008B6261">
        <w:rPr>
          <w:rFonts w:ascii="Times New Roman" w:eastAsia="仿宋_GB2312" w:hAnsi="Times New Roman"/>
          <w:sz w:val="32"/>
        </w:rPr>
        <w:t>用于规范技术审评工作</w:t>
      </w:r>
      <w:r w:rsidRPr="008B6261">
        <w:rPr>
          <w:rFonts w:ascii="Times New Roman" w:eastAsia="仿宋_GB2312" w:hAnsi="Times New Roman" w:hint="eastAsia"/>
          <w:sz w:val="32"/>
        </w:rPr>
        <w:t>，统一技术审评尺度</w:t>
      </w:r>
      <w:r w:rsidRPr="008B6261">
        <w:rPr>
          <w:rFonts w:ascii="Times New Roman" w:eastAsia="仿宋_GB2312" w:hAnsi="Times New Roman"/>
          <w:sz w:val="32"/>
        </w:rPr>
        <w:t>。</w:t>
      </w:r>
    </w:p>
    <w:p w14:paraId="460A1DB2" w14:textId="398FF2AE" w:rsidR="00B92EC2" w:rsidRPr="008B6261" w:rsidRDefault="00B92EC2" w:rsidP="008A11F3">
      <w:pPr>
        <w:spacing w:line="520" w:lineRule="exact"/>
        <w:ind w:firstLineChars="200" w:firstLine="640"/>
        <w:rPr>
          <w:rFonts w:ascii="Times New Roman" w:eastAsia="仿宋_GB2312" w:hAnsi="Times New Roman"/>
          <w:sz w:val="32"/>
        </w:rPr>
      </w:pPr>
      <w:r w:rsidRPr="008B6261">
        <w:rPr>
          <w:rFonts w:ascii="Times New Roman" w:eastAsia="仿宋_GB2312" w:hAnsi="Times New Roman" w:hint="eastAsia"/>
          <w:kern w:val="0"/>
          <w:sz w:val="32"/>
          <w:szCs w:val="32"/>
        </w:rPr>
        <w:t>本审评要点是对临时心脏起搏电极导线预期能达到安全和性能指标的验证</w:t>
      </w:r>
      <w:r w:rsidRPr="008B6261">
        <w:rPr>
          <w:rFonts w:ascii="Times New Roman" w:eastAsia="仿宋_GB2312" w:hAnsi="Times New Roman" w:hint="eastAsia"/>
          <w:kern w:val="0"/>
          <w:sz w:val="32"/>
          <w:szCs w:val="32"/>
        </w:rPr>
        <w:t>/</w:t>
      </w:r>
      <w:r w:rsidRPr="008B6261">
        <w:rPr>
          <w:rFonts w:ascii="Times New Roman" w:eastAsia="仿宋_GB2312" w:hAnsi="Times New Roman" w:hint="eastAsia"/>
          <w:kern w:val="0"/>
          <w:sz w:val="32"/>
          <w:szCs w:val="32"/>
        </w:rPr>
        <w:t>确认要求，供注册申</w:t>
      </w:r>
      <w:bookmarkStart w:id="0" w:name="_GoBack"/>
      <w:bookmarkEnd w:id="0"/>
      <w:r w:rsidRPr="008B6261">
        <w:rPr>
          <w:rFonts w:ascii="Times New Roman" w:eastAsia="仿宋_GB2312" w:hAnsi="Times New Roman" w:hint="eastAsia"/>
          <w:kern w:val="0"/>
          <w:sz w:val="32"/>
          <w:szCs w:val="32"/>
        </w:rPr>
        <w:t>请人准备注册申报资料的指导性文件，但不包括注册审批所涉及的行政事项，亦不作为法规强制执行，需在遵循</w:t>
      </w:r>
      <w:r w:rsidRPr="008B6261">
        <w:rPr>
          <w:rFonts w:ascii="Times New Roman" w:eastAsia="仿宋_GB2312" w:hAnsi="Times New Roman" w:hint="eastAsia"/>
          <w:sz w:val="32"/>
        </w:rPr>
        <w:t>法律规章、规范性文件和强制性医疗器械标准的前提下，结合产品的具体特性，使用本审评要点。</w:t>
      </w:r>
    </w:p>
    <w:p w14:paraId="7C80C3A9" w14:textId="356843DA" w:rsidR="00FC415B" w:rsidRPr="008B6261" w:rsidRDefault="00B92EC2" w:rsidP="008A11F3">
      <w:pPr>
        <w:spacing w:line="520" w:lineRule="exact"/>
        <w:ind w:firstLineChars="200" w:firstLine="640"/>
        <w:rPr>
          <w:rFonts w:ascii="Times New Roman" w:eastAsia="仿宋_GB2312" w:hAnsi="Times New Roman"/>
          <w:sz w:val="32"/>
        </w:rPr>
      </w:pPr>
      <w:r w:rsidRPr="008B6261">
        <w:rPr>
          <w:rFonts w:ascii="Times New Roman" w:eastAsia="仿宋_GB2312" w:hAnsi="Times New Roman" w:hint="eastAsia"/>
          <w:sz w:val="32"/>
        </w:rPr>
        <w:t>本审评要点是在当前认知水平下制定的。随着技术审评经验的积累和科学技术的不断发展，本审评要点的相关内容也将适时地调整或及时转化为注册审查指导原则。</w:t>
      </w:r>
    </w:p>
    <w:p w14:paraId="72DF36E2" w14:textId="77777777" w:rsidR="000968B5" w:rsidRPr="008B6261" w:rsidRDefault="000968B5" w:rsidP="00AB740F">
      <w:pPr>
        <w:snapToGrid w:val="0"/>
        <w:spacing w:line="520" w:lineRule="exact"/>
        <w:ind w:firstLineChars="200" w:firstLine="640"/>
        <w:rPr>
          <w:rFonts w:ascii="Times New Roman" w:eastAsia="黑体" w:hAnsi="Times New Roman"/>
          <w:color w:val="000000"/>
          <w:sz w:val="32"/>
          <w:szCs w:val="32"/>
        </w:rPr>
      </w:pPr>
      <w:r w:rsidRPr="008B6261">
        <w:rPr>
          <w:rFonts w:ascii="Times New Roman" w:eastAsia="黑体" w:hAnsi="Times New Roman"/>
          <w:color w:val="000000"/>
          <w:sz w:val="32"/>
          <w:szCs w:val="32"/>
        </w:rPr>
        <w:t>一、适用范围</w:t>
      </w:r>
    </w:p>
    <w:p w14:paraId="78496C1E" w14:textId="77777777" w:rsidR="00FC415B" w:rsidRPr="008B6261" w:rsidRDefault="0026120F" w:rsidP="00AB740F">
      <w:pPr>
        <w:snapToGrid w:val="0"/>
        <w:spacing w:line="520" w:lineRule="exact"/>
        <w:ind w:firstLineChars="200" w:firstLine="640"/>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本审评要点适用于</w:t>
      </w:r>
      <w:r w:rsidR="009B4049" w:rsidRPr="008B6261">
        <w:rPr>
          <w:rFonts w:ascii="Times New Roman" w:eastAsia="仿宋_GB2312" w:hAnsi="Times New Roman"/>
          <w:color w:val="000000" w:themeColor="text1"/>
          <w:sz w:val="32"/>
          <w:szCs w:val="32"/>
        </w:rPr>
        <w:t>临时心脏</w:t>
      </w:r>
      <w:r w:rsidR="00714810" w:rsidRPr="008B6261">
        <w:rPr>
          <w:rFonts w:ascii="Times New Roman" w:eastAsia="仿宋_GB2312" w:hAnsi="Times New Roman"/>
          <w:color w:val="000000" w:themeColor="text1"/>
          <w:sz w:val="32"/>
          <w:szCs w:val="32"/>
        </w:rPr>
        <w:t>起搏</w:t>
      </w:r>
      <w:r w:rsidR="009B4049" w:rsidRPr="008B6261">
        <w:rPr>
          <w:rFonts w:ascii="Times New Roman" w:eastAsia="仿宋_GB2312" w:hAnsi="Times New Roman"/>
          <w:color w:val="000000" w:themeColor="text1"/>
          <w:sz w:val="32"/>
          <w:szCs w:val="32"/>
        </w:rPr>
        <w:t>电极导线</w:t>
      </w:r>
      <w:r w:rsidRPr="008B6261">
        <w:rPr>
          <w:rFonts w:ascii="Times New Roman" w:eastAsia="仿宋_GB2312" w:hAnsi="Times New Roman"/>
          <w:color w:val="000000" w:themeColor="text1"/>
          <w:sz w:val="32"/>
          <w:szCs w:val="32"/>
        </w:rPr>
        <w:t>注册</w:t>
      </w:r>
      <w:r w:rsidRPr="008B6261">
        <w:rPr>
          <w:rFonts w:ascii="Times New Roman" w:eastAsia="仿宋_GB2312" w:hAnsi="Times New Roman"/>
          <w:color w:val="000000" w:themeColor="text1"/>
          <w:sz w:val="32"/>
          <w:szCs w:val="32"/>
        </w:rPr>
        <w:t>,</w:t>
      </w:r>
      <w:r w:rsidRPr="008B6261">
        <w:rPr>
          <w:rFonts w:ascii="Times New Roman" w:eastAsia="仿宋_GB2312" w:hAnsi="Times New Roman"/>
          <w:color w:val="000000" w:themeColor="text1"/>
          <w:sz w:val="32"/>
          <w:szCs w:val="32"/>
        </w:rPr>
        <w:t>按现行《医疗器械分类目录》，该类产品名称一般规范为</w:t>
      </w:r>
      <w:r w:rsidR="009B4049" w:rsidRPr="008B6261">
        <w:rPr>
          <w:rFonts w:ascii="Times New Roman" w:eastAsia="仿宋_GB2312" w:hAnsi="Times New Roman"/>
          <w:color w:val="000000" w:themeColor="text1"/>
          <w:sz w:val="32"/>
          <w:szCs w:val="32"/>
        </w:rPr>
        <w:t>临时心脏</w:t>
      </w:r>
      <w:r w:rsidR="00714810" w:rsidRPr="008B6261">
        <w:rPr>
          <w:rFonts w:ascii="Times New Roman" w:eastAsia="仿宋_GB2312" w:hAnsi="Times New Roman"/>
          <w:color w:val="000000" w:themeColor="text1"/>
          <w:sz w:val="32"/>
          <w:szCs w:val="32"/>
        </w:rPr>
        <w:t>起搏</w:t>
      </w:r>
      <w:r w:rsidR="009B4049" w:rsidRPr="008B6261">
        <w:rPr>
          <w:rFonts w:ascii="Times New Roman" w:eastAsia="仿宋_GB2312" w:hAnsi="Times New Roman"/>
          <w:color w:val="000000" w:themeColor="text1"/>
          <w:sz w:val="32"/>
          <w:szCs w:val="32"/>
        </w:rPr>
        <w:t>电极导线</w:t>
      </w:r>
      <w:r w:rsidRPr="008B6261">
        <w:rPr>
          <w:rFonts w:ascii="Times New Roman" w:eastAsia="仿宋_GB2312" w:hAnsi="Times New Roman"/>
          <w:color w:val="000000" w:themeColor="text1"/>
          <w:sz w:val="32"/>
          <w:szCs w:val="32"/>
        </w:rPr>
        <w:t>，分类编码为</w:t>
      </w:r>
      <w:r w:rsidR="009B4049" w:rsidRPr="008B6261">
        <w:rPr>
          <w:rFonts w:ascii="Times New Roman" w:eastAsia="仿宋_GB2312" w:hAnsi="Times New Roman"/>
          <w:color w:val="000000" w:themeColor="text1"/>
          <w:sz w:val="32"/>
          <w:szCs w:val="32"/>
        </w:rPr>
        <w:t>12-01-06</w:t>
      </w:r>
      <w:r w:rsidRPr="008B6261">
        <w:rPr>
          <w:rFonts w:ascii="Times New Roman" w:eastAsia="仿宋_GB2312" w:hAnsi="Times New Roman"/>
          <w:color w:val="000000" w:themeColor="text1"/>
          <w:sz w:val="32"/>
          <w:szCs w:val="32"/>
        </w:rPr>
        <w:t>。</w:t>
      </w:r>
    </w:p>
    <w:p w14:paraId="33C5AA05" w14:textId="06AC31F2" w:rsidR="00FC415B" w:rsidRPr="008B6261" w:rsidRDefault="00FC415B"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按现行《医疗器械分类目录》，该类产品管理类别为</w:t>
      </w:r>
      <w:r w:rsidR="00B92EC2" w:rsidRPr="008B6261">
        <w:rPr>
          <w:rFonts w:ascii="Times New Roman" w:eastAsia="仿宋_GB2312" w:hAnsi="Times New Roman" w:hint="eastAsia"/>
          <w:color w:val="000000"/>
          <w:sz w:val="32"/>
          <w:szCs w:val="32"/>
        </w:rPr>
        <w:t>第</w:t>
      </w:r>
      <w:r w:rsidRPr="008B6261">
        <w:rPr>
          <w:rFonts w:ascii="Times New Roman" w:eastAsia="仿宋_GB2312" w:hAnsi="Times New Roman"/>
          <w:color w:val="000000"/>
          <w:sz w:val="32"/>
          <w:szCs w:val="32"/>
        </w:rPr>
        <w:t>三类。</w:t>
      </w:r>
    </w:p>
    <w:p w14:paraId="411843AE" w14:textId="77777777" w:rsidR="00FC415B" w:rsidRPr="008B6261" w:rsidRDefault="00FC415B"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该类产品与临时心脏起搏器及人体心脏连接构成一个心脏临时起搏系统。该产品可将心脏除极信号传递至临时起搏器；也可将临时起搏器产生的电脉冲传递至其接触的心肌</w:t>
      </w:r>
      <w:r w:rsidRPr="008B6261">
        <w:rPr>
          <w:rFonts w:ascii="Times New Roman" w:eastAsia="仿宋_GB2312" w:hAnsi="Times New Roman"/>
          <w:color w:val="000000"/>
          <w:sz w:val="32"/>
          <w:szCs w:val="32"/>
        </w:rPr>
        <w:lastRenderedPageBreak/>
        <w:t>组织，使心脏局部组织去极化，从而引起心脏收缩。</w:t>
      </w:r>
    </w:p>
    <w:p w14:paraId="304CF9CC" w14:textId="3EE91E05" w:rsidR="000968B5" w:rsidRPr="008B6261" w:rsidRDefault="00390CB7" w:rsidP="00AB740F">
      <w:pPr>
        <w:snapToGrid w:val="0"/>
        <w:spacing w:line="520" w:lineRule="exact"/>
        <w:ind w:firstLineChars="200" w:firstLine="640"/>
        <w:rPr>
          <w:rFonts w:ascii="Times New Roman" w:eastAsia="黑体" w:hAnsi="Times New Roman"/>
          <w:color w:val="000000"/>
          <w:sz w:val="32"/>
          <w:szCs w:val="32"/>
        </w:rPr>
      </w:pPr>
      <w:r w:rsidRPr="008B6261">
        <w:rPr>
          <w:rFonts w:ascii="Times New Roman" w:eastAsia="黑体" w:hAnsi="Times New Roman" w:hint="eastAsia"/>
          <w:color w:val="000000"/>
          <w:sz w:val="32"/>
          <w:szCs w:val="32"/>
        </w:rPr>
        <w:t>二</w:t>
      </w:r>
      <w:r w:rsidR="000968B5" w:rsidRPr="008B6261">
        <w:rPr>
          <w:rFonts w:ascii="Times New Roman" w:eastAsia="黑体" w:hAnsi="Times New Roman"/>
          <w:color w:val="000000"/>
          <w:sz w:val="32"/>
          <w:szCs w:val="32"/>
        </w:rPr>
        <w:t>、审评主要关注点</w:t>
      </w:r>
    </w:p>
    <w:p w14:paraId="1417C89A" w14:textId="77777777" w:rsidR="000968B5" w:rsidRPr="008B6261" w:rsidRDefault="000968B5"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参照</w:t>
      </w:r>
      <w:r w:rsidR="00482E81" w:rsidRPr="008B6261">
        <w:rPr>
          <w:rFonts w:ascii="Times New Roman" w:eastAsia="仿宋_GB2312" w:hAnsi="Times New Roman"/>
          <w:color w:val="000000"/>
          <w:sz w:val="32"/>
          <w:szCs w:val="32"/>
        </w:rPr>
        <w:t>相关</w:t>
      </w:r>
      <w:r w:rsidRPr="008B6261">
        <w:rPr>
          <w:rFonts w:ascii="Times New Roman" w:eastAsia="仿宋_GB2312" w:hAnsi="Times New Roman"/>
          <w:color w:val="000000"/>
          <w:sz w:val="32"/>
          <w:szCs w:val="32"/>
        </w:rPr>
        <w:t>法规、规章、指导原则</w:t>
      </w:r>
      <w:r w:rsidR="00482E81" w:rsidRPr="008B6261">
        <w:rPr>
          <w:rFonts w:ascii="Times New Roman" w:eastAsia="仿宋_GB2312" w:hAnsi="Times New Roman"/>
          <w:color w:val="000000"/>
          <w:sz w:val="32"/>
          <w:szCs w:val="32"/>
        </w:rPr>
        <w:t>和标准</w:t>
      </w:r>
      <w:r w:rsidRPr="008B6261">
        <w:rPr>
          <w:rFonts w:ascii="Times New Roman" w:eastAsia="仿宋_GB2312" w:hAnsi="Times New Roman"/>
          <w:color w:val="000000"/>
          <w:sz w:val="32"/>
          <w:szCs w:val="32"/>
        </w:rPr>
        <w:t>，结合下列关注点</w:t>
      </w:r>
      <w:r w:rsidR="00482E81" w:rsidRPr="008B6261">
        <w:rPr>
          <w:rFonts w:ascii="Times New Roman" w:eastAsia="仿宋_GB2312" w:hAnsi="Times New Roman"/>
          <w:color w:val="000000"/>
          <w:sz w:val="32"/>
          <w:szCs w:val="32"/>
        </w:rPr>
        <w:t>提供相关申报资料</w:t>
      </w:r>
      <w:r w:rsidRPr="008B6261">
        <w:rPr>
          <w:rFonts w:ascii="Times New Roman" w:eastAsia="仿宋_GB2312" w:hAnsi="Times New Roman"/>
          <w:color w:val="000000"/>
          <w:sz w:val="32"/>
          <w:szCs w:val="32"/>
        </w:rPr>
        <w:t>。</w:t>
      </w:r>
    </w:p>
    <w:p w14:paraId="6F7765FA" w14:textId="77777777" w:rsidR="00611BFD" w:rsidRPr="008B6261" w:rsidRDefault="00611BFD" w:rsidP="00AB740F">
      <w:pPr>
        <w:snapToGrid w:val="0"/>
        <w:spacing w:line="520" w:lineRule="exact"/>
        <w:ind w:firstLineChars="200" w:firstLine="640"/>
        <w:rPr>
          <w:rFonts w:ascii="Times New Roman" w:eastAsia="楷体_GB2312" w:hAnsi="Times New Roman"/>
          <w:color w:val="000000"/>
          <w:sz w:val="32"/>
          <w:szCs w:val="32"/>
        </w:rPr>
      </w:pPr>
      <w:r w:rsidRPr="008B6261">
        <w:rPr>
          <w:rFonts w:ascii="Times New Roman" w:eastAsia="楷体_GB2312" w:hAnsi="Times New Roman"/>
          <w:color w:val="000000"/>
          <w:sz w:val="32"/>
          <w:szCs w:val="32"/>
        </w:rPr>
        <w:t>（一）监管信息</w:t>
      </w:r>
    </w:p>
    <w:p w14:paraId="52902433" w14:textId="77777777" w:rsidR="00611BFD" w:rsidRPr="008B6261" w:rsidRDefault="00611BFD"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1.</w:t>
      </w:r>
      <w:r w:rsidRPr="008B6261">
        <w:rPr>
          <w:rFonts w:ascii="Times New Roman" w:eastAsia="仿宋_GB2312" w:hAnsi="Times New Roman"/>
          <w:color w:val="000000"/>
          <w:sz w:val="32"/>
          <w:szCs w:val="32"/>
        </w:rPr>
        <w:t>产品名称</w:t>
      </w:r>
    </w:p>
    <w:p w14:paraId="7EC9A672" w14:textId="77777777" w:rsidR="00611BFD" w:rsidRPr="008B6261" w:rsidRDefault="009B1486"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themeColor="text1"/>
          <w:sz w:val="32"/>
          <w:szCs w:val="32"/>
        </w:rPr>
        <w:t>产品名称规范为</w:t>
      </w:r>
      <w:r w:rsidR="0002027E" w:rsidRPr="008B6261">
        <w:rPr>
          <w:rFonts w:ascii="Times New Roman" w:eastAsia="仿宋_GB2312" w:hAnsi="Times New Roman"/>
          <w:color w:val="000000" w:themeColor="text1"/>
          <w:sz w:val="32"/>
          <w:szCs w:val="32"/>
        </w:rPr>
        <w:t>临时心脏</w:t>
      </w:r>
      <w:r w:rsidR="00714810" w:rsidRPr="008B6261">
        <w:rPr>
          <w:rFonts w:ascii="Times New Roman" w:eastAsia="仿宋_GB2312" w:hAnsi="Times New Roman"/>
          <w:color w:val="000000" w:themeColor="text1"/>
          <w:sz w:val="32"/>
          <w:szCs w:val="32"/>
        </w:rPr>
        <w:t>起搏</w:t>
      </w:r>
      <w:r w:rsidR="0002027E" w:rsidRPr="008B6261">
        <w:rPr>
          <w:rFonts w:ascii="Times New Roman" w:eastAsia="仿宋_GB2312" w:hAnsi="Times New Roman"/>
          <w:color w:val="000000" w:themeColor="text1"/>
          <w:sz w:val="32"/>
          <w:szCs w:val="32"/>
        </w:rPr>
        <w:t>电极导线</w:t>
      </w:r>
      <w:r w:rsidR="00611BFD" w:rsidRPr="008B6261">
        <w:rPr>
          <w:rFonts w:ascii="Times New Roman" w:eastAsia="仿宋_GB2312" w:hAnsi="Times New Roman"/>
          <w:color w:val="000000"/>
          <w:sz w:val="32"/>
          <w:szCs w:val="32"/>
        </w:rPr>
        <w:t>。</w:t>
      </w:r>
    </w:p>
    <w:p w14:paraId="19034F2A" w14:textId="77777777" w:rsidR="00611BFD" w:rsidRPr="008B6261" w:rsidRDefault="00611BFD"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2.</w:t>
      </w:r>
      <w:r w:rsidR="002C63AB" w:rsidRPr="008B6261">
        <w:rPr>
          <w:rFonts w:ascii="Times New Roman" w:eastAsia="仿宋_GB2312" w:hAnsi="Times New Roman"/>
          <w:color w:val="000000"/>
          <w:sz w:val="32"/>
          <w:szCs w:val="32"/>
        </w:rPr>
        <w:t>适用范围</w:t>
      </w:r>
    </w:p>
    <w:p w14:paraId="2F00B987" w14:textId="77777777" w:rsidR="00EF7E9A" w:rsidRPr="008B6261" w:rsidRDefault="0002027E" w:rsidP="00AB740F">
      <w:pPr>
        <w:snapToGrid w:val="0"/>
        <w:spacing w:line="520" w:lineRule="exact"/>
        <w:ind w:firstLineChars="200" w:firstLine="640"/>
        <w:rPr>
          <w:rFonts w:ascii="Times New Roman" w:eastAsia="仿宋_GB2312" w:hAnsi="Times New Roman"/>
          <w:color w:val="000000" w:themeColor="text1"/>
          <w:sz w:val="32"/>
          <w:szCs w:val="32"/>
        </w:rPr>
      </w:pPr>
      <w:r w:rsidRPr="008B6261">
        <w:rPr>
          <w:rFonts w:ascii="Times New Roman" w:eastAsia="仿宋_GB2312" w:hAnsi="Times New Roman"/>
          <w:color w:val="000000"/>
          <w:sz w:val="32"/>
          <w:szCs w:val="32"/>
        </w:rPr>
        <w:t>与临时心脏起搏器配合使用，提供临时心内膜起搏和心脏电信号感知</w:t>
      </w:r>
      <w:r w:rsidR="00EF7E9A" w:rsidRPr="008B6261">
        <w:rPr>
          <w:rFonts w:ascii="Times New Roman" w:eastAsia="仿宋_GB2312" w:hAnsi="Times New Roman"/>
          <w:color w:val="000000" w:themeColor="text1"/>
          <w:sz w:val="32"/>
          <w:szCs w:val="32"/>
        </w:rPr>
        <w:t>。</w:t>
      </w:r>
    </w:p>
    <w:p w14:paraId="49DA3D85" w14:textId="77777777" w:rsidR="00593329" w:rsidRPr="008B6261" w:rsidRDefault="00593329" w:rsidP="00AB740F">
      <w:pPr>
        <w:snapToGrid w:val="0"/>
        <w:spacing w:line="520" w:lineRule="exact"/>
        <w:ind w:firstLineChars="200" w:firstLine="640"/>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3.</w:t>
      </w:r>
      <w:r w:rsidRPr="008B6261">
        <w:rPr>
          <w:rFonts w:ascii="Times New Roman" w:eastAsia="仿宋_GB2312" w:hAnsi="Times New Roman"/>
          <w:color w:val="000000" w:themeColor="text1"/>
          <w:sz w:val="32"/>
          <w:szCs w:val="32"/>
        </w:rPr>
        <w:t>结构及</w:t>
      </w:r>
      <w:r w:rsidR="002C63AB" w:rsidRPr="008B6261">
        <w:rPr>
          <w:rFonts w:ascii="Times New Roman" w:eastAsia="仿宋_GB2312" w:hAnsi="Times New Roman"/>
          <w:color w:val="000000" w:themeColor="text1"/>
          <w:sz w:val="32"/>
          <w:szCs w:val="32"/>
        </w:rPr>
        <w:t>组成</w:t>
      </w:r>
    </w:p>
    <w:p w14:paraId="5476EA1C" w14:textId="77777777" w:rsidR="00593329" w:rsidRPr="008B6261" w:rsidRDefault="00593329"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themeColor="text1"/>
          <w:sz w:val="32"/>
          <w:szCs w:val="32"/>
        </w:rPr>
        <w:t>包含</w:t>
      </w:r>
      <w:r w:rsidR="00F41B62" w:rsidRPr="008B6261">
        <w:rPr>
          <w:rFonts w:ascii="Times New Roman" w:eastAsia="仿宋_GB2312" w:hAnsi="Times New Roman"/>
          <w:color w:val="000000" w:themeColor="text1"/>
          <w:sz w:val="32"/>
          <w:szCs w:val="32"/>
        </w:rPr>
        <w:t>构成</w:t>
      </w:r>
      <w:r w:rsidR="00D10474" w:rsidRPr="008B6261">
        <w:rPr>
          <w:rFonts w:ascii="Times New Roman" w:eastAsia="仿宋_GB2312" w:hAnsi="Times New Roman"/>
          <w:color w:val="000000" w:themeColor="text1"/>
          <w:sz w:val="32"/>
          <w:szCs w:val="32"/>
        </w:rPr>
        <w:t>电极导线</w:t>
      </w:r>
      <w:r w:rsidR="00F41B62" w:rsidRPr="008B6261">
        <w:rPr>
          <w:rFonts w:ascii="Times New Roman" w:eastAsia="仿宋_GB2312" w:hAnsi="Times New Roman"/>
          <w:color w:val="000000" w:themeColor="text1"/>
          <w:sz w:val="32"/>
          <w:szCs w:val="32"/>
        </w:rPr>
        <w:t>的各个组成部分</w:t>
      </w:r>
      <w:r w:rsidRPr="008B6261">
        <w:rPr>
          <w:rFonts w:ascii="Times New Roman" w:eastAsia="仿宋_GB2312" w:hAnsi="Times New Roman"/>
          <w:color w:val="000000" w:themeColor="text1"/>
          <w:sz w:val="32"/>
          <w:szCs w:val="32"/>
        </w:rPr>
        <w:t>。结构及组成举例：该产品由</w:t>
      </w:r>
      <w:r w:rsidR="00D10474" w:rsidRPr="008B6261">
        <w:rPr>
          <w:rFonts w:ascii="Times New Roman" w:eastAsia="仿宋_GB2312" w:hAnsi="Times New Roman"/>
          <w:color w:val="000000" w:themeColor="text1"/>
          <w:sz w:val="32"/>
          <w:szCs w:val="32"/>
        </w:rPr>
        <w:t>线体、尾线组件及转换接头组成</w:t>
      </w:r>
      <w:r w:rsidRPr="008B6261">
        <w:rPr>
          <w:rFonts w:ascii="Times New Roman" w:eastAsia="仿宋_GB2312" w:hAnsi="Times New Roman"/>
          <w:color w:val="000000" w:themeColor="text1"/>
          <w:sz w:val="32"/>
          <w:szCs w:val="32"/>
        </w:rPr>
        <w:t>。</w:t>
      </w:r>
    </w:p>
    <w:p w14:paraId="7100295B" w14:textId="77777777" w:rsidR="000968B5" w:rsidRPr="008B6261" w:rsidRDefault="000968B5" w:rsidP="00AB740F">
      <w:pPr>
        <w:snapToGrid w:val="0"/>
        <w:spacing w:line="520" w:lineRule="exact"/>
        <w:ind w:firstLineChars="200" w:firstLine="640"/>
        <w:rPr>
          <w:rFonts w:ascii="Times New Roman" w:eastAsia="楷体_GB2312" w:hAnsi="Times New Roman"/>
          <w:color w:val="000000"/>
          <w:sz w:val="32"/>
          <w:szCs w:val="32"/>
        </w:rPr>
      </w:pPr>
      <w:r w:rsidRPr="008B6261">
        <w:rPr>
          <w:rFonts w:ascii="Times New Roman" w:eastAsia="楷体_GB2312" w:hAnsi="Times New Roman"/>
          <w:color w:val="000000"/>
          <w:sz w:val="32"/>
          <w:szCs w:val="32"/>
        </w:rPr>
        <w:t>（</w:t>
      </w:r>
      <w:r w:rsidR="00F87B51" w:rsidRPr="008B6261">
        <w:rPr>
          <w:rFonts w:ascii="Times New Roman" w:eastAsia="楷体_GB2312" w:hAnsi="Times New Roman"/>
          <w:color w:val="000000"/>
          <w:sz w:val="32"/>
          <w:szCs w:val="32"/>
        </w:rPr>
        <w:t>二</w:t>
      </w:r>
      <w:r w:rsidRPr="008B6261">
        <w:rPr>
          <w:rFonts w:ascii="Times New Roman" w:eastAsia="楷体_GB2312" w:hAnsi="Times New Roman"/>
          <w:color w:val="000000"/>
          <w:sz w:val="32"/>
          <w:szCs w:val="32"/>
        </w:rPr>
        <w:t>）综述资料</w:t>
      </w:r>
    </w:p>
    <w:p w14:paraId="2E3F8B8F" w14:textId="77777777" w:rsidR="00CE3764" w:rsidRPr="008B6261" w:rsidRDefault="00743867"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1.</w:t>
      </w:r>
      <w:r w:rsidR="00CE3764" w:rsidRPr="008B6261">
        <w:rPr>
          <w:rFonts w:ascii="Times New Roman" w:eastAsia="仿宋_GB2312" w:hAnsi="Times New Roman"/>
          <w:color w:val="000000"/>
          <w:sz w:val="32"/>
          <w:szCs w:val="32"/>
        </w:rPr>
        <w:t>产品描述</w:t>
      </w:r>
    </w:p>
    <w:p w14:paraId="56D9BE65" w14:textId="77777777" w:rsidR="0008115F" w:rsidRPr="008B6261" w:rsidRDefault="0008115F" w:rsidP="00AB740F">
      <w:pPr>
        <w:spacing w:line="520" w:lineRule="exact"/>
        <w:ind w:firstLineChars="200" w:firstLine="640"/>
        <w:rPr>
          <w:rFonts w:ascii="Times New Roman" w:eastAsia="仿宋_GB2312" w:hAnsi="Times New Roman"/>
          <w:sz w:val="32"/>
          <w:szCs w:val="32"/>
        </w:rPr>
      </w:pPr>
      <w:r w:rsidRPr="008B6261">
        <w:rPr>
          <w:rFonts w:ascii="Times New Roman" w:eastAsia="仿宋_GB2312" w:hAnsi="Times New Roman"/>
          <w:sz w:val="32"/>
          <w:szCs w:val="32"/>
        </w:rPr>
        <w:t>至少包括以下</w:t>
      </w:r>
      <w:r w:rsidR="000A3E2C" w:rsidRPr="008B6261">
        <w:rPr>
          <w:rFonts w:ascii="Times New Roman" w:eastAsia="仿宋_GB2312" w:hAnsi="Times New Roman"/>
          <w:sz w:val="32"/>
          <w:szCs w:val="32"/>
        </w:rPr>
        <w:t>内容</w:t>
      </w:r>
      <w:r w:rsidR="004A0E60" w:rsidRPr="008B6261">
        <w:rPr>
          <w:rFonts w:ascii="Times New Roman" w:eastAsia="仿宋_GB2312" w:hAnsi="Times New Roman"/>
          <w:sz w:val="32"/>
          <w:szCs w:val="32"/>
        </w:rPr>
        <w:t>：</w:t>
      </w:r>
    </w:p>
    <w:p w14:paraId="7A6A1389" w14:textId="77777777" w:rsidR="0008115F" w:rsidRPr="008B6261" w:rsidRDefault="00482E81" w:rsidP="00AB740F">
      <w:pPr>
        <w:spacing w:line="520" w:lineRule="exact"/>
        <w:ind w:firstLineChars="200" w:firstLine="640"/>
        <w:rPr>
          <w:rFonts w:ascii="Times New Roman" w:eastAsia="仿宋_GB2312" w:hAnsi="Times New Roman"/>
          <w:sz w:val="32"/>
          <w:szCs w:val="32"/>
        </w:rPr>
      </w:pPr>
      <w:r w:rsidRPr="008B6261">
        <w:rPr>
          <w:rFonts w:ascii="Times New Roman" w:eastAsia="仿宋_GB2312" w:hAnsi="Times New Roman"/>
          <w:sz w:val="32"/>
          <w:szCs w:val="32"/>
        </w:rPr>
        <w:t>（</w:t>
      </w:r>
      <w:r w:rsidRPr="008B6261">
        <w:rPr>
          <w:rFonts w:ascii="Times New Roman" w:eastAsia="仿宋_GB2312" w:hAnsi="Times New Roman"/>
          <w:sz w:val="32"/>
          <w:szCs w:val="32"/>
        </w:rPr>
        <w:t>1</w:t>
      </w:r>
      <w:r w:rsidRPr="008B6261">
        <w:rPr>
          <w:rFonts w:ascii="Times New Roman" w:eastAsia="仿宋_GB2312" w:hAnsi="Times New Roman"/>
          <w:sz w:val="32"/>
          <w:szCs w:val="32"/>
        </w:rPr>
        <w:t>）提供</w:t>
      </w:r>
      <w:r w:rsidR="00E93BAC" w:rsidRPr="008B6261">
        <w:rPr>
          <w:rFonts w:ascii="Times New Roman" w:eastAsia="仿宋_GB2312" w:hAnsi="Times New Roman"/>
          <w:sz w:val="32"/>
          <w:szCs w:val="32"/>
        </w:rPr>
        <w:t>电极导线</w:t>
      </w:r>
      <w:r w:rsidR="0008115F" w:rsidRPr="008B6261">
        <w:rPr>
          <w:rFonts w:ascii="Times New Roman" w:eastAsia="仿宋_GB2312" w:hAnsi="Times New Roman"/>
          <w:sz w:val="32"/>
          <w:szCs w:val="32"/>
        </w:rPr>
        <w:t>结构示意图</w:t>
      </w:r>
      <w:r w:rsidRPr="008B6261">
        <w:rPr>
          <w:rFonts w:ascii="Times New Roman" w:eastAsia="仿宋_GB2312" w:hAnsi="Times New Roman"/>
          <w:sz w:val="32"/>
          <w:szCs w:val="32"/>
        </w:rPr>
        <w:t>（包括剖面图、正视图、侧视图）</w:t>
      </w:r>
      <w:r w:rsidR="0008115F" w:rsidRPr="008B6261">
        <w:rPr>
          <w:rFonts w:ascii="Times New Roman" w:eastAsia="仿宋_GB2312" w:hAnsi="Times New Roman"/>
          <w:sz w:val="32"/>
          <w:szCs w:val="32"/>
        </w:rPr>
        <w:t>，</w:t>
      </w:r>
      <w:r w:rsidRPr="008B6261">
        <w:rPr>
          <w:rFonts w:ascii="Times New Roman" w:eastAsia="仿宋_GB2312" w:hAnsi="Times New Roman"/>
          <w:sz w:val="32"/>
          <w:szCs w:val="32"/>
        </w:rPr>
        <w:t>结合图示</w:t>
      </w:r>
      <w:r w:rsidR="0008115F" w:rsidRPr="008B6261">
        <w:rPr>
          <w:rFonts w:ascii="Times New Roman" w:eastAsia="仿宋_GB2312" w:hAnsi="Times New Roman"/>
          <w:sz w:val="32"/>
          <w:szCs w:val="32"/>
        </w:rPr>
        <w:t>描述</w:t>
      </w:r>
      <w:r w:rsidRPr="008B6261">
        <w:rPr>
          <w:rFonts w:ascii="Times New Roman" w:eastAsia="仿宋_GB2312" w:hAnsi="Times New Roman"/>
          <w:sz w:val="32"/>
          <w:szCs w:val="32"/>
        </w:rPr>
        <w:t>导线结构、尺寸、形状（如</w:t>
      </w:r>
      <w:r w:rsidRPr="008B6261">
        <w:rPr>
          <w:rFonts w:ascii="Times New Roman" w:eastAsia="仿宋_GB2312" w:hAnsi="Times New Roman"/>
          <w:sz w:val="32"/>
          <w:szCs w:val="32"/>
        </w:rPr>
        <w:t>J</w:t>
      </w:r>
      <w:r w:rsidRPr="008B6261">
        <w:rPr>
          <w:rFonts w:ascii="Times New Roman" w:eastAsia="仿宋_GB2312" w:hAnsi="Times New Roman"/>
          <w:sz w:val="32"/>
          <w:szCs w:val="32"/>
        </w:rPr>
        <w:t>型，右心弯型）及其临床应用场景。</w:t>
      </w:r>
    </w:p>
    <w:p w14:paraId="527C6FB8" w14:textId="77777777" w:rsidR="0008115F" w:rsidRPr="008B6261" w:rsidRDefault="00482E81" w:rsidP="00AB740F">
      <w:pPr>
        <w:spacing w:line="520" w:lineRule="exact"/>
        <w:ind w:firstLineChars="200" w:firstLine="640"/>
        <w:rPr>
          <w:rFonts w:ascii="Times New Roman" w:eastAsia="仿宋_GB2312" w:hAnsi="Times New Roman"/>
          <w:sz w:val="32"/>
          <w:szCs w:val="32"/>
        </w:rPr>
      </w:pPr>
      <w:r w:rsidRPr="008B6261">
        <w:rPr>
          <w:rFonts w:ascii="Times New Roman" w:eastAsia="仿宋_GB2312" w:hAnsi="Times New Roman"/>
          <w:sz w:val="32"/>
          <w:szCs w:val="32"/>
        </w:rPr>
        <w:t>（</w:t>
      </w:r>
      <w:r w:rsidRPr="008B6261">
        <w:rPr>
          <w:rFonts w:ascii="Times New Roman" w:eastAsia="仿宋_GB2312" w:hAnsi="Times New Roman"/>
          <w:sz w:val="32"/>
          <w:szCs w:val="32"/>
        </w:rPr>
        <w:t>2</w:t>
      </w:r>
      <w:r w:rsidRPr="008B6261">
        <w:rPr>
          <w:rFonts w:ascii="Times New Roman" w:eastAsia="仿宋_GB2312" w:hAnsi="Times New Roman"/>
          <w:sz w:val="32"/>
          <w:szCs w:val="32"/>
        </w:rPr>
        <w:t>）</w:t>
      </w:r>
      <w:r w:rsidR="0008115F" w:rsidRPr="008B6261">
        <w:rPr>
          <w:rFonts w:ascii="Times New Roman" w:eastAsia="仿宋_GB2312" w:hAnsi="Times New Roman"/>
          <w:sz w:val="32"/>
          <w:szCs w:val="32"/>
        </w:rPr>
        <w:t>描述</w:t>
      </w:r>
      <w:r w:rsidR="00E93BAC" w:rsidRPr="008B6261">
        <w:rPr>
          <w:rFonts w:ascii="Times New Roman" w:eastAsia="仿宋_GB2312" w:hAnsi="Times New Roman"/>
          <w:sz w:val="32"/>
          <w:szCs w:val="32"/>
        </w:rPr>
        <w:t>电极导线</w:t>
      </w:r>
      <w:r w:rsidR="0008115F" w:rsidRPr="008B6261">
        <w:rPr>
          <w:rFonts w:ascii="Times New Roman" w:eastAsia="仿宋_GB2312" w:hAnsi="Times New Roman"/>
          <w:sz w:val="32"/>
          <w:szCs w:val="32"/>
        </w:rPr>
        <w:t>实现预期用途的工作过程。</w:t>
      </w:r>
    </w:p>
    <w:p w14:paraId="0AD6D6EA" w14:textId="77777777" w:rsidR="00837A20" w:rsidRPr="008B6261" w:rsidRDefault="00482E81" w:rsidP="00AB740F">
      <w:pPr>
        <w:spacing w:line="520" w:lineRule="exact"/>
        <w:ind w:firstLineChars="200" w:firstLine="640"/>
        <w:rPr>
          <w:rFonts w:ascii="Times New Roman" w:eastAsia="仿宋_GB2312" w:hAnsi="Times New Roman"/>
          <w:sz w:val="32"/>
          <w:szCs w:val="32"/>
        </w:rPr>
      </w:pPr>
      <w:r w:rsidRPr="008B6261">
        <w:rPr>
          <w:rFonts w:ascii="Times New Roman" w:eastAsia="仿宋_GB2312" w:hAnsi="Times New Roman"/>
          <w:sz w:val="32"/>
          <w:szCs w:val="32"/>
        </w:rPr>
        <w:t>（</w:t>
      </w:r>
      <w:r w:rsidR="002C63AB" w:rsidRPr="008B6261">
        <w:rPr>
          <w:rFonts w:ascii="Times New Roman" w:eastAsia="仿宋_GB2312" w:hAnsi="Times New Roman"/>
          <w:sz w:val="32"/>
          <w:szCs w:val="32"/>
        </w:rPr>
        <w:t>3</w:t>
      </w:r>
      <w:r w:rsidRPr="008B6261">
        <w:rPr>
          <w:rFonts w:ascii="Times New Roman" w:eastAsia="仿宋_GB2312" w:hAnsi="Times New Roman"/>
          <w:sz w:val="32"/>
          <w:szCs w:val="32"/>
        </w:rPr>
        <w:t>）</w:t>
      </w:r>
      <w:r w:rsidR="004F566A" w:rsidRPr="008B6261">
        <w:rPr>
          <w:rFonts w:ascii="Times New Roman" w:eastAsia="仿宋_GB2312" w:hAnsi="Times New Roman"/>
          <w:color w:val="000000"/>
          <w:kern w:val="0"/>
          <w:sz w:val="32"/>
          <w:szCs w:val="32"/>
        </w:rPr>
        <w:t>明确产品所有组件（包括涂层、着色剂等）及附件组成材料的通用名称</w:t>
      </w:r>
      <w:r w:rsidR="004F566A" w:rsidRPr="008B6261">
        <w:rPr>
          <w:rFonts w:ascii="Times New Roman" w:eastAsia="仿宋_GB2312" w:hAnsi="Times New Roman"/>
          <w:color w:val="000000"/>
          <w:kern w:val="0"/>
          <w:sz w:val="32"/>
          <w:szCs w:val="32"/>
        </w:rPr>
        <w:t>/</w:t>
      </w:r>
      <w:r w:rsidR="004F566A" w:rsidRPr="008B6261">
        <w:rPr>
          <w:rFonts w:ascii="Times New Roman" w:eastAsia="仿宋_GB2312" w:hAnsi="Times New Roman"/>
          <w:color w:val="000000"/>
          <w:kern w:val="0"/>
          <w:sz w:val="32"/>
          <w:szCs w:val="32"/>
        </w:rPr>
        <w:t>化学名称、商品名</w:t>
      </w:r>
      <w:r w:rsidR="004F566A" w:rsidRPr="008B6261">
        <w:rPr>
          <w:rFonts w:ascii="Times New Roman" w:eastAsia="仿宋_GB2312" w:hAnsi="Times New Roman"/>
          <w:color w:val="000000"/>
          <w:kern w:val="0"/>
          <w:sz w:val="32"/>
          <w:szCs w:val="32"/>
        </w:rPr>
        <w:t>/</w:t>
      </w:r>
      <w:r w:rsidR="004F566A" w:rsidRPr="008B6261">
        <w:rPr>
          <w:rFonts w:ascii="Times New Roman" w:eastAsia="仿宋_GB2312" w:hAnsi="Times New Roman"/>
          <w:color w:val="000000"/>
          <w:kern w:val="0"/>
          <w:sz w:val="32"/>
          <w:szCs w:val="32"/>
        </w:rPr>
        <w:t>牌号（若有）、</w:t>
      </w:r>
      <w:r w:rsidR="004F566A" w:rsidRPr="008B6261">
        <w:rPr>
          <w:rFonts w:ascii="Times New Roman" w:eastAsia="仿宋_GB2312" w:hAnsi="Times New Roman"/>
          <w:color w:val="000000"/>
          <w:kern w:val="0"/>
          <w:sz w:val="32"/>
          <w:szCs w:val="32"/>
        </w:rPr>
        <w:t>CAS</w:t>
      </w:r>
      <w:r w:rsidR="004F566A" w:rsidRPr="008B6261">
        <w:rPr>
          <w:rFonts w:ascii="Times New Roman" w:eastAsia="仿宋_GB2312" w:hAnsi="Times New Roman"/>
          <w:color w:val="000000"/>
          <w:kern w:val="0"/>
          <w:sz w:val="32"/>
          <w:szCs w:val="32"/>
        </w:rPr>
        <w:t>号（如适用）、符合的材料标准（如适用）等基本信息，并且明确产品制造过程中使用的焊接剂、粘合剂、染料</w:t>
      </w:r>
      <w:r w:rsidR="004F566A" w:rsidRPr="008B6261">
        <w:rPr>
          <w:rFonts w:ascii="Times New Roman" w:eastAsia="仿宋_GB2312" w:hAnsi="Times New Roman"/>
          <w:color w:val="000000"/>
          <w:kern w:val="0"/>
          <w:sz w:val="32"/>
          <w:szCs w:val="32"/>
        </w:rPr>
        <w:t>/</w:t>
      </w:r>
      <w:r w:rsidR="004F566A" w:rsidRPr="008B6261">
        <w:rPr>
          <w:rFonts w:ascii="Times New Roman" w:eastAsia="仿宋_GB2312" w:hAnsi="Times New Roman"/>
          <w:color w:val="000000"/>
          <w:kern w:val="0"/>
          <w:sz w:val="32"/>
          <w:szCs w:val="32"/>
        </w:rPr>
        <w:t>颜料、润滑剂等。建议产品组成材料以列表的形式提供，并与产品结构图示中标识的组件一一对应。若产品组成材料为混合物，</w:t>
      </w:r>
      <w:r w:rsidR="004F566A" w:rsidRPr="008B6261">
        <w:rPr>
          <w:rFonts w:ascii="Times New Roman" w:eastAsia="仿宋_GB2312" w:hAnsi="Times New Roman"/>
          <w:color w:val="000000"/>
          <w:kern w:val="0"/>
          <w:sz w:val="32"/>
          <w:szCs w:val="32"/>
        </w:rPr>
        <w:lastRenderedPageBreak/>
        <w:t>明确各组分及其比例。对于组件结构采用分层</w:t>
      </w:r>
      <w:r w:rsidR="004F566A" w:rsidRPr="008B6261">
        <w:rPr>
          <w:rFonts w:ascii="Times New Roman" w:eastAsia="仿宋_GB2312" w:hAnsi="Times New Roman"/>
          <w:color w:val="000000"/>
          <w:kern w:val="0"/>
          <w:sz w:val="32"/>
          <w:szCs w:val="32"/>
        </w:rPr>
        <w:t>/</w:t>
      </w:r>
      <w:r w:rsidR="004F566A" w:rsidRPr="008B6261">
        <w:rPr>
          <w:rFonts w:ascii="Times New Roman" w:eastAsia="仿宋_GB2312" w:hAnsi="Times New Roman"/>
          <w:color w:val="000000"/>
          <w:kern w:val="0"/>
          <w:sz w:val="32"/>
          <w:szCs w:val="32"/>
        </w:rPr>
        <w:t>分段结构设计的，需逐层</w:t>
      </w:r>
      <w:r w:rsidR="004F566A" w:rsidRPr="008B6261">
        <w:rPr>
          <w:rFonts w:ascii="Times New Roman" w:eastAsia="仿宋_GB2312" w:hAnsi="Times New Roman"/>
          <w:color w:val="000000"/>
          <w:kern w:val="0"/>
          <w:sz w:val="32"/>
          <w:szCs w:val="32"/>
        </w:rPr>
        <w:t>/</w:t>
      </w:r>
      <w:r w:rsidR="004F566A" w:rsidRPr="008B6261">
        <w:rPr>
          <w:rFonts w:ascii="Times New Roman" w:eastAsia="仿宋_GB2312" w:hAnsi="Times New Roman"/>
          <w:color w:val="000000"/>
          <w:kern w:val="0"/>
          <w:sz w:val="32"/>
          <w:szCs w:val="32"/>
        </w:rPr>
        <w:t>逐段分别进行描述。</w:t>
      </w:r>
    </w:p>
    <w:p w14:paraId="6EFF8627" w14:textId="77777777" w:rsidR="00482E81" w:rsidRPr="008B6261" w:rsidRDefault="00482E81" w:rsidP="00AB740F">
      <w:pPr>
        <w:spacing w:line="520" w:lineRule="exact"/>
        <w:ind w:firstLineChars="200" w:firstLine="640"/>
        <w:jc w:val="left"/>
        <w:outlineLvl w:val="2"/>
        <w:rPr>
          <w:rFonts w:ascii="Times New Roman" w:eastAsia="仿宋_GB2312" w:hAnsi="Times New Roman"/>
          <w:bCs/>
          <w:color w:val="000000"/>
          <w:sz w:val="32"/>
          <w:szCs w:val="32"/>
        </w:rPr>
      </w:pPr>
      <w:r w:rsidRPr="008B6261">
        <w:rPr>
          <w:rFonts w:ascii="Times New Roman" w:eastAsia="仿宋_GB2312" w:hAnsi="Times New Roman"/>
          <w:bCs/>
          <w:color w:val="000000"/>
          <w:sz w:val="32"/>
          <w:szCs w:val="32"/>
        </w:rPr>
        <w:t>2.</w:t>
      </w:r>
      <w:r w:rsidRPr="008B6261">
        <w:rPr>
          <w:rFonts w:ascii="Times New Roman" w:eastAsia="仿宋_GB2312" w:hAnsi="Times New Roman"/>
          <w:bCs/>
          <w:color w:val="000000"/>
          <w:sz w:val="32"/>
          <w:szCs w:val="32"/>
        </w:rPr>
        <w:t>型号规格</w:t>
      </w:r>
    </w:p>
    <w:p w14:paraId="5BCA7A61" w14:textId="77777777" w:rsidR="00482E81" w:rsidRPr="008B6261" w:rsidRDefault="00482E81" w:rsidP="00AB740F">
      <w:pPr>
        <w:spacing w:line="520" w:lineRule="exact"/>
        <w:ind w:firstLineChars="200" w:firstLine="640"/>
        <w:jc w:val="left"/>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对于存在多种型号规格的产品，应当明确各型号规格的区别。采用对比表或带有说明性文字的图片、图表，描述各种型号规格的结构组成（或配置）、功能、产品特征、技术参数等内容。</w:t>
      </w:r>
    </w:p>
    <w:p w14:paraId="01C5D0F4" w14:textId="77777777" w:rsidR="00482E81" w:rsidRPr="008B6261" w:rsidRDefault="00482E81" w:rsidP="00AB740F">
      <w:pPr>
        <w:spacing w:line="520" w:lineRule="exact"/>
        <w:ind w:firstLineChars="200" w:firstLine="640"/>
        <w:jc w:val="left"/>
        <w:outlineLvl w:val="2"/>
        <w:rPr>
          <w:rFonts w:ascii="Times New Roman" w:eastAsia="仿宋_GB2312" w:hAnsi="Times New Roman"/>
          <w:bCs/>
          <w:color w:val="000000"/>
          <w:sz w:val="32"/>
          <w:szCs w:val="32"/>
        </w:rPr>
      </w:pPr>
      <w:r w:rsidRPr="008B6261">
        <w:rPr>
          <w:rFonts w:ascii="Times New Roman" w:eastAsia="仿宋_GB2312" w:hAnsi="Times New Roman"/>
          <w:bCs/>
          <w:color w:val="000000"/>
          <w:sz w:val="32"/>
          <w:szCs w:val="32"/>
        </w:rPr>
        <w:t>3.</w:t>
      </w:r>
      <w:r w:rsidRPr="008B6261">
        <w:rPr>
          <w:rFonts w:ascii="Times New Roman" w:eastAsia="仿宋_GB2312" w:hAnsi="Times New Roman"/>
          <w:bCs/>
          <w:color w:val="000000"/>
          <w:sz w:val="32"/>
          <w:szCs w:val="32"/>
        </w:rPr>
        <w:t>研发历程</w:t>
      </w:r>
    </w:p>
    <w:p w14:paraId="1CEDE1D5" w14:textId="77777777" w:rsidR="00482E81" w:rsidRPr="008B6261" w:rsidRDefault="00482E81" w:rsidP="00AB740F">
      <w:pPr>
        <w:spacing w:line="520" w:lineRule="exact"/>
        <w:ind w:firstLineChars="200" w:firstLine="640"/>
        <w:jc w:val="left"/>
        <w:rPr>
          <w:rFonts w:ascii="Times New Roman" w:eastAsia="仿宋_GB2312" w:hAnsi="Times New Roman"/>
          <w:bCs/>
          <w:color w:val="000000"/>
          <w:sz w:val="32"/>
          <w:szCs w:val="32"/>
        </w:rPr>
      </w:pPr>
      <w:r w:rsidRPr="008B6261">
        <w:rPr>
          <w:rFonts w:ascii="Times New Roman" w:eastAsia="仿宋_GB2312" w:hAnsi="Times New Roman"/>
          <w:bCs/>
          <w:color w:val="000000"/>
          <w:sz w:val="32"/>
          <w:szCs w:val="32"/>
        </w:rPr>
        <w:t>阐述申请注册产品的研发背景和目的。如有参考的同类产品或前代产品，应当提供同类产品或前代产品的信息，并说明选择其作为研发参考的原因。</w:t>
      </w:r>
    </w:p>
    <w:p w14:paraId="6CFD5CE7" w14:textId="77777777" w:rsidR="00482E81" w:rsidRPr="008B6261" w:rsidRDefault="00482E81" w:rsidP="00AB740F">
      <w:pPr>
        <w:spacing w:line="520" w:lineRule="exact"/>
        <w:ind w:firstLineChars="200" w:firstLine="640"/>
        <w:jc w:val="left"/>
        <w:outlineLvl w:val="2"/>
        <w:rPr>
          <w:rFonts w:ascii="Times New Roman" w:eastAsia="仿宋_GB2312" w:hAnsi="Times New Roman"/>
          <w:bCs/>
          <w:color w:val="000000"/>
          <w:sz w:val="32"/>
          <w:szCs w:val="32"/>
        </w:rPr>
      </w:pPr>
      <w:r w:rsidRPr="008B6261">
        <w:rPr>
          <w:rFonts w:ascii="Times New Roman" w:eastAsia="仿宋_GB2312" w:hAnsi="Times New Roman"/>
          <w:bCs/>
          <w:color w:val="000000"/>
          <w:sz w:val="32"/>
          <w:szCs w:val="32"/>
        </w:rPr>
        <w:t>4.</w:t>
      </w:r>
      <w:r w:rsidRPr="008B6261">
        <w:rPr>
          <w:rFonts w:ascii="Times New Roman" w:eastAsia="仿宋_GB2312" w:hAnsi="Times New Roman"/>
          <w:bCs/>
          <w:color w:val="000000"/>
          <w:sz w:val="32"/>
          <w:szCs w:val="32"/>
        </w:rPr>
        <w:t>与同类和</w:t>
      </w:r>
      <w:r w:rsidRPr="008B6261">
        <w:rPr>
          <w:rFonts w:ascii="Times New Roman" w:eastAsia="仿宋_GB2312" w:hAnsi="Times New Roman"/>
          <w:bCs/>
          <w:color w:val="000000"/>
          <w:sz w:val="32"/>
          <w:szCs w:val="32"/>
        </w:rPr>
        <w:t>/</w:t>
      </w:r>
      <w:r w:rsidRPr="008B6261">
        <w:rPr>
          <w:rFonts w:ascii="Times New Roman" w:eastAsia="仿宋_GB2312" w:hAnsi="Times New Roman"/>
          <w:bCs/>
          <w:color w:val="000000"/>
          <w:sz w:val="32"/>
          <w:szCs w:val="32"/>
        </w:rPr>
        <w:t>或前代产品的参考和比较</w:t>
      </w:r>
    </w:p>
    <w:p w14:paraId="4EE2076C" w14:textId="77777777" w:rsidR="00482E81" w:rsidRPr="008B6261" w:rsidRDefault="00482E81" w:rsidP="00AB740F">
      <w:pPr>
        <w:spacing w:line="520" w:lineRule="exact"/>
        <w:ind w:firstLineChars="200" w:firstLine="640"/>
        <w:jc w:val="left"/>
        <w:rPr>
          <w:rFonts w:ascii="Times New Roman" w:eastAsia="仿宋_GB2312" w:hAnsi="Times New Roman"/>
          <w:color w:val="000000" w:themeColor="text1"/>
          <w:sz w:val="32"/>
          <w:szCs w:val="32"/>
        </w:rPr>
      </w:pPr>
      <w:r w:rsidRPr="008B6261">
        <w:rPr>
          <w:rFonts w:ascii="Times New Roman" w:eastAsia="仿宋_GB2312" w:hAnsi="Times New Roman"/>
          <w:bCs/>
          <w:color w:val="000000"/>
          <w:sz w:val="32"/>
          <w:szCs w:val="32"/>
        </w:rPr>
        <w:t>列表比较说明申报产品与同类产品和</w:t>
      </w:r>
      <w:r w:rsidRPr="008B6261">
        <w:rPr>
          <w:rFonts w:ascii="Times New Roman" w:eastAsia="仿宋_GB2312" w:hAnsi="Times New Roman"/>
          <w:bCs/>
          <w:color w:val="000000"/>
          <w:sz w:val="32"/>
          <w:szCs w:val="32"/>
        </w:rPr>
        <w:t>/</w:t>
      </w:r>
      <w:r w:rsidRPr="008B6261">
        <w:rPr>
          <w:rFonts w:ascii="Times New Roman" w:eastAsia="仿宋_GB2312" w:hAnsi="Times New Roman"/>
          <w:bCs/>
          <w:color w:val="000000"/>
          <w:sz w:val="32"/>
          <w:szCs w:val="32"/>
        </w:rPr>
        <w:t>或前代产品在工作原理、结构组成、制造材料、性能指标、作用方式，以及适用范围等方面的异同。</w:t>
      </w:r>
    </w:p>
    <w:p w14:paraId="50439DAA" w14:textId="77777777" w:rsidR="00482E81" w:rsidRPr="008B6261" w:rsidRDefault="00482E81" w:rsidP="00AB740F">
      <w:pPr>
        <w:spacing w:line="520" w:lineRule="exact"/>
        <w:ind w:firstLineChars="200" w:firstLine="640"/>
        <w:jc w:val="left"/>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相对于市场上同类常规产品的创新性技术、设计和应用的介绍。</w:t>
      </w:r>
    </w:p>
    <w:p w14:paraId="4D045E05" w14:textId="77777777" w:rsidR="000968B5" w:rsidRPr="008B6261" w:rsidRDefault="000968B5" w:rsidP="00AB740F">
      <w:pPr>
        <w:snapToGrid w:val="0"/>
        <w:spacing w:line="520" w:lineRule="exact"/>
        <w:ind w:firstLineChars="200" w:firstLine="640"/>
        <w:rPr>
          <w:rFonts w:ascii="Times New Roman" w:eastAsia="楷体_GB2312" w:hAnsi="Times New Roman"/>
          <w:color w:val="000000"/>
          <w:sz w:val="32"/>
          <w:szCs w:val="32"/>
        </w:rPr>
      </w:pPr>
      <w:r w:rsidRPr="008B6261">
        <w:rPr>
          <w:rFonts w:ascii="Times New Roman" w:eastAsia="楷体_GB2312" w:hAnsi="Times New Roman"/>
          <w:color w:val="000000"/>
          <w:sz w:val="32"/>
          <w:szCs w:val="32"/>
        </w:rPr>
        <w:t>（</w:t>
      </w:r>
      <w:r w:rsidR="00F87B51" w:rsidRPr="008B6261">
        <w:rPr>
          <w:rFonts w:ascii="Times New Roman" w:eastAsia="楷体_GB2312" w:hAnsi="Times New Roman"/>
          <w:color w:val="000000"/>
          <w:sz w:val="32"/>
          <w:szCs w:val="32"/>
        </w:rPr>
        <w:t>三</w:t>
      </w:r>
      <w:r w:rsidRPr="008B6261">
        <w:rPr>
          <w:rFonts w:ascii="Times New Roman" w:eastAsia="楷体_GB2312" w:hAnsi="Times New Roman"/>
          <w:color w:val="000000"/>
          <w:sz w:val="32"/>
          <w:szCs w:val="32"/>
        </w:rPr>
        <w:t>）非临床资料</w:t>
      </w:r>
    </w:p>
    <w:p w14:paraId="3B97C8CC" w14:textId="77777777" w:rsidR="000968B5" w:rsidRPr="008B6261" w:rsidRDefault="000968B5"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1.</w:t>
      </w:r>
      <w:r w:rsidRPr="008B6261">
        <w:rPr>
          <w:rFonts w:ascii="Times New Roman" w:eastAsia="仿宋_GB2312" w:hAnsi="Times New Roman"/>
          <w:color w:val="000000"/>
          <w:sz w:val="32"/>
          <w:szCs w:val="32"/>
        </w:rPr>
        <w:t>产品风险管理资料</w:t>
      </w:r>
    </w:p>
    <w:p w14:paraId="48FF11ED" w14:textId="77777777" w:rsidR="004F1AF3" w:rsidRPr="008B6261" w:rsidRDefault="004F1AF3" w:rsidP="00AB740F">
      <w:pPr>
        <w:spacing w:line="520" w:lineRule="exact"/>
        <w:ind w:firstLineChars="200" w:firstLine="640"/>
        <w:rPr>
          <w:rFonts w:ascii="Times New Roman" w:eastAsia="仿宋_GB2312" w:hAnsi="Times New Roman"/>
          <w:sz w:val="32"/>
          <w:szCs w:val="32"/>
        </w:rPr>
      </w:pPr>
      <w:r w:rsidRPr="008B6261">
        <w:rPr>
          <w:rFonts w:ascii="Times New Roman" w:eastAsia="仿宋_GB2312" w:hAnsi="Times New Roman"/>
          <w:sz w:val="32"/>
          <w:szCs w:val="32"/>
        </w:rPr>
        <w:t>基于</w:t>
      </w:r>
      <w:r w:rsidR="001669BB" w:rsidRPr="008B6261">
        <w:rPr>
          <w:rFonts w:ascii="Times New Roman" w:eastAsia="仿宋_GB2312" w:hAnsi="Times New Roman"/>
          <w:sz w:val="32"/>
          <w:szCs w:val="32"/>
        </w:rPr>
        <w:t>电极导线</w:t>
      </w:r>
      <w:r w:rsidRPr="008B6261">
        <w:rPr>
          <w:rFonts w:ascii="Times New Roman" w:eastAsia="仿宋_GB2312" w:hAnsi="Times New Roman"/>
          <w:sz w:val="32"/>
          <w:szCs w:val="32"/>
        </w:rPr>
        <w:t>的预期用途、使用场景、核心功能开展风险管理。重点</w:t>
      </w:r>
      <w:r w:rsidR="00892DC8" w:rsidRPr="008B6261">
        <w:rPr>
          <w:rFonts w:ascii="Times New Roman" w:eastAsia="仿宋_GB2312" w:hAnsi="Times New Roman"/>
          <w:sz w:val="32"/>
          <w:szCs w:val="32"/>
        </w:rPr>
        <w:t>分析电极导线失效</w:t>
      </w:r>
      <w:r w:rsidR="008F55EA" w:rsidRPr="008B6261">
        <w:rPr>
          <w:rFonts w:ascii="Times New Roman" w:eastAsia="仿宋_GB2312" w:hAnsi="Times New Roman"/>
          <w:sz w:val="32"/>
          <w:szCs w:val="32"/>
        </w:rPr>
        <w:t>风险</w:t>
      </w:r>
      <w:r w:rsidRPr="008B6261">
        <w:rPr>
          <w:rFonts w:ascii="Times New Roman" w:eastAsia="仿宋_GB2312" w:hAnsi="Times New Roman"/>
          <w:sz w:val="32"/>
          <w:szCs w:val="32"/>
        </w:rPr>
        <w:t>，明确相应风险控制措施，确保</w:t>
      </w:r>
      <w:r w:rsidR="00892DC8" w:rsidRPr="008B6261">
        <w:rPr>
          <w:rFonts w:ascii="Times New Roman" w:eastAsia="仿宋_GB2312" w:hAnsi="Times New Roman"/>
          <w:sz w:val="32"/>
          <w:szCs w:val="32"/>
        </w:rPr>
        <w:t>产品</w:t>
      </w:r>
      <w:r w:rsidRPr="008B6261">
        <w:rPr>
          <w:rFonts w:ascii="Times New Roman" w:eastAsia="仿宋_GB2312" w:hAnsi="Times New Roman"/>
          <w:sz w:val="32"/>
          <w:szCs w:val="32"/>
        </w:rPr>
        <w:t>综合剩余风险均可接受。</w:t>
      </w:r>
      <w:r w:rsidR="00EC00B9" w:rsidRPr="008B6261">
        <w:rPr>
          <w:rFonts w:ascii="Times New Roman" w:eastAsia="仿宋_GB2312" w:hAnsi="Times New Roman"/>
          <w:sz w:val="32"/>
          <w:szCs w:val="32"/>
        </w:rPr>
        <w:t>参照</w:t>
      </w:r>
      <w:r w:rsidR="006267AD" w:rsidRPr="008B6261">
        <w:rPr>
          <w:rFonts w:ascii="Times New Roman" w:eastAsia="仿宋_GB2312" w:hAnsi="Times New Roman"/>
          <w:sz w:val="32"/>
          <w:szCs w:val="32"/>
        </w:rPr>
        <w:t>GB/T 42062</w:t>
      </w:r>
      <w:r w:rsidR="00EC00B9" w:rsidRPr="008B6261">
        <w:rPr>
          <w:rFonts w:ascii="Times New Roman" w:eastAsia="仿宋_GB2312" w:hAnsi="Times New Roman"/>
          <w:sz w:val="32"/>
          <w:szCs w:val="32"/>
        </w:rPr>
        <w:t>建立电极导线风险管理文档。</w:t>
      </w:r>
    </w:p>
    <w:p w14:paraId="7C5F8670" w14:textId="18C3E5B0" w:rsidR="00F967A3" w:rsidRPr="008B6261" w:rsidRDefault="00F967A3" w:rsidP="00AB740F">
      <w:pPr>
        <w:spacing w:line="520" w:lineRule="exact"/>
        <w:ind w:firstLineChars="200" w:firstLine="640"/>
        <w:rPr>
          <w:rFonts w:ascii="Times New Roman" w:eastAsia="仿宋_GB2312" w:hAnsi="Times New Roman"/>
          <w:sz w:val="32"/>
          <w:szCs w:val="32"/>
        </w:rPr>
      </w:pPr>
      <w:r w:rsidRPr="008B6261">
        <w:rPr>
          <w:rFonts w:ascii="Times New Roman" w:eastAsia="仿宋_GB2312" w:hAnsi="Times New Roman"/>
          <w:color w:val="000000"/>
          <w:sz w:val="32"/>
          <w:szCs w:val="32"/>
        </w:rPr>
        <w:t>2.</w:t>
      </w:r>
      <w:r w:rsidRPr="008B6261">
        <w:rPr>
          <w:rFonts w:ascii="Times New Roman" w:eastAsia="仿宋_GB2312" w:hAnsi="Times New Roman"/>
          <w:color w:val="000000"/>
          <w:sz w:val="32"/>
          <w:szCs w:val="32"/>
        </w:rPr>
        <w:t>医疗器械安全和性能基本原则清单条款适用情况见附</w:t>
      </w:r>
      <w:r w:rsidR="00A07758" w:rsidRPr="008B6261">
        <w:rPr>
          <w:rFonts w:ascii="Times New Roman" w:eastAsia="仿宋_GB2312" w:hAnsi="Times New Roman" w:hint="eastAsia"/>
          <w:color w:val="000000"/>
          <w:sz w:val="32"/>
          <w:szCs w:val="32"/>
        </w:rPr>
        <w:t>件</w:t>
      </w:r>
      <w:r w:rsidR="00A07758" w:rsidRPr="008B6261">
        <w:rPr>
          <w:rFonts w:ascii="Times New Roman" w:eastAsia="仿宋_GB2312" w:hAnsi="Times New Roman" w:hint="eastAsia"/>
          <w:color w:val="000000"/>
          <w:sz w:val="32"/>
          <w:szCs w:val="32"/>
        </w:rPr>
        <w:t>1</w:t>
      </w:r>
      <w:r w:rsidRPr="008B6261">
        <w:rPr>
          <w:rFonts w:ascii="Times New Roman" w:eastAsia="仿宋_GB2312" w:hAnsi="Times New Roman"/>
          <w:color w:val="000000"/>
          <w:sz w:val="32"/>
          <w:szCs w:val="32"/>
        </w:rPr>
        <w:t>。</w:t>
      </w:r>
    </w:p>
    <w:p w14:paraId="77B5729E" w14:textId="77777777" w:rsidR="000968B5" w:rsidRPr="008B6261" w:rsidRDefault="00F967A3"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3</w:t>
      </w:r>
      <w:r w:rsidR="000968B5" w:rsidRPr="008B6261">
        <w:rPr>
          <w:rFonts w:ascii="Times New Roman" w:eastAsia="仿宋_GB2312" w:hAnsi="Times New Roman"/>
          <w:color w:val="000000"/>
          <w:sz w:val="32"/>
          <w:szCs w:val="32"/>
        </w:rPr>
        <w:t>.</w:t>
      </w:r>
      <w:r w:rsidR="000968B5" w:rsidRPr="008B6261">
        <w:rPr>
          <w:rFonts w:ascii="Times New Roman" w:eastAsia="仿宋_GB2312" w:hAnsi="Times New Roman"/>
          <w:color w:val="000000"/>
          <w:sz w:val="32"/>
          <w:szCs w:val="32"/>
        </w:rPr>
        <w:t>产品技术要求及检验报告</w:t>
      </w:r>
    </w:p>
    <w:p w14:paraId="06FB0206" w14:textId="77777777" w:rsidR="00363C54" w:rsidRPr="008B6261" w:rsidRDefault="00363C54"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lastRenderedPageBreak/>
        <w:t>产品技术要求</w:t>
      </w:r>
      <w:r w:rsidR="008F0FB9" w:rsidRPr="008B6261">
        <w:rPr>
          <w:rFonts w:ascii="Times New Roman" w:eastAsia="仿宋_GB2312" w:hAnsi="Times New Roman"/>
          <w:color w:val="000000"/>
          <w:sz w:val="32"/>
          <w:szCs w:val="32"/>
        </w:rPr>
        <w:t>至少</w:t>
      </w:r>
      <w:r w:rsidRPr="008B6261">
        <w:rPr>
          <w:rFonts w:ascii="Times New Roman" w:eastAsia="仿宋_GB2312" w:hAnsi="Times New Roman"/>
          <w:color w:val="000000"/>
          <w:sz w:val="32"/>
          <w:szCs w:val="32"/>
        </w:rPr>
        <w:t>包括以下</w:t>
      </w:r>
      <w:r w:rsidR="001B6F02" w:rsidRPr="008B6261">
        <w:rPr>
          <w:rFonts w:ascii="Times New Roman" w:eastAsia="仿宋_GB2312" w:hAnsi="Times New Roman"/>
          <w:color w:val="000000"/>
          <w:sz w:val="32"/>
          <w:szCs w:val="32"/>
        </w:rPr>
        <w:t>内容</w:t>
      </w:r>
      <w:r w:rsidR="00682AF1" w:rsidRPr="008B6261">
        <w:rPr>
          <w:rFonts w:ascii="Times New Roman" w:eastAsia="仿宋_GB2312" w:hAnsi="Times New Roman"/>
          <w:color w:val="000000"/>
          <w:sz w:val="32"/>
          <w:szCs w:val="32"/>
        </w:rPr>
        <w:t>：</w:t>
      </w:r>
    </w:p>
    <w:p w14:paraId="668965F0" w14:textId="77777777" w:rsidR="00E167EB" w:rsidRPr="008B6261" w:rsidRDefault="0063325C"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1</w:t>
      </w:r>
      <w:r w:rsidRPr="008B6261">
        <w:rPr>
          <w:rFonts w:ascii="Times New Roman" w:eastAsia="仿宋_GB2312" w:hAnsi="Times New Roman"/>
          <w:color w:val="000000"/>
          <w:sz w:val="32"/>
          <w:szCs w:val="32"/>
        </w:rPr>
        <w:t>）</w:t>
      </w:r>
      <w:r w:rsidR="00494EA2" w:rsidRPr="008B6261">
        <w:rPr>
          <w:rFonts w:ascii="Times New Roman" w:eastAsia="仿宋_GB2312" w:hAnsi="Times New Roman"/>
          <w:color w:val="000000"/>
          <w:sz w:val="32"/>
          <w:szCs w:val="32"/>
        </w:rPr>
        <w:t>物理性能</w:t>
      </w:r>
      <w:r w:rsidR="001B6F02" w:rsidRPr="008B6261">
        <w:rPr>
          <w:rFonts w:ascii="Times New Roman" w:eastAsia="仿宋_GB2312" w:hAnsi="Times New Roman"/>
          <w:color w:val="000000"/>
          <w:sz w:val="32"/>
          <w:szCs w:val="32"/>
        </w:rPr>
        <w:t>指标</w:t>
      </w:r>
      <w:r w:rsidR="00024827" w:rsidRPr="008B6261">
        <w:rPr>
          <w:rFonts w:ascii="Times New Roman" w:eastAsia="仿宋_GB2312" w:hAnsi="Times New Roman"/>
          <w:color w:val="000000"/>
          <w:sz w:val="32"/>
          <w:szCs w:val="32"/>
        </w:rPr>
        <w:t>：</w:t>
      </w:r>
      <w:r w:rsidR="00494EA2" w:rsidRPr="008B6261">
        <w:rPr>
          <w:rFonts w:ascii="Times New Roman" w:eastAsia="仿宋_GB2312" w:hAnsi="Times New Roman"/>
          <w:color w:val="000000"/>
          <w:sz w:val="32"/>
          <w:szCs w:val="32"/>
        </w:rPr>
        <w:t>包括外观、物理尺寸、耐腐蚀性、</w:t>
      </w:r>
      <w:r w:rsidR="00494EA2" w:rsidRPr="008B6261">
        <w:rPr>
          <w:rFonts w:ascii="Times New Roman" w:eastAsia="仿宋_GB2312" w:hAnsi="Times New Roman"/>
          <w:color w:val="000000"/>
          <w:sz w:val="32"/>
          <w:szCs w:val="32"/>
        </w:rPr>
        <w:t>X</w:t>
      </w:r>
      <w:r w:rsidR="00494EA2" w:rsidRPr="008B6261">
        <w:rPr>
          <w:rFonts w:ascii="Times New Roman" w:eastAsia="仿宋_GB2312" w:hAnsi="Times New Roman"/>
          <w:color w:val="000000"/>
          <w:sz w:val="32"/>
          <w:szCs w:val="32"/>
        </w:rPr>
        <w:t>射线可探测性、颗粒释放、峰值拉力、转接头插拔力（如适用）、转接头连接力（如适用）</w:t>
      </w:r>
      <w:r w:rsidR="009A2617" w:rsidRPr="008B6261">
        <w:rPr>
          <w:rFonts w:ascii="Times New Roman" w:eastAsia="仿宋_GB2312" w:hAnsi="Times New Roman"/>
          <w:color w:val="000000"/>
          <w:sz w:val="32"/>
          <w:szCs w:val="32"/>
        </w:rPr>
        <w:t>。</w:t>
      </w:r>
    </w:p>
    <w:p w14:paraId="40188626" w14:textId="77777777" w:rsidR="009A2617" w:rsidRPr="008B6261" w:rsidRDefault="009A2617"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2</w:t>
      </w:r>
      <w:r w:rsidRPr="008B6261">
        <w:rPr>
          <w:rFonts w:ascii="Times New Roman" w:eastAsia="仿宋_GB2312" w:hAnsi="Times New Roman"/>
          <w:color w:val="000000"/>
          <w:sz w:val="32"/>
          <w:szCs w:val="32"/>
        </w:rPr>
        <w:t>）电学性能</w:t>
      </w:r>
      <w:r w:rsidR="001B6F02" w:rsidRPr="008B6261">
        <w:rPr>
          <w:rFonts w:ascii="Times New Roman" w:eastAsia="仿宋_GB2312" w:hAnsi="Times New Roman"/>
          <w:color w:val="000000"/>
          <w:sz w:val="32"/>
          <w:szCs w:val="32"/>
        </w:rPr>
        <w:t>指标</w:t>
      </w:r>
      <w:r w:rsidRPr="008B6261">
        <w:rPr>
          <w:rFonts w:ascii="Times New Roman" w:eastAsia="仿宋_GB2312" w:hAnsi="Times New Roman"/>
          <w:color w:val="000000"/>
          <w:sz w:val="32"/>
          <w:szCs w:val="32"/>
        </w:rPr>
        <w:t>：</w:t>
      </w:r>
      <w:r w:rsidR="001352B2" w:rsidRPr="008B6261">
        <w:rPr>
          <w:rFonts w:ascii="Times New Roman" w:eastAsia="仿宋_GB2312" w:hAnsi="Times New Roman"/>
          <w:color w:val="000000"/>
          <w:sz w:val="32"/>
          <w:szCs w:val="32"/>
        </w:rPr>
        <w:t>包括导线直流电阻、电极间绝缘阻抗。</w:t>
      </w:r>
    </w:p>
    <w:p w14:paraId="07DF311B" w14:textId="77777777" w:rsidR="003B3D6D" w:rsidRPr="008B6261" w:rsidRDefault="003B3D6D"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3</w:t>
      </w:r>
      <w:r w:rsidRPr="008B6261">
        <w:rPr>
          <w:rFonts w:ascii="Times New Roman" w:eastAsia="仿宋_GB2312" w:hAnsi="Times New Roman"/>
          <w:color w:val="000000"/>
          <w:sz w:val="32"/>
          <w:szCs w:val="32"/>
        </w:rPr>
        <w:t>）化学性能</w:t>
      </w:r>
      <w:r w:rsidR="001B6F02" w:rsidRPr="008B6261">
        <w:rPr>
          <w:rFonts w:ascii="Times New Roman" w:eastAsia="仿宋_GB2312" w:hAnsi="Times New Roman"/>
          <w:color w:val="000000"/>
          <w:sz w:val="32"/>
          <w:szCs w:val="32"/>
        </w:rPr>
        <w:t>指标</w:t>
      </w:r>
      <w:r w:rsidRPr="008B6261">
        <w:rPr>
          <w:rFonts w:ascii="Times New Roman" w:eastAsia="仿宋_GB2312" w:hAnsi="Times New Roman"/>
          <w:color w:val="000000"/>
          <w:sz w:val="32"/>
          <w:szCs w:val="32"/>
        </w:rPr>
        <w:t>：包括还原物质、紫外吸光度、酸碱度、重金属、蒸发残渣、色泽、环氧乙烷残留量。</w:t>
      </w:r>
    </w:p>
    <w:p w14:paraId="186B8F5C" w14:textId="77777777" w:rsidR="003B3D6D" w:rsidRPr="008B6261" w:rsidRDefault="003B3D6D"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00E42202" w:rsidRPr="008B6261">
        <w:rPr>
          <w:rFonts w:ascii="Times New Roman" w:eastAsia="仿宋_GB2312" w:hAnsi="Times New Roman"/>
          <w:color w:val="000000"/>
          <w:sz w:val="32"/>
          <w:szCs w:val="32"/>
        </w:rPr>
        <w:t>4</w:t>
      </w:r>
      <w:r w:rsidRPr="008B6261">
        <w:rPr>
          <w:rFonts w:ascii="Times New Roman" w:eastAsia="仿宋_GB2312" w:hAnsi="Times New Roman"/>
          <w:color w:val="000000"/>
          <w:sz w:val="32"/>
          <w:szCs w:val="32"/>
        </w:rPr>
        <w:t>）</w:t>
      </w:r>
      <w:r w:rsidR="00E42202" w:rsidRPr="008B6261">
        <w:rPr>
          <w:rFonts w:ascii="Times New Roman" w:eastAsia="仿宋_GB2312" w:hAnsi="Times New Roman"/>
          <w:color w:val="000000"/>
          <w:sz w:val="32"/>
          <w:szCs w:val="32"/>
        </w:rPr>
        <w:t>生物性能</w:t>
      </w:r>
      <w:r w:rsidR="001B6F02" w:rsidRPr="008B6261">
        <w:rPr>
          <w:rFonts w:ascii="Times New Roman" w:eastAsia="仿宋_GB2312" w:hAnsi="Times New Roman"/>
          <w:color w:val="000000"/>
          <w:sz w:val="32"/>
          <w:szCs w:val="32"/>
        </w:rPr>
        <w:t>指标</w:t>
      </w:r>
      <w:r w:rsidR="00E42202" w:rsidRPr="008B6261">
        <w:rPr>
          <w:rFonts w:ascii="Times New Roman" w:eastAsia="仿宋_GB2312" w:hAnsi="Times New Roman"/>
          <w:color w:val="000000"/>
          <w:sz w:val="32"/>
          <w:szCs w:val="32"/>
        </w:rPr>
        <w:t>：无菌、细菌内毒素。</w:t>
      </w:r>
    </w:p>
    <w:p w14:paraId="716778E3" w14:textId="77777777" w:rsidR="00E42202" w:rsidRPr="008B6261" w:rsidRDefault="00E42202"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5</w:t>
      </w:r>
      <w:r w:rsidRPr="008B6261">
        <w:rPr>
          <w:rFonts w:ascii="Times New Roman" w:eastAsia="仿宋_GB2312" w:hAnsi="Times New Roman"/>
          <w:color w:val="000000"/>
          <w:sz w:val="32"/>
          <w:szCs w:val="32"/>
        </w:rPr>
        <w:t>）</w:t>
      </w:r>
      <w:r w:rsidR="006267AD" w:rsidRPr="008B6261">
        <w:rPr>
          <w:rFonts w:ascii="Times New Roman" w:eastAsia="仿宋_GB2312" w:hAnsi="Times New Roman"/>
          <w:color w:val="000000"/>
          <w:sz w:val="32"/>
          <w:szCs w:val="32"/>
        </w:rPr>
        <w:t>电气</w:t>
      </w:r>
      <w:r w:rsidRPr="008B6261">
        <w:rPr>
          <w:rFonts w:ascii="Times New Roman" w:eastAsia="仿宋_GB2312" w:hAnsi="Times New Roman"/>
          <w:color w:val="000000"/>
          <w:sz w:val="32"/>
          <w:szCs w:val="32"/>
        </w:rPr>
        <w:t>安全与电磁兼容</w:t>
      </w:r>
      <w:r w:rsidR="006267AD" w:rsidRPr="008B6261">
        <w:rPr>
          <w:rFonts w:ascii="Times New Roman" w:eastAsia="仿宋_GB2312" w:hAnsi="Times New Roman"/>
          <w:sz w:val="32"/>
          <w:szCs w:val="32"/>
        </w:rPr>
        <w:t>（</w:t>
      </w:r>
      <w:r w:rsidR="006267AD" w:rsidRPr="008B6261">
        <w:rPr>
          <w:rFonts w:ascii="Times New Roman" w:eastAsia="仿宋_GB2312" w:hAnsi="Times New Roman"/>
          <w:sz w:val="32"/>
          <w:szCs w:val="32"/>
        </w:rPr>
        <w:t>GB 9706.1</w:t>
      </w:r>
      <w:r w:rsidR="006267AD" w:rsidRPr="008B6261">
        <w:rPr>
          <w:rFonts w:ascii="Times New Roman" w:eastAsia="仿宋_GB2312" w:hAnsi="Times New Roman"/>
          <w:sz w:val="32"/>
          <w:szCs w:val="32"/>
        </w:rPr>
        <w:t>、</w:t>
      </w:r>
      <w:r w:rsidR="006267AD" w:rsidRPr="008B6261">
        <w:rPr>
          <w:rFonts w:ascii="Times New Roman" w:eastAsia="仿宋_GB2312" w:hAnsi="Times New Roman"/>
          <w:sz w:val="32"/>
          <w:szCs w:val="32"/>
        </w:rPr>
        <w:t>YY 9706.102</w:t>
      </w:r>
      <w:r w:rsidR="006267AD" w:rsidRPr="008B6261">
        <w:rPr>
          <w:rFonts w:ascii="Times New Roman" w:eastAsia="仿宋_GB2312" w:hAnsi="Times New Roman"/>
          <w:sz w:val="32"/>
          <w:szCs w:val="32"/>
        </w:rPr>
        <w:t>）</w:t>
      </w:r>
      <w:r w:rsidRPr="008B6261">
        <w:rPr>
          <w:rFonts w:ascii="Times New Roman" w:eastAsia="仿宋_GB2312" w:hAnsi="Times New Roman"/>
          <w:color w:val="000000"/>
          <w:sz w:val="32"/>
          <w:szCs w:val="32"/>
        </w:rPr>
        <w:t>。</w:t>
      </w:r>
    </w:p>
    <w:p w14:paraId="29958CB6" w14:textId="77777777" w:rsidR="009E4C0D" w:rsidRPr="008B6261" w:rsidRDefault="009E4C0D"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6</w:t>
      </w:r>
      <w:r w:rsidRPr="008B6261">
        <w:rPr>
          <w:rFonts w:ascii="Times New Roman" w:eastAsia="仿宋_GB2312" w:hAnsi="Times New Roman"/>
          <w:color w:val="000000"/>
          <w:sz w:val="32"/>
          <w:szCs w:val="32"/>
        </w:rPr>
        <w:t>）</w:t>
      </w:r>
      <w:r w:rsidR="00E15391" w:rsidRPr="008B6261">
        <w:rPr>
          <w:rFonts w:ascii="Times New Roman" w:eastAsia="仿宋_GB2312" w:hAnsi="Times New Roman"/>
          <w:color w:val="000000"/>
          <w:sz w:val="32"/>
          <w:szCs w:val="32"/>
        </w:rPr>
        <w:t>以附录形式</w:t>
      </w:r>
      <w:r w:rsidR="006267AD" w:rsidRPr="008B6261">
        <w:rPr>
          <w:rFonts w:ascii="Times New Roman" w:eastAsia="仿宋_GB2312" w:hAnsi="Times New Roman"/>
          <w:color w:val="000000"/>
          <w:sz w:val="32"/>
          <w:szCs w:val="32"/>
        </w:rPr>
        <w:t>提供</w:t>
      </w:r>
      <w:r w:rsidR="001B6F02" w:rsidRPr="008B6261">
        <w:rPr>
          <w:rFonts w:ascii="Times New Roman" w:eastAsia="仿宋_GB2312" w:hAnsi="Times New Roman"/>
          <w:color w:val="000000"/>
          <w:sz w:val="32"/>
          <w:szCs w:val="32"/>
        </w:rPr>
        <w:t>产品结构图、电极物理特性和结构的描述、材料</w:t>
      </w:r>
      <w:r w:rsidR="006F6FBA" w:rsidRPr="008B6261">
        <w:rPr>
          <w:rFonts w:ascii="Times New Roman" w:eastAsia="仿宋_GB2312" w:hAnsi="Times New Roman"/>
          <w:color w:val="000000"/>
          <w:sz w:val="32"/>
          <w:szCs w:val="32"/>
        </w:rPr>
        <w:t>（包括牌号、符合的标准等）</w:t>
      </w:r>
      <w:r w:rsidR="001B6F02" w:rsidRPr="008B6261">
        <w:rPr>
          <w:rFonts w:ascii="Times New Roman" w:eastAsia="仿宋_GB2312" w:hAnsi="Times New Roman"/>
          <w:color w:val="000000"/>
          <w:sz w:val="32"/>
          <w:szCs w:val="32"/>
        </w:rPr>
        <w:t>的说明，明确货架有效期。</w:t>
      </w:r>
    </w:p>
    <w:p w14:paraId="6943D97D" w14:textId="77777777" w:rsidR="000968B5" w:rsidRPr="008B6261" w:rsidRDefault="00F967A3"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4</w:t>
      </w:r>
      <w:r w:rsidR="000968B5" w:rsidRPr="008B6261">
        <w:rPr>
          <w:rFonts w:ascii="Times New Roman" w:eastAsia="仿宋_GB2312" w:hAnsi="Times New Roman"/>
          <w:color w:val="000000"/>
          <w:sz w:val="32"/>
          <w:szCs w:val="32"/>
        </w:rPr>
        <w:t>.</w:t>
      </w:r>
      <w:r w:rsidR="000968B5" w:rsidRPr="008B6261">
        <w:rPr>
          <w:rFonts w:ascii="Times New Roman" w:eastAsia="仿宋_GB2312" w:hAnsi="Times New Roman"/>
          <w:color w:val="000000"/>
          <w:sz w:val="32"/>
          <w:szCs w:val="32"/>
        </w:rPr>
        <w:t>研究资料</w:t>
      </w:r>
    </w:p>
    <w:p w14:paraId="6AFB732A" w14:textId="77777777" w:rsidR="00052AC7" w:rsidRPr="008B6261" w:rsidRDefault="006F6FBA"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1</w:t>
      </w:r>
      <w:r w:rsidRPr="008B6261">
        <w:rPr>
          <w:rFonts w:ascii="Times New Roman" w:eastAsia="仿宋_GB2312" w:hAnsi="Times New Roman"/>
          <w:color w:val="000000"/>
          <w:sz w:val="32"/>
          <w:szCs w:val="32"/>
        </w:rPr>
        <w:t>）</w:t>
      </w:r>
      <w:r w:rsidR="0095168E" w:rsidRPr="008B6261">
        <w:rPr>
          <w:rFonts w:ascii="Times New Roman" w:eastAsia="仿宋_GB2312" w:hAnsi="Times New Roman"/>
          <w:color w:val="000000"/>
          <w:sz w:val="32"/>
          <w:szCs w:val="32"/>
        </w:rPr>
        <w:t>性</w:t>
      </w:r>
      <w:r w:rsidR="00E163A4" w:rsidRPr="008B6261">
        <w:rPr>
          <w:rFonts w:ascii="Times New Roman" w:eastAsia="仿宋_GB2312" w:hAnsi="Times New Roman"/>
          <w:color w:val="000000"/>
          <w:sz w:val="32"/>
          <w:szCs w:val="32"/>
        </w:rPr>
        <w:t>能</w:t>
      </w:r>
      <w:r w:rsidR="00072537" w:rsidRPr="008B6261">
        <w:rPr>
          <w:rFonts w:ascii="Times New Roman" w:eastAsia="仿宋_GB2312" w:hAnsi="Times New Roman"/>
          <w:color w:val="000000"/>
          <w:sz w:val="32"/>
          <w:szCs w:val="32"/>
        </w:rPr>
        <w:t>研究</w:t>
      </w:r>
      <w:r w:rsidR="00E163A4" w:rsidRPr="008B6261">
        <w:rPr>
          <w:rFonts w:ascii="Times New Roman" w:eastAsia="仿宋_GB2312" w:hAnsi="Times New Roman"/>
          <w:color w:val="000000"/>
          <w:sz w:val="32"/>
          <w:szCs w:val="32"/>
        </w:rPr>
        <w:t>：</w:t>
      </w:r>
    </w:p>
    <w:p w14:paraId="4B7DFB88" w14:textId="77777777" w:rsidR="00E163A4" w:rsidRPr="008B6261" w:rsidRDefault="00052AC7"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详细说明产品各项性能指标（包括机械性能、电学性能）的制定依据，确认其</w:t>
      </w:r>
      <w:r w:rsidR="006267AD" w:rsidRPr="008B6261">
        <w:rPr>
          <w:rFonts w:ascii="Times New Roman" w:eastAsia="仿宋_GB2312" w:hAnsi="Times New Roman"/>
          <w:color w:val="000000"/>
          <w:sz w:val="32"/>
          <w:szCs w:val="32"/>
        </w:rPr>
        <w:t>满足</w:t>
      </w:r>
      <w:r w:rsidRPr="008B6261">
        <w:rPr>
          <w:rFonts w:ascii="Times New Roman" w:eastAsia="仿宋_GB2312" w:hAnsi="Times New Roman"/>
          <w:color w:val="000000"/>
          <w:sz w:val="32"/>
          <w:szCs w:val="32"/>
        </w:rPr>
        <w:t>临床使用需求</w:t>
      </w:r>
      <w:r w:rsidR="00C46EAF" w:rsidRPr="008B6261">
        <w:rPr>
          <w:rFonts w:ascii="Times New Roman" w:eastAsia="仿宋_GB2312" w:hAnsi="Times New Roman"/>
          <w:color w:val="000000"/>
          <w:sz w:val="32"/>
          <w:szCs w:val="32"/>
        </w:rPr>
        <w:t>，提交相应的性能研究资料</w:t>
      </w:r>
      <w:r w:rsidRPr="008B6261">
        <w:rPr>
          <w:rFonts w:ascii="Times New Roman" w:eastAsia="仿宋_GB2312" w:hAnsi="Times New Roman"/>
          <w:color w:val="000000"/>
          <w:sz w:val="32"/>
          <w:szCs w:val="32"/>
        </w:rPr>
        <w:t>。</w:t>
      </w:r>
    </w:p>
    <w:p w14:paraId="3B277230" w14:textId="77777777" w:rsidR="002B6BFF" w:rsidRPr="008B6261" w:rsidRDefault="002B6BFF"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2</w:t>
      </w:r>
      <w:r w:rsidRPr="008B6261">
        <w:rPr>
          <w:rFonts w:ascii="Times New Roman" w:eastAsia="仿宋_GB2312" w:hAnsi="Times New Roman"/>
          <w:color w:val="000000"/>
          <w:sz w:val="32"/>
          <w:szCs w:val="32"/>
        </w:rPr>
        <w:t>）联合使用：</w:t>
      </w:r>
      <w:r w:rsidR="006B469B" w:rsidRPr="008B6261">
        <w:rPr>
          <w:rFonts w:ascii="Times New Roman" w:eastAsia="仿宋_GB2312" w:hAnsi="Times New Roman"/>
          <w:color w:val="000000"/>
          <w:sz w:val="32"/>
          <w:szCs w:val="32"/>
        </w:rPr>
        <w:t>验证申报产品与临时起搏器</w:t>
      </w:r>
      <w:r w:rsidR="00E15391" w:rsidRPr="008B6261">
        <w:rPr>
          <w:rFonts w:ascii="Times New Roman" w:eastAsia="仿宋_GB2312" w:hAnsi="Times New Roman"/>
          <w:color w:val="000000"/>
          <w:sz w:val="32"/>
          <w:szCs w:val="32"/>
        </w:rPr>
        <w:t>、连接线缆</w:t>
      </w:r>
      <w:r w:rsidR="006B469B" w:rsidRPr="008B6261">
        <w:rPr>
          <w:rFonts w:ascii="Times New Roman" w:eastAsia="仿宋_GB2312" w:hAnsi="Times New Roman"/>
          <w:color w:val="000000"/>
          <w:sz w:val="32"/>
          <w:szCs w:val="32"/>
        </w:rPr>
        <w:t>的联合使用情况，</w:t>
      </w:r>
      <w:r w:rsidR="00EC1EB7" w:rsidRPr="008B6261">
        <w:rPr>
          <w:rFonts w:ascii="Times New Roman" w:eastAsia="仿宋_GB2312" w:hAnsi="Times New Roman"/>
          <w:color w:val="000000"/>
          <w:sz w:val="32"/>
          <w:szCs w:val="32"/>
        </w:rPr>
        <w:t>提交</w:t>
      </w:r>
      <w:r w:rsidR="006B469B" w:rsidRPr="008B6261">
        <w:rPr>
          <w:rFonts w:ascii="Times New Roman" w:eastAsia="仿宋_GB2312" w:hAnsi="Times New Roman"/>
          <w:color w:val="000000"/>
          <w:sz w:val="32"/>
          <w:szCs w:val="32"/>
        </w:rPr>
        <w:t>相关联合使用的研究资料</w:t>
      </w:r>
      <w:r w:rsidR="006267AD" w:rsidRPr="008B6261">
        <w:rPr>
          <w:rFonts w:ascii="Times New Roman" w:eastAsia="仿宋_GB2312" w:hAnsi="Times New Roman"/>
          <w:color w:val="000000"/>
          <w:sz w:val="32"/>
          <w:szCs w:val="32"/>
        </w:rPr>
        <w:t>，说明用于验证的临时起搏器</w:t>
      </w:r>
      <w:r w:rsidR="00CE626B" w:rsidRPr="008B6261">
        <w:rPr>
          <w:rFonts w:ascii="Times New Roman" w:eastAsia="仿宋_GB2312" w:hAnsi="Times New Roman"/>
          <w:color w:val="000000"/>
          <w:sz w:val="32"/>
          <w:szCs w:val="32"/>
        </w:rPr>
        <w:t>、连接线缆</w:t>
      </w:r>
      <w:r w:rsidR="006267AD" w:rsidRPr="008B6261">
        <w:rPr>
          <w:rFonts w:ascii="Times New Roman" w:eastAsia="仿宋_GB2312" w:hAnsi="Times New Roman"/>
          <w:color w:val="000000"/>
          <w:sz w:val="32"/>
          <w:szCs w:val="32"/>
        </w:rPr>
        <w:t>具有典型性的理由（如适用）。</w:t>
      </w:r>
    </w:p>
    <w:p w14:paraId="735476D9" w14:textId="77777777" w:rsidR="00EE03F4" w:rsidRPr="008B6261" w:rsidRDefault="00E163A4"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002B6BFF" w:rsidRPr="008B6261">
        <w:rPr>
          <w:rFonts w:ascii="Times New Roman" w:eastAsia="仿宋_GB2312" w:hAnsi="Times New Roman"/>
          <w:color w:val="000000"/>
          <w:sz w:val="32"/>
          <w:szCs w:val="32"/>
        </w:rPr>
        <w:t>3</w:t>
      </w:r>
      <w:r w:rsidRPr="008B6261">
        <w:rPr>
          <w:rFonts w:ascii="Times New Roman" w:eastAsia="仿宋_GB2312" w:hAnsi="Times New Roman"/>
          <w:color w:val="000000"/>
          <w:sz w:val="32"/>
          <w:szCs w:val="32"/>
        </w:rPr>
        <w:t>）</w:t>
      </w:r>
      <w:r w:rsidR="00DD0768" w:rsidRPr="008B6261">
        <w:rPr>
          <w:rFonts w:ascii="Times New Roman" w:eastAsia="仿宋_GB2312" w:hAnsi="Times New Roman"/>
          <w:color w:val="000000"/>
          <w:sz w:val="32"/>
          <w:szCs w:val="32"/>
        </w:rPr>
        <w:t>生物相容性</w:t>
      </w:r>
      <w:r w:rsidR="00EC1EB7" w:rsidRPr="008B6261">
        <w:rPr>
          <w:rFonts w:ascii="Times New Roman" w:eastAsia="仿宋_GB2312" w:hAnsi="Times New Roman"/>
          <w:color w:val="000000"/>
          <w:sz w:val="32"/>
          <w:szCs w:val="32"/>
        </w:rPr>
        <w:t>：</w:t>
      </w:r>
      <w:r w:rsidR="00765801" w:rsidRPr="008B6261">
        <w:rPr>
          <w:rFonts w:ascii="Times New Roman" w:eastAsia="仿宋_GB2312" w:hAnsi="Times New Roman"/>
          <w:color w:val="000000"/>
          <w:sz w:val="32"/>
          <w:szCs w:val="32"/>
        </w:rPr>
        <w:t>本产品与循环血液</w:t>
      </w:r>
      <w:r w:rsidR="004F04A1" w:rsidRPr="008B6261">
        <w:rPr>
          <w:rFonts w:ascii="Times New Roman" w:eastAsia="仿宋_GB2312" w:hAnsi="Times New Roman"/>
          <w:color w:val="000000"/>
          <w:sz w:val="32"/>
          <w:szCs w:val="32"/>
        </w:rPr>
        <w:t>长期</w:t>
      </w:r>
      <w:r w:rsidR="00EC1EB7" w:rsidRPr="008B6261">
        <w:rPr>
          <w:rFonts w:ascii="Times New Roman" w:eastAsia="仿宋_GB2312" w:hAnsi="Times New Roman"/>
          <w:color w:val="000000"/>
          <w:sz w:val="32"/>
          <w:szCs w:val="32"/>
        </w:rPr>
        <w:t>接触</w:t>
      </w:r>
      <w:r w:rsidR="004F04A1" w:rsidRPr="008B6261">
        <w:rPr>
          <w:rFonts w:ascii="Times New Roman" w:eastAsia="仿宋_GB2312" w:hAnsi="Times New Roman"/>
          <w:color w:val="000000"/>
          <w:sz w:val="32"/>
          <w:szCs w:val="32"/>
        </w:rPr>
        <w:t>，依照</w:t>
      </w:r>
      <w:r w:rsidR="004F04A1" w:rsidRPr="008B6261">
        <w:rPr>
          <w:rFonts w:ascii="Times New Roman" w:eastAsia="仿宋_GB2312" w:hAnsi="Times New Roman"/>
          <w:color w:val="000000"/>
          <w:sz w:val="32"/>
          <w:szCs w:val="32"/>
        </w:rPr>
        <w:t>GB/T 16886</w:t>
      </w:r>
      <w:r w:rsidR="004F04A1" w:rsidRPr="008B6261">
        <w:rPr>
          <w:rFonts w:ascii="Times New Roman" w:eastAsia="仿宋_GB2312" w:hAnsi="Times New Roman"/>
          <w:color w:val="000000"/>
          <w:sz w:val="32"/>
          <w:szCs w:val="32"/>
        </w:rPr>
        <w:t>系列标准进行</w:t>
      </w:r>
      <w:r w:rsidR="00CE626B" w:rsidRPr="008B6261">
        <w:rPr>
          <w:rFonts w:ascii="Times New Roman" w:eastAsia="仿宋_GB2312" w:hAnsi="Times New Roman"/>
          <w:color w:val="000000"/>
          <w:sz w:val="32"/>
          <w:szCs w:val="32"/>
        </w:rPr>
        <w:t>生物相容性评价</w:t>
      </w:r>
      <w:r w:rsidR="004F04A1" w:rsidRPr="008B6261">
        <w:rPr>
          <w:rFonts w:ascii="Times New Roman" w:eastAsia="仿宋_GB2312" w:hAnsi="Times New Roman"/>
          <w:color w:val="000000"/>
          <w:sz w:val="32"/>
          <w:szCs w:val="32"/>
        </w:rPr>
        <w:t>。</w:t>
      </w:r>
    </w:p>
    <w:p w14:paraId="0A6053C1" w14:textId="77777777" w:rsidR="00482E81" w:rsidRPr="008B6261" w:rsidRDefault="00482E81"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4</w:t>
      </w:r>
      <w:r w:rsidRPr="008B6261">
        <w:rPr>
          <w:rFonts w:ascii="Times New Roman" w:eastAsia="仿宋_GB2312" w:hAnsi="Times New Roman"/>
          <w:color w:val="000000"/>
          <w:sz w:val="32"/>
          <w:szCs w:val="32"/>
        </w:rPr>
        <w:t>）</w:t>
      </w:r>
      <w:r w:rsidR="007136A7" w:rsidRPr="008B6261">
        <w:rPr>
          <w:rFonts w:ascii="Times New Roman" w:eastAsia="仿宋_GB2312" w:hAnsi="Times New Roman"/>
          <w:color w:val="000000"/>
          <w:sz w:val="32"/>
          <w:szCs w:val="32"/>
        </w:rPr>
        <w:t>灭菌研究</w:t>
      </w:r>
    </w:p>
    <w:p w14:paraId="2C79BC66" w14:textId="77777777" w:rsidR="007136A7" w:rsidRPr="008B6261" w:rsidRDefault="004F04A1"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产品由生产企业灭菌。</w:t>
      </w:r>
      <w:r w:rsidR="00822B2F" w:rsidRPr="008B6261">
        <w:rPr>
          <w:rFonts w:ascii="Times New Roman" w:eastAsia="仿宋_GB2312" w:hAnsi="Times New Roman"/>
          <w:color w:val="000000"/>
          <w:sz w:val="32"/>
          <w:szCs w:val="32"/>
        </w:rPr>
        <w:t>明确灭菌工艺（方法和参数）和无菌保证水平（</w:t>
      </w:r>
      <w:r w:rsidR="00822B2F" w:rsidRPr="008B6261">
        <w:rPr>
          <w:rFonts w:ascii="Times New Roman" w:eastAsia="仿宋_GB2312" w:hAnsi="Times New Roman"/>
          <w:color w:val="000000"/>
          <w:sz w:val="32"/>
          <w:szCs w:val="32"/>
        </w:rPr>
        <w:t>SAL</w:t>
      </w:r>
      <w:r w:rsidR="00822B2F" w:rsidRPr="008B6261">
        <w:rPr>
          <w:rFonts w:ascii="Times New Roman" w:eastAsia="仿宋_GB2312" w:hAnsi="Times New Roman"/>
          <w:color w:val="000000"/>
          <w:sz w:val="32"/>
          <w:szCs w:val="32"/>
        </w:rPr>
        <w:t>），提供灭菌验证及确认的相关研究资料。</w:t>
      </w:r>
      <w:r w:rsidR="00822B2F" w:rsidRPr="008B6261">
        <w:rPr>
          <w:rFonts w:ascii="Times New Roman" w:eastAsia="仿宋_GB2312" w:hAnsi="Times New Roman"/>
          <w:color w:val="000000"/>
          <w:sz w:val="32"/>
          <w:szCs w:val="32"/>
        </w:rPr>
        <w:lastRenderedPageBreak/>
        <w:t>产品经灭菌后可能产生残留物质，对灭菌后的产品进行残留毒性的研究，明确残留物信息及采取的处理方法，提供相关研究资料。</w:t>
      </w:r>
    </w:p>
    <w:p w14:paraId="553D721D" w14:textId="77777777" w:rsidR="007136A7" w:rsidRPr="008B6261" w:rsidRDefault="007136A7"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w:t>
      </w:r>
      <w:r w:rsidRPr="008B6261">
        <w:rPr>
          <w:rFonts w:ascii="Times New Roman" w:eastAsia="仿宋_GB2312" w:hAnsi="Times New Roman"/>
          <w:color w:val="000000"/>
          <w:sz w:val="32"/>
          <w:szCs w:val="32"/>
        </w:rPr>
        <w:t>5</w:t>
      </w:r>
      <w:r w:rsidRPr="008B6261">
        <w:rPr>
          <w:rFonts w:ascii="Times New Roman" w:eastAsia="仿宋_GB2312" w:hAnsi="Times New Roman"/>
          <w:color w:val="000000"/>
          <w:sz w:val="32"/>
          <w:szCs w:val="32"/>
        </w:rPr>
        <w:t>）稳定性研究</w:t>
      </w:r>
    </w:p>
    <w:p w14:paraId="314FB34E" w14:textId="77777777" w:rsidR="007136A7" w:rsidRPr="008B6261" w:rsidRDefault="007136A7"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明确产品的</w:t>
      </w:r>
      <w:r w:rsidR="00CE626B" w:rsidRPr="008B6261">
        <w:rPr>
          <w:rFonts w:ascii="Times New Roman" w:eastAsia="仿宋_GB2312" w:hAnsi="Times New Roman"/>
          <w:color w:val="000000"/>
          <w:sz w:val="32"/>
          <w:szCs w:val="32"/>
        </w:rPr>
        <w:t>货架</w:t>
      </w:r>
      <w:r w:rsidRPr="008B6261">
        <w:rPr>
          <w:rFonts w:ascii="Times New Roman" w:eastAsia="仿宋_GB2312" w:hAnsi="Times New Roman"/>
          <w:color w:val="000000"/>
          <w:sz w:val="32"/>
          <w:szCs w:val="32"/>
        </w:rPr>
        <w:t>有效期和使用时限，提供相关研究资料。</w:t>
      </w:r>
    </w:p>
    <w:p w14:paraId="599E78F9" w14:textId="77777777" w:rsidR="007136A7" w:rsidRPr="008B6261" w:rsidRDefault="007136A7"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bCs/>
          <w:color w:val="000000"/>
          <w:sz w:val="32"/>
          <w:szCs w:val="32"/>
        </w:rPr>
        <w:t>提供运输稳定性和包装研究资料，证明在申请人规定的运输条件下，运输过程中的环境条件（例如：震动、振动、温度和湿度的波动）不会对医疗器械的特性和性能，包括完整性和清洁度，造成不利影响。</w:t>
      </w:r>
    </w:p>
    <w:p w14:paraId="2F93C6CB" w14:textId="77777777" w:rsidR="000968B5" w:rsidRPr="008B6261" w:rsidRDefault="000968B5" w:rsidP="00AB740F">
      <w:pPr>
        <w:snapToGrid w:val="0"/>
        <w:spacing w:line="520" w:lineRule="exact"/>
        <w:ind w:firstLineChars="200" w:firstLine="640"/>
        <w:rPr>
          <w:rFonts w:ascii="Times New Roman" w:eastAsia="楷体_GB2312" w:hAnsi="Times New Roman"/>
          <w:color w:val="000000"/>
          <w:sz w:val="32"/>
          <w:szCs w:val="32"/>
        </w:rPr>
      </w:pPr>
      <w:r w:rsidRPr="008B6261">
        <w:rPr>
          <w:rFonts w:ascii="Times New Roman" w:eastAsia="仿宋_GB2312" w:hAnsi="Times New Roman"/>
          <w:color w:val="000000"/>
          <w:sz w:val="32"/>
          <w:szCs w:val="32"/>
        </w:rPr>
        <w:t>（</w:t>
      </w:r>
      <w:r w:rsidR="00EE03F4" w:rsidRPr="008B6261">
        <w:rPr>
          <w:rFonts w:ascii="Times New Roman" w:eastAsia="楷体_GB2312" w:hAnsi="Times New Roman"/>
          <w:color w:val="000000"/>
          <w:sz w:val="32"/>
          <w:szCs w:val="32"/>
        </w:rPr>
        <w:t>四</w:t>
      </w:r>
      <w:r w:rsidRPr="008B6261">
        <w:rPr>
          <w:rFonts w:ascii="Times New Roman" w:eastAsia="楷体_GB2312" w:hAnsi="Times New Roman"/>
          <w:color w:val="000000"/>
          <w:sz w:val="32"/>
          <w:szCs w:val="32"/>
        </w:rPr>
        <w:t>）产品说明书和标签样稿</w:t>
      </w:r>
    </w:p>
    <w:p w14:paraId="533E2785" w14:textId="77777777" w:rsidR="005E6D1F" w:rsidRPr="008B6261" w:rsidRDefault="00E437CC"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说明书应符合《医疗器械说明书和标签管理规定》相关要求。</w:t>
      </w:r>
      <w:r w:rsidR="00C5356A" w:rsidRPr="008B6261">
        <w:rPr>
          <w:rFonts w:ascii="Times New Roman" w:eastAsia="仿宋_GB2312" w:hAnsi="Times New Roman"/>
          <w:color w:val="000000"/>
          <w:sz w:val="32"/>
          <w:szCs w:val="32"/>
        </w:rPr>
        <w:t>依据研究资料在说明书中</w:t>
      </w:r>
      <w:r w:rsidR="006F6FBA" w:rsidRPr="008B6261">
        <w:rPr>
          <w:rFonts w:ascii="Times New Roman" w:eastAsia="仿宋_GB2312" w:hAnsi="Times New Roman"/>
          <w:color w:val="000000"/>
          <w:sz w:val="32"/>
          <w:szCs w:val="32"/>
        </w:rPr>
        <w:t>明确</w:t>
      </w:r>
      <w:r w:rsidR="00C5356A" w:rsidRPr="008B6261">
        <w:rPr>
          <w:rFonts w:ascii="Times New Roman" w:eastAsia="仿宋_GB2312" w:hAnsi="Times New Roman"/>
          <w:color w:val="000000"/>
          <w:sz w:val="32"/>
          <w:szCs w:val="32"/>
        </w:rPr>
        <w:t>联合使用的临时起搏器信息及相关警示信息，明确</w:t>
      </w:r>
      <w:r w:rsidR="00CE626B" w:rsidRPr="008B6261">
        <w:rPr>
          <w:rFonts w:ascii="Times New Roman" w:eastAsia="仿宋_GB2312" w:hAnsi="Times New Roman"/>
          <w:color w:val="000000"/>
          <w:sz w:val="32"/>
          <w:szCs w:val="32"/>
        </w:rPr>
        <w:t>使用期限</w:t>
      </w:r>
      <w:r w:rsidR="00C5356A" w:rsidRPr="008B6261">
        <w:rPr>
          <w:rFonts w:ascii="Times New Roman" w:eastAsia="仿宋_GB2312" w:hAnsi="Times New Roman"/>
          <w:color w:val="000000"/>
          <w:sz w:val="32"/>
          <w:szCs w:val="32"/>
        </w:rPr>
        <w:t>、货架有效期</w:t>
      </w:r>
      <w:r w:rsidR="000968B5" w:rsidRPr="008B6261">
        <w:rPr>
          <w:rFonts w:ascii="Times New Roman" w:eastAsia="仿宋_GB2312" w:hAnsi="Times New Roman"/>
          <w:color w:val="000000"/>
          <w:sz w:val="32"/>
          <w:szCs w:val="32"/>
        </w:rPr>
        <w:t>。</w:t>
      </w:r>
    </w:p>
    <w:p w14:paraId="127F07FD" w14:textId="77777777" w:rsidR="00E67182" w:rsidRPr="008B6261" w:rsidRDefault="00E67182" w:rsidP="00AB740F">
      <w:pPr>
        <w:snapToGrid w:val="0"/>
        <w:spacing w:line="520" w:lineRule="exact"/>
        <w:ind w:firstLineChars="200" w:firstLine="640"/>
        <w:rPr>
          <w:rFonts w:ascii="Times New Roman" w:eastAsia="楷体_GB2312" w:hAnsi="Times New Roman"/>
          <w:color w:val="000000"/>
          <w:sz w:val="32"/>
          <w:szCs w:val="32"/>
        </w:rPr>
      </w:pPr>
      <w:r w:rsidRPr="008B6261">
        <w:rPr>
          <w:rFonts w:ascii="Times New Roman" w:eastAsia="楷体_GB2312" w:hAnsi="Times New Roman"/>
          <w:color w:val="000000"/>
          <w:sz w:val="32"/>
          <w:szCs w:val="32"/>
        </w:rPr>
        <w:t>（五）动物试验基本要求</w:t>
      </w:r>
    </w:p>
    <w:p w14:paraId="2E623340" w14:textId="77777777" w:rsidR="0077438E" w:rsidRPr="008B6261" w:rsidRDefault="005B4CB4"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为证明</w:t>
      </w:r>
      <w:r w:rsidR="005E1C09" w:rsidRPr="008B6261">
        <w:rPr>
          <w:rFonts w:ascii="Times New Roman" w:eastAsia="仿宋_GB2312" w:hAnsi="Times New Roman"/>
          <w:color w:val="000000"/>
          <w:sz w:val="32"/>
          <w:szCs w:val="32"/>
        </w:rPr>
        <w:t>电极导线的</w:t>
      </w:r>
      <w:r w:rsidRPr="008B6261">
        <w:rPr>
          <w:rFonts w:ascii="Times New Roman" w:eastAsia="仿宋_GB2312" w:hAnsi="Times New Roman"/>
          <w:color w:val="000000"/>
          <w:sz w:val="32"/>
          <w:szCs w:val="32"/>
        </w:rPr>
        <w:t>安全</w:t>
      </w:r>
      <w:r w:rsidR="005E1C09" w:rsidRPr="008B6261">
        <w:rPr>
          <w:rFonts w:ascii="Times New Roman" w:eastAsia="仿宋_GB2312" w:hAnsi="Times New Roman"/>
          <w:color w:val="000000"/>
          <w:sz w:val="32"/>
          <w:szCs w:val="32"/>
        </w:rPr>
        <w:t>性</w:t>
      </w:r>
      <w:r w:rsidRPr="008B6261">
        <w:rPr>
          <w:rFonts w:ascii="Times New Roman" w:eastAsia="仿宋_GB2312" w:hAnsi="Times New Roman"/>
          <w:color w:val="000000"/>
          <w:sz w:val="32"/>
          <w:szCs w:val="32"/>
        </w:rPr>
        <w:t>、有效</w:t>
      </w:r>
      <w:r w:rsidR="005E1C09" w:rsidRPr="008B6261">
        <w:rPr>
          <w:rFonts w:ascii="Times New Roman" w:eastAsia="仿宋_GB2312" w:hAnsi="Times New Roman"/>
          <w:color w:val="000000"/>
          <w:sz w:val="32"/>
          <w:szCs w:val="32"/>
        </w:rPr>
        <w:t>性</w:t>
      </w:r>
      <w:r w:rsidR="006F6FBA" w:rsidRPr="008B6261">
        <w:rPr>
          <w:rFonts w:ascii="Times New Roman" w:eastAsia="仿宋_GB2312" w:hAnsi="Times New Roman"/>
          <w:color w:val="000000"/>
          <w:sz w:val="32"/>
          <w:szCs w:val="32"/>
        </w:rPr>
        <w:t>而开展</w:t>
      </w:r>
      <w:r w:rsidR="0077438E" w:rsidRPr="008B6261">
        <w:rPr>
          <w:rFonts w:ascii="Times New Roman" w:eastAsia="仿宋_GB2312" w:hAnsi="Times New Roman"/>
          <w:color w:val="000000"/>
          <w:sz w:val="32"/>
          <w:szCs w:val="32"/>
        </w:rPr>
        <w:t>动物试验是必要的。</w:t>
      </w:r>
    </w:p>
    <w:p w14:paraId="0854FCE3" w14:textId="4C3CCA8C" w:rsidR="00F967A3" w:rsidRPr="008B6261" w:rsidRDefault="007A3EDC" w:rsidP="00AB740F">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t>动物试验的设计应尽量接近该器械在人体中的预期用途。</w:t>
      </w:r>
      <w:r w:rsidR="001162F9" w:rsidRPr="008B6261">
        <w:rPr>
          <w:rFonts w:ascii="Times New Roman" w:eastAsia="仿宋_GB2312" w:hAnsi="Times New Roman"/>
          <w:color w:val="000000"/>
          <w:sz w:val="32"/>
          <w:szCs w:val="32"/>
        </w:rPr>
        <w:t>通过动物试验，对产品即刻的植入性能、起搏参数，以及</w:t>
      </w:r>
      <w:r w:rsidR="003F32F5" w:rsidRPr="008B6261">
        <w:rPr>
          <w:rFonts w:ascii="Times New Roman" w:eastAsia="仿宋_GB2312" w:hAnsi="Times New Roman"/>
          <w:color w:val="000000"/>
          <w:sz w:val="32"/>
          <w:szCs w:val="32"/>
        </w:rPr>
        <w:t>短期</w:t>
      </w:r>
      <w:r w:rsidR="001162F9" w:rsidRPr="008B6261">
        <w:rPr>
          <w:rFonts w:ascii="Times New Roman" w:eastAsia="仿宋_GB2312" w:hAnsi="Times New Roman"/>
          <w:color w:val="000000"/>
          <w:sz w:val="32"/>
          <w:szCs w:val="32"/>
        </w:rPr>
        <w:t>植入</w:t>
      </w:r>
      <w:r w:rsidR="003F32F5" w:rsidRPr="008B6261">
        <w:rPr>
          <w:rFonts w:ascii="Times New Roman" w:eastAsia="仿宋_GB2312" w:hAnsi="Times New Roman"/>
          <w:color w:val="000000"/>
          <w:sz w:val="32"/>
          <w:szCs w:val="32"/>
        </w:rPr>
        <w:t>（如</w:t>
      </w:r>
      <w:r w:rsidR="003F32F5" w:rsidRPr="008B6261">
        <w:rPr>
          <w:rFonts w:ascii="Times New Roman" w:eastAsia="仿宋_GB2312" w:hAnsi="Times New Roman"/>
          <w:color w:val="000000"/>
          <w:sz w:val="32"/>
          <w:szCs w:val="32"/>
        </w:rPr>
        <w:t>15</w:t>
      </w:r>
      <w:r w:rsidR="003F32F5" w:rsidRPr="008B6261">
        <w:rPr>
          <w:rFonts w:ascii="Times New Roman" w:eastAsia="仿宋_GB2312" w:hAnsi="Times New Roman"/>
          <w:color w:val="000000"/>
          <w:sz w:val="32"/>
          <w:szCs w:val="32"/>
        </w:rPr>
        <w:t>天、</w:t>
      </w:r>
      <w:r w:rsidR="003F32F5" w:rsidRPr="008B6261">
        <w:rPr>
          <w:rFonts w:ascii="Times New Roman" w:eastAsia="仿宋_GB2312" w:hAnsi="Times New Roman"/>
          <w:color w:val="000000"/>
          <w:sz w:val="32"/>
          <w:szCs w:val="32"/>
        </w:rPr>
        <w:t>30</w:t>
      </w:r>
      <w:r w:rsidR="003F32F5" w:rsidRPr="008B6261">
        <w:rPr>
          <w:rFonts w:ascii="Times New Roman" w:eastAsia="仿宋_GB2312" w:hAnsi="Times New Roman"/>
          <w:color w:val="000000"/>
          <w:sz w:val="32"/>
          <w:szCs w:val="32"/>
        </w:rPr>
        <w:t>天等）后的拔出性、电导通性、导线腐蚀情况、生物相容性、组织损伤情况等表现进行验证。</w:t>
      </w:r>
    </w:p>
    <w:p w14:paraId="3AE078F2" w14:textId="0E1B68A5" w:rsidR="00390CB7" w:rsidRPr="008B6261" w:rsidRDefault="00390CB7" w:rsidP="00390CB7">
      <w:pPr>
        <w:snapToGrid w:val="0"/>
        <w:spacing w:line="520" w:lineRule="exact"/>
        <w:ind w:left="645"/>
        <w:rPr>
          <w:rFonts w:ascii="Times New Roman" w:eastAsia="黑体" w:hAnsi="Times New Roman"/>
          <w:color w:val="000000"/>
          <w:sz w:val="32"/>
          <w:szCs w:val="32"/>
        </w:rPr>
      </w:pPr>
      <w:r w:rsidRPr="008B6261">
        <w:rPr>
          <w:rFonts w:ascii="Times New Roman" w:eastAsia="黑体" w:hAnsi="Times New Roman" w:hint="eastAsia"/>
          <w:color w:val="000000"/>
          <w:sz w:val="32"/>
          <w:szCs w:val="32"/>
        </w:rPr>
        <w:t>三</w:t>
      </w:r>
      <w:r w:rsidRPr="008B6261">
        <w:rPr>
          <w:rFonts w:ascii="Times New Roman" w:eastAsia="黑体" w:hAnsi="Times New Roman"/>
          <w:color w:val="000000"/>
          <w:sz w:val="32"/>
          <w:szCs w:val="32"/>
        </w:rPr>
        <w:t>、</w:t>
      </w:r>
      <w:r w:rsidR="00087D57" w:rsidRPr="008B6261">
        <w:rPr>
          <w:rFonts w:ascii="Times New Roman" w:eastAsia="黑体" w:hAnsi="Times New Roman" w:hint="eastAsia"/>
          <w:color w:val="000000"/>
          <w:sz w:val="32"/>
          <w:szCs w:val="32"/>
        </w:rPr>
        <w:t>参考文件</w:t>
      </w:r>
    </w:p>
    <w:p w14:paraId="508CBA66" w14:textId="77777777" w:rsidR="00390CB7" w:rsidRPr="008B6261" w:rsidRDefault="00390CB7" w:rsidP="00390CB7">
      <w:pPr>
        <w:spacing w:line="520" w:lineRule="exact"/>
        <w:ind w:firstLineChars="200" w:firstLine="640"/>
        <w:jc w:val="left"/>
        <w:outlineLvl w:val="1"/>
        <w:rPr>
          <w:rFonts w:ascii="Times New Roman" w:eastAsia="楷体_GB2312" w:hAnsi="Times New Roman"/>
          <w:color w:val="000000" w:themeColor="text1"/>
          <w:sz w:val="32"/>
          <w:szCs w:val="32"/>
        </w:rPr>
      </w:pPr>
      <w:r w:rsidRPr="008B6261">
        <w:rPr>
          <w:rFonts w:ascii="Times New Roman" w:eastAsia="楷体_GB2312" w:hAnsi="Times New Roman"/>
          <w:color w:val="000000" w:themeColor="text1"/>
          <w:sz w:val="32"/>
          <w:szCs w:val="32"/>
        </w:rPr>
        <w:t>（一）申报资料要求</w:t>
      </w:r>
    </w:p>
    <w:p w14:paraId="41D7B6C4" w14:textId="5FA57827" w:rsidR="00390CB7" w:rsidRPr="008B6261" w:rsidRDefault="00390CB7" w:rsidP="00390CB7">
      <w:pPr>
        <w:spacing w:line="520" w:lineRule="exact"/>
        <w:ind w:firstLineChars="200" w:firstLine="640"/>
        <w:jc w:val="left"/>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参照《关于公布医疗器械注册申报资料要求和批准证明文件格式的公告》</w:t>
      </w:r>
      <w:r w:rsidR="00A07758" w:rsidRPr="008B6261">
        <w:rPr>
          <w:rFonts w:ascii="Times New Roman" w:eastAsia="仿宋_GB2312" w:hAnsi="Times New Roman"/>
          <w:color w:val="000000" w:themeColor="text1"/>
          <w:sz w:val="32"/>
          <w:szCs w:val="32"/>
        </w:rPr>
        <w:t>（</w:t>
      </w:r>
      <w:r w:rsidR="00A07758" w:rsidRPr="008B6261">
        <w:rPr>
          <w:rFonts w:ascii="Times New Roman" w:eastAsia="仿宋_GB2312" w:hAnsi="Times New Roman"/>
          <w:color w:val="000000" w:themeColor="text1"/>
          <w:sz w:val="32"/>
          <w:szCs w:val="32"/>
        </w:rPr>
        <w:t>2021</w:t>
      </w:r>
      <w:r w:rsidR="00A07758" w:rsidRPr="008B6261">
        <w:rPr>
          <w:rFonts w:ascii="Times New Roman" w:eastAsia="仿宋_GB2312" w:hAnsi="Times New Roman"/>
          <w:color w:val="000000" w:themeColor="text1"/>
          <w:sz w:val="32"/>
          <w:szCs w:val="32"/>
        </w:rPr>
        <w:t>年第</w:t>
      </w:r>
      <w:r w:rsidR="00A07758" w:rsidRPr="008B6261">
        <w:rPr>
          <w:rFonts w:ascii="Times New Roman" w:eastAsia="仿宋_GB2312" w:hAnsi="Times New Roman"/>
          <w:color w:val="000000" w:themeColor="text1"/>
          <w:sz w:val="32"/>
          <w:szCs w:val="32"/>
        </w:rPr>
        <w:t>121</w:t>
      </w:r>
      <w:r w:rsidR="00A07758" w:rsidRPr="008B6261">
        <w:rPr>
          <w:rFonts w:ascii="Times New Roman" w:eastAsia="仿宋_GB2312" w:hAnsi="Times New Roman"/>
          <w:color w:val="000000" w:themeColor="text1"/>
          <w:sz w:val="32"/>
          <w:szCs w:val="32"/>
        </w:rPr>
        <w:t>号）</w:t>
      </w:r>
      <w:r w:rsidRPr="008B6261">
        <w:rPr>
          <w:rFonts w:ascii="Times New Roman" w:eastAsia="仿宋_GB2312" w:hAnsi="Times New Roman"/>
          <w:color w:val="000000" w:themeColor="text1"/>
          <w:sz w:val="32"/>
          <w:szCs w:val="32"/>
        </w:rPr>
        <w:t>提交。</w:t>
      </w:r>
    </w:p>
    <w:p w14:paraId="0B8B63A2" w14:textId="77777777" w:rsidR="00390CB7" w:rsidRPr="008B6261" w:rsidRDefault="00390CB7" w:rsidP="00390CB7">
      <w:pPr>
        <w:spacing w:line="520" w:lineRule="exact"/>
        <w:ind w:firstLineChars="200" w:firstLine="640"/>
        <w:jc w:val="left"/>
        <w:outlineLvl w:val="1"/>
        <w:rPr>
          <w:rFonts w:ascii="Times New Roman" w:eastAsia="楷体_GB2312" w:hAnsi="Times New Roman"/>
          <w:color w:val="000000" w:themeColor="text1"/>
          <w:sz w:val="32"/>
          <w:szCs w:val="32"/>
        </w:rPr>
      </w:pPr>
      <w:r w:rsidRPr="008B6261">
        <w:rPr>
          <w:rFonts w:ascii="Times New Roman" w:eastAsia="楷体_GB2312" w:hAnsi="Times New Roman"/>
          <w:color w:val="000000" w:themeColor="text1"/>
          <w:sz w:val="32"/>
          <w:szCs w:val="32"/>
        </w:rPr>
        <w:t>（二）指导原则适用情况</w:t>
      </w:r>
    </w:p>
    <w:p w14:paraId="7D79FCF0" w14:textId="2DED9C86" w:rsidR="00390CB7" w:rsidRPr="008B6261" w:rsidRDefault="00390CB7" w:rsidP="00390CB7">
      <w:pPr>
        <w:spacing w:line="520" w:lineRule="exact"/>
        <w:ind w:firstLineChars="200" w:firstLine="640"/>
        <w:jc w:val="left"/>
        <w:rPr>
          <w:rFonts w:ascii="Times New Roman" w:eastAsia="仿宋_GB2312" w:hAnsi="Times New Roman"/>
          <w:color w:val="000000" w:themeColor="text1"/>
          <w:sz w:val="32"/>
          <w:szCs w:val="32"/>
        </w:rPr>
      </w:pPr>
      <w:r w:rsidRPr="008B6261">
        <w:rPr>
          <w:rFonts w:ascii="Times New Roman" w:eastAsia="仿宋_GB2312" w:hAnsi="Times New Roman"/>
          <w:color w:val="000000" w:themeColor="text1"/>
          <w:sz w:val="32"/>
          <w:szCs w:val="32"/>
        </w:rPr>
        <w:t>见附</w:t>
      </w:r>
      <w:r w:rsidR="00A07758" w:rsidRPr="008B6261">
        <w:rPr>
          <w:rFonts w:ascii="Times New Roman" w:eastAsia="仿宋_GB2312" w:hAnsi="Times New Roman" w:hint="eastAsia"/>
          <w:color w:val="000000" w:themeColor="text1"/>
          <w:sz w:val="32"/>
          <w:szCs w:val="32"/>
        </w:rPr>
        <w:t>件</w:t>
      </w:r>
      <w:r w:rsidR="00A07758" w:rsidRPr="008B6261">
        <w:rPr>
          <w:rFonts w:ascii="Times New Roman" w:eastAsia="仿宋_GB2312" w:hAnsi="Times New Roman" w:hint="eastAsia"/>
          <w:color w:val="000000" w:themeColor="text1"/>
          <w:sz w:val="32"/>
          <w:szCs w:val="32"/>
        </w:rPr>
        <w:t>2</w:t>
      </w:r>
      <w:r w:rsidRPr="008B6261">
        <w:rPr>
          <w:rFonts w:ascii="Times New Roman" w:eastAsia="仿宋_GB2312" w:hAnsi="Times New Roman"/>
          <w:color w:val="000000" w:themeColor="text1"/>
          <w:sz w:val="32"/>
          <w:szCs w:val="32"/>
        </w:rPr>
        <w:t>。</w:t>
      </w:r>
    </w:p>
    <w:p w14:paraId="4BE98124" w14:textId="77777777" w:rsidR="00390CB7" w:rsidRPr="008B6261" w:rsidRDefault="00390CB7" w:rsidP="00390CB7">
      <w:pPr>
        <w:spacing w:line="520" w:lineRule="exact"/>
        <w:ind w:firstLineChars="200" w:firstLine="640"/>
        <w:jc w:val="left"/>
        <w:outlineLvl w:val="1"/>
        <w:rPr>
          <w:rFonts w:ascii="Times New Roman" w:eastAsia="楷体_GB2312" w:hAnsi="Times New Roman"/>
          <w:color w:val="000000" w:themeColor="text1"/>
          <w:sz w:val="32"/>
          <w:szCs w:val="32"/>
        </w:rPr>
      </w:pPr>
      <w:r w:rsidRPr="008B6261">
        <w:rPr>
          <w:rFonts w:ascii="Times New Roman" w:eastAsia="楷体_GB2312" w:hAnsi="Times New Roman"/>
          <w:color w:val="000000" w:themeColor="text1"/>
          <w:sz w:val="32"/>
          <w:szCs w:val="32"/>
        </w:rPr>
        <w:lastRenderedPageBreak/>
        <w:t>（三）标准适用情况</w:t>
      </w:r>
    </w:p>
    <w:p w14:paraId="53333294" w14:textId="4BEE0C67" w:rsidR="00390CB7" w:rsidRPr="008B6261" w:rsidRDefault="00390CB7" w:rsidP="00390CB7">
      <w:pPr>
        <w:snapToGrid w:val="0"/>
        <w:spacing w:line="520" w:lineRule="exact"/>
        <w:ind w:firstLineChars="200" w:firstLine="640"/>
        <w:rPr>
          <w:rFonts w:ascii="Times New Roman" w:eastAsia="仿宋_GB2312" w:hAnsi="Times New Roman"/>
          <w:color w:val="000000"/>
          <w:sz w:val="32"/>
          <w:szCs w:val="32"/>
        </w:rPr>
      </w:pPr>
      <w:r w:rsidRPr="008B6261">
        <w:rPr>
          <w:rFonts w:ascii="Times New Roman" w:eastAsia="仿宋_GB2312" w:hAnsi="Times New Roman"/>
          <w:color w:val="000000" w:themeColor="text1"/>
          <w:sz w:val="32"/>
          <w:szCs w:val="32"/>
        </w:rPr>
        <w:t>见附</w:t>
      </w:r>
      <w:r w:rsidR="00A07758" w:rsidRPr="008B6261">
        <w:rPr>
          <w:rFonts w:ascii="Times New Roman" w:eastAsia="仿宋_GB2312" w:hAnsi="Times New Roman" w:hint="eastAsia"/>
          <w:color w:val="000000" w:themeColor="text1"/>
          <w:sz w:val="32"/>
          <w:szCs w:val="32"/>
        </w:rPr>
        <w:t>件</w:t>
      </w:r>
      <w:r w:rsidR="00A07758" w:rsidRPr="008B6261">
        <w:rPr>
          <w:rFonts w:ascii="Times New Roman" w:eastAsia="仿宋_GB2312" w:hAnsi="Times New Roman" w:hint="eastAsia"/>
          <w:color w:val="000000" w:themeColor="text1"/>
          <w:sz w:val="32"/>
          <w:szCs w:val="32"/>
        </w:rPr>
        <w:t>3</w:t>
      </w:r>
      <w:r w:rsidRPr="008B6261">
        <w:rPr>
          <w:rFonts w:ascii="Times New Roman" w:eastAsia="仿宋_GB2312" w:hAnsi="Times New Roman"/>
          <w:color w:val="000000" w:themeColor="text1"/>
          <w:sz w:val="32"/>
          <w:szCs w:val="32"/>
        </w:rPr>
        <w:t>。</w:t>
      </w:r>
    </w:p>
    <w:p w14:paraId="3F7653C0" w14:textId="77777777" w:rsidR="00F967A3" w:rsidRPr="008B6261" w:rsidRDefault="00F967A3" w:rsidP="00AB740F">
      <w:pPr>
        <w:widowControl/>
        <w:spacing w:line="520" w:lineRule="exact"/>
        <w:jc w:val="left"/>
        <w:rPr>
          <w:rFonts w:ascii="Times New Roman" w:eastAsia="仿宋_GB2312" w:hAnsi="Times New Roman"/>
          <w:color w:val="000000"/>
          <w:sz w:val="32"/>
          <w:szCs w:val="32"/>
        </w:rPr>
      </w:pPr>
      <w:r w:rsidRPr="008B6261">
        <w:rPr>
          <w:rFonts w:ascii="Times New Roman" w:eastAsia="仿宋_GB2312" w:hAnsi="Times New Roman"/>
          <w:color w:val="000000"/>
          <w:sz w:val="32"/>
          <w:szCs w:val="32"/>
        </w:rPr>
        <w:br w:type="page"/>
      </w:r>
    </w:p>
    <w:p w14:paraId="161205FF" w14:textId="07882504" w:rsidR="00AB740F" w:rsidRPr="008B6261" w:rsidRDefault="00A72233" w:rsidP="00AB740F">
      <w:pPr>
        <w:spacing w:line="520" w:lineRule="exact"/>
        <w:jc w:val="left"/>
        <w:outlineLvl w:val="0"/>
        <w:rPr>
          <w:rFonts w:ascii="Times New Roman" w:eastAsia="黑体" w:hAnsi="Times New Roman"/>
          <w:color w:val="000000" w:themeColor="text1"/>
          <w:sz w:val="32"/>
          <w:szCs w:val="32"/>
        </w:rPr>
      </w:pPr>
      <w:r w:rsidRPr="008B6261">
        <w:rPr>
          <w:rFonts w:ascii="Times New Roman" w:eastAsia="黑体" w:hAnsi="Times New Roman"/>
          <w:color w:val="000000" w:themeColor="text1"/>
          <w:sz w:val="32"/>
          <w:szCs w:val="32"/>
        </w:rPr>
        <w:lastRenderedPageBreak/>
        <w:t>附</w:t>
      </w:r>
      <w:r w:rsidR="00A07758" w:rsidRPr="008B6261">
        <w:rPr>
          <w:rFonts w:ascii="Times New Roman" w:eastAsia="黑体" w:hAnsi="Times New Roman" w:hint="eastAsia"/>
          <w:color w:val="000000" w:themeColor="text1"/>
          <w:sz w:val="32"/>
          <w:szCs w:val="32"/>
        </w:rPr>
        <w:t>件</w:t>
      </w:r>
      <w:r w:rsidR="00A07758" w:rsidRPr="008B6261">
        <w:rPr>
          <w:rFonts w:ascii="Times New Roman" w:eastAsia="黑体" w:hAnsi="Times New Roman" w:hint="eastAsia"/>
          <w:color w:val="000000" w:themeColor="text1"/>
          <w:sz w:val="32"/>
          <w:szCs w:val="32"/>
        </w:rPr>
        <w:t>1</w:t>
      </w:r>
    </w:p>
    <w:p w14:paraId="4C7CD4D0" w14:textId="77777777" w:rsidR="00272771" w:rsidRPr="008B6261" w:rsidRDefault="00272771" w:rsidP="00AB740F">
      <w:pPr>
        <w:spacing w:line="520" w:lineRule="exact"/>
        <w:jc w:val="left"/>
        <w:outlineLvl w:val="0"/>
        <w:rPr>
          <w:rFonts w:ascii="Times New Roman" w:eastAsia="黑体" w:hAnsi="Times New Roman"/>
          <w:color w:val="000000" w:themeColor="text1"/>
          <w:sz w:val="32"/>
          <w:szCs w:val="32"/>
        </w:rPr>
      </w:pPr>
    </w:p>
    <w:p w14:paraId="6ABE0D64" w14:textId="77777777" w:rsidR="008A11F3" w:rsidRPr="008B6261" w:rsidRDefault="008A11F3" w:rsidP="008A11F3">
      <w:pPr>
        <w:snapToGrid w:val="0"/>
        <w:spacing w:line="520" w:lineRule="exact"/>
        <w:jc w:val="center"/>
        <w:rPr>
          <w:rFonts w:ascii="Times New Roman" w:eastAsia="方正小标宋简体" w:hAnsi="Times New Roman"/>
          <w:color w:val="000000"/>
          <w:sz w:val="44"/>
          <w:szCs w:val="44"/>
        </w:rPr>
      </w:pPr>
      <w:r w:rsidRPr="008B6261">
        <w:rPr>
          <w:rFonts w:ascii="Times New Roman" w:eastAsia="方正小标宋简体" w:hAnsi="Times New Roman" w:hint="eastAsia"/>
          <w:color w:val="000000"/>
          <w:sz w:val="44"/>
          <w:szCs w:val="44"/>
        </w:rPr>
        <w:t>《医疗器械安全和性能基本原则清单》</w:t>
      </w:r>
    </w:p>
    <w:p w14:paraId="1B3ECD07" w14:textId="181494F0" w:rsidR="008A11F3" w:rsidRPr="008B6261" w:rsidRDefault="008A11F3" w:rsidP="008A11F3">
      <w:pPr>
        <w:spacing w:line="520" w:lineRule="exact"/>
        <w:jc w:val="center"/>
        <w:rPr>
          <w:rFonts w:ascii="Times New Roman" w:eastAsia="方正小标宋简体" w:hAnsi="Times New Roman"/>
          <w:color w:val="000000" w:themeColor="text1"/>
          <w:sz w:val="44"/>
          <w:szCs w:val="44"/>
        </w:rPr>
      </w:pPr>
      <w:r w:rsidRPr="008B6261">
        <w:rPr>
          <w:rFonts w:ascii="Times New Roman" w:eastAsia="方正小标宋简体" w:hAnsi="Times New Roman" w:hint="eastAsia"/>
          <w:color w:val="000000"/>
          <w:sz w:val="44"/>
          <w:szCs w:val="44"/>
        </w:rPr>
        <w:t>各项内容的适用性</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6379"/>
        <w:gridCol w:w="819"/>
      </w:tblGrid>
      <w:tr w:rsidR="00F967A3" w:rsidRPr="008B6261" w14:paraId="51F81FC3" w14:textId="77777777" w:rsidTr="00AB740F">
        <w:trPr>
          <w:trHeight w:val="501"/>
          <w:jc w:val="center"/>
        </w:trPr>
        <w:tc>
          <w:tcPr>
            <w:tcW w:w="1161" w:type="dxa"/>
            <w:vAlign w:val="center"/>
          </w:tcPr>
          <w:p w14:paraId="65E2C024"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条款号</w:t>
            </w:r>
          </w:p>
        </w:tc>
        <w:tc>
          <w:tcPr>
            <w:tcW w:w="6379" w:type="dxa"/>
            <w:vAlign w:val="center"/>
          </w:tcPr>
          <w:p w14:paraId="46F200B7"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要求</w:t>
            </w:r>
          </w:p>
        </w:tc>
        <w:tc>
          <w:tcPr>
            <w:tcW w:w="819" w:type="dxa"/>
            <w:vAlign w:val="center"/>
          </w:tcPr>
          <w:p w14:paraId="4D124BF0"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适用</w:t>
            </w:r>
          </w:p>
        </w:tc>
      </w:tr>
      <w:tr w:rsidR="00F967A3" w:rsidRPr="008B6261" w14:paraId="7AE9CE51" w14:textId="77777777" w:rsidTr="00AB740F">
        <w:trPr>
          <w:trHeight w:val="287"/>
          <w:jc w:val="center"/>
        </w:trPr>
        <w:tc>
          <w:tcPr>
            <w:tcW w:w="1161" w:type="dxa"/>
            <w:vAlign w:val="center"/>
          </w:tcPr>
          <w:p w14:paraId="36E7530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bCs/>
                <w:color w:val="000000"/>
                <w:kern w:val="0"/>
                <w:sz w:val="28"/>
                <w:szCs w:val="28"/>
              </w:rPr>
              <w:t>A</w:t>
            </w:r>
          </w:p>
        </w:tc>
        <w:tc>
          <w:tcPr>
            <w:tcW w:w="7198" w:type="dxa"/>
            <w:gridSpan w:val="2"/>
          </w:tcPr>
          <w:p w14:paraId="636A2A68" w14:textId="77777777" w:rsidR="00F967A3" w:rsidRPr="008B6261" w:rsidRDefault="00F967A3" w:rsidP="00AB740F">
            <w:pPr>
              <w:spacing w:line="520" w:lineRule="exact"/>
              <w:jc w:val="left"/>
              <w:rPr>
                <w:rFonts w:ascii="Times New Roman" w:eastAsia="仿宋_GB2312" w:hAnsi="Times New Roman"/>
                <w:bCs/>
                <w:color w:val="000000"/>
                <w:kern w:val="0"/>
                <w:sz w:val="28"/>
                <w:szCs w:val="28"/>
              </w:rPr>
            </w:pPr>
            <w:r w:rsidRPr="008B6261">
              <w:rPr>
                <w:rFonts w:ascii="Times New Roman" w:eastAsia="仿宋_GB2312" w:hAnsi="Times New Roman" w:hint="eastAsia"/>
                <w:color w:val="000000"/>
                <w:kern w:val="0"/>
                <w:sz w:val="28"/>
                <w:szCs w:val="28"/>
              </w:rPr>
              <w:t>安全和性能的通用基本原则</w:t>
            </w:r>
          </w:p>
        </w:tc>
      </w:tr>
      <w:tr w:rsidR="00F967A3" w:rsidRPr="008B6261" w14:paraId="18BDC950" w14:textId="77777777" w:rsidTr="00AB740F">
        <w:trPr>
          <w:jc w:val="center"/>
        </w:trPr>
        <w:tc>
          <w:tcPr>
            <w:tcW w:w="1161" w:type="dxa"/>
            <w:vAlign w:val="center"/>
          </w:tcPr>
          <w:p w14:paraId="769CE0E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w:t>
            </w:r>
          </w:p>
        </w:tc>
        <w:tc>
          <w:tcPr>
            <w:tcW w:w="7198" w:type="dxa"/>
            <w:gridSpan w:val="2"/>
          </w:tcPr>
          <w:p w14:paraId="7B6CD1E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sz w:val="28"/>
                <w:szCs w:val="28"/>
              </w:rPr>
              <w:t>一般原则</w:t>
            </w:r>
          </w:p>
        </w:tc>
      </w:tr>
      <w:tr w:rsidR="00F967A3" w:rsidRPr="008B6261" w14:paraId="7232F079" w14:textId="77777777" w:rsidTr="00AB740F">
        <w:trPr>
          <w:jc w:val="center"/>
        </w:trPr>
        <w:tc>
          <w:tcPr>
            <w:tcW w:w="1161" w:type="dxa"/>
            <w:vAlign w:val="center"/>
          </w:tcPr>
          <w:p w14:paraId="43E0CAA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w:t>
            </w:r>
          </w:p>
        </w:tc>
        <w:tc>
          <w:tcPr>
            <w:tcW w:w="6379" w:type="dxa"/>
          </w:tcPr>
          <w:p w14:paraId="21CBDC5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应当实现申请人的预期性能，其设计和生产应当确保器械在预期使用条件下达到预期目的。这些器械应当是安全的并且能够实现其预期性能，与患者受益相比，其风险应当是可接受的，且不会损害医疗环境、患者安全、使用者及他人的安全和健康。</w:t>
            </w:r>
          </w:p>
        </w:tc>
        <w:tc>
          <w:tcPr>
            <w:tcW w:w="819" w:type="dxa"/>
          </w:tcPr>
          <w:p w14:paraId="24D09D6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3390DAD7" w14:textId="77777777" w:rsidTr="00AB740F">
        <w:trPr>
          <w:jc w:val="center"/>
        </w:trPr>
        <w:tc>
          <w:tcPr>
            <w:tcW w:w="1161" w:type="dxa"/>
            <w:vAlign w:val="center"/>
          </w:tcPr>
          <w:p w14:paraId="2740486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A1.2</w:t>
            </w:r>
          </w:p>
        </w:tc>
        <w:tc>
          <w:tcPr>
            <w:tcW w:w="6379" w:type="dxa"/>
          </w:tcPr>
          <w:p w14:paraId="6827117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申请人应当建立、实施、形成文件和维护风险管理体系，确保医疗器械安全、有效且质量可控。在医疗器械全生命周期内，风险管理是一个持续、反复的过程，需要定期进行系统性的改进更新。在开展风险管理时，申请人应当：</w:t>
            </w:r>
          </w:p>
          <w:p w14:paraId="3DD56E2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建立涵盖所有医疗器械风险管理计划并形成文件；</w:t>
            </w:r>
          </w:p>
          <w:p w14:paraId="3FEF8DE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识别并分析涵盖所有医疗器械的相关的已知和可预见的危险（源）；</w:t>
            </w:r>
          </w:p>
          <w:p w14:paraId="6424D36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估计和评价在预期使用和可合理预见的误使用过程中，发生的相关风险；</w:t>
            </w:r>
          </w:p>
          <w:p w14:paraId="73CEFE7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d)</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依据</w:t>
            </w:r>
            <w:r w:rsidRPr="008B6261">
              <w:rPr>
                <w:rFonts w:ascii="Times New Roman" w:eastAsia="仿宋_GB2312" w:hAnsi="Times New Roman" w:hint="eastAsia"/>
                <w:color w:val="000000"/>
                <w:kern w:val="0"/>
                <w:sz w:val="28"/>
                <w:szCs w:val="28"/>
              </w:rPr>
              <w:t>A1.3</w:t>
            </w:r>
            <w:r w:rsidRPr="008B6261">
              <w:rPr>
                <w:rFonts w:ascii="Times New Roman" w:eastAsia="仿宋_GB2312" w:hAnsi="Times New Roman" w:hint="eastAsia"/>
                <w:color w:val="000000"/>
                <w:kern w:val="0"/>
                <w:sz w:val="28"/>
                <w:szCs w:val="28"/>
              </w:rPr>
              <w:t>和</w:t>
            </w:r>
            <w:r w:rsidRPr="008B6261">
              <w:rPr>
                <w:rFonts w:ascii="Times New Roman" w:eastAsia="仿宋_GB2312" w:hAnsi="Times New Roman" w:hint="eastAsia"/>
                <w:color w:val="000000"/>
                <w:kern w:val="0"/>
                <w:sz w:val="28"/>
                <w:szCs w:val="28"/>
              </w:rPr>
              <w:t>A1.4</w:t>
            </w:r>
            <w:r w:rsidRPr="008B6261">
              <w:rPr>
                <w:rFonts w:ascii="Times New Roman" w:eastAsia="仿宋_GB2312" w:hAnsi="Times New Roman" w:hint="eastAsia"/>
                <w:color w:val="000000"/>
                <w:kern w:val="0"/>
                <w:sz w:val="28"/>
                <w:szCs w:val="28"/>
              </w:rPr>
              <w:t>相关要求，消除或控制</w:t>
            </w: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）点所述的风险；</w:t>
            </w:r>
          </w:p>
          <w:p w14:paraId="67060D1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e)</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评价生产和生产后阶段信息对综合风险、风险受益判定和风险可接受性的影响。上述评价应当包括先前未识别的危险（源）或危险情况，由危险情况导致的一个或多个风险对可接受性的影响，以及对先进技术水平的改变等。</w:t>
            </w:r>
          </w:p>
          <w:p w14:paraId="6E3081E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f)</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基于对</w:t>
            </w:r>
            <w:r w:rsidRPr="008B6261">
              <w:rPr>
                <w:rFonts w:ascii="Times New Roman" w:eastAsia="仿宋_GB2312" w:hAnsi="Times New Roman" w:hint="eastAsia"/>
                <w:color w:val="000000"/>
                <w:kern w:val="0"/>
                <w:sz w:val="28"/>
                <w:szCs w:val="28"/>
              </w:rPr>
              <w:t>e</w:t>
            </w:r>
            <w:r w:rsidRPr="008B6261">
              <w:rPr>
                <w:rFonts w:ascii="Times New Roman" w:eastAsia="仿宋_GB2312" w:hAnsi="Times New Roman" w:hint="eastAsia"/>
                <w:color w:val="000000"/>
                <w:kern w:val="0"/>
                <w:sz w:val="28"/>
                <w:szCs w:val="28"/>
              </w:rPr>
              <w:t>）点所述信息影响的评价，必要时修改控制措施以符合</w:t>
            </w:r>
            <w:r w:rsidRPr="008B6261">
              <w:rPr>
                <w:rFonts w:ascii="Times New Roman" w:eastAsia="仿宋_GB2312" w:hAnsi="Times New Roman" w:hint="eastAsia"/>
                <w:color w:val="000000"/>
                <w:kern w:val="0"/>
                <w:sz w:val="28"/>
                <w:szCs w:val="28"/>
              </w:rPr>
              <w:t>A1.3</w:t>
            </w:r>
            <w:r w:rsidRPr="008B6261">
              <w:rPr>
                <w:rFonts w:ascii="Times New Roman" w:eastAsia="仿宋_GB2312" w:hAnsi="Times New Roman" w:hint="eastAsia"/>
                <w:color w:val="000000"/>
                <w:kern w:val="0"/>
                <w:sz w:val="28"/>
                <w:szCs w:val="28"/>
              </w:rPr>
              <w:t>和</w:t>
            </w:r>
            <w:r w:rsidRPr="008B6261">
              <w:rPr>
                <w:rFonts w:ascii="Times New Roman" w:eastAsia="仿宋_GB2312" w:hAnsi="Times New Roman" w:hint="eastAsia"/>
                <w:color w:val="000000"/>
                <w:kern w:val="0"/>
                <w:sz w:val="28"/>
                <w:szCs w:val="28"/>
              </w:rPr>
              <w:t>A1.4</w:t>
            </w:r>
            <w:r w:rsidRPr="008B6261">
              <w:rPr>
                <w:rFonts w:ascii="Times New Roman" w:eastAsia="仿宋_GB2312" w:hAnsi="Times New Roman" w:hint="eastAsia"/>
                <w:color w:val="000000"/>
                <w:kern w:val="0"/>
                <w:sz w:val="28"/>
                <w:szCs w:val="28"/>
              </w:rPr>
              <w:t>相关要求。</w:t>
            </w:r>
          </w:p>
        </w:tc>
        <w:tc>
          <w:tcPr>
            <w:tcW w:w="819" w:type="dxa"/>
          </w:tcPr>
          <w:p w14:paraId="55F5036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是</w:t>
            </w:r>
          </w:p>
        </w:tc>
      </w:tr>
      <w:tr w:rsidR="00F967A3" w:rsidRPr="008B6261" w14:paraId="05A98719" w14:textId="77777777" w:rsidTr="00AB740F">
        <w:trPr>
          <w:jc w:val="center"/>
        </w:trPr>
        <w:tc>
          <w:tcPr>
            <w:tcW w:w="1161" w:type="dxa"/>
            <w:vAlign w:val="center"/>
          </w:tcPr>
          <w:p w14:paraId="5728421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w:t>
            </w:r>
          </w:p>
        </w:tc>
        <w:tc>
          <w:tcPr>
            <w:tcW w:w="6379" w:type="dxa"/>
          </w:tcPr>
          <w:p w14:paraId="3E7B8FD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申请人在设计和生产过程中采取的风险控制措施，应当遵循安全原则，采用先进技术。需要降低风险时，申请人应当控制风险，确保每个危险（源）相关的剩余风险和总体剩余风险是可接受的。在选择最合适的解决方案时，申请人应当按以下优先顺序进行：</w:t>
            </w:r>
          </w:p>
          <w:p w14:paraId="2549389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通过安全设计和生产消除或适当降低风险；</w:t>
            </w:r>
          </w:p>
          <w:p w14:paraId="050DCA4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适用时，对无法消除的风险采取充分的防护措施，包括必要的警报；</w:t>
            </w:r>
          </w:p>
          <w:p w14:paraId="7D151D0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提供安全信息（警告</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预防措施</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禁忌证），适当时，向使用者提供培训。</w:t>
            </w:r>
          </w:p>
        </w:tc>
        <w:tc>
          <w:tcPr>
            <w:tcW w:w="819" w:type="dxa"/>
          </w:tcPr>
          <w:p w14:paraId="2E080B6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5CF3054F" w14:textId="77777777" w:rsidTr="00AB740F">
        <w:trPr>
          <w:jc w:val="center"/>
        </w:trPr>
        <w:tc>
          <w:tcPr>
            <w:tcW w:w="1161" w:type="dxa"/>
            <w:vAlign w:val="center"/>
          </w:tcPr>
          <w:p w14:paraId="53B06B0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A1.4</w:t>
            </w:r>
          </w:p>
        </w:tc>
        <w:tc>
          <w:tcPr>
            <w:tcW w:w="6379" w:type="dxa"/>
          </w:tcPr>
          <w:p w14:paraId="3207A89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申请人应当告知使用者所有相关的剩余风险。</w:t>
            </w:r>
          </w:p>
        </w:tc>
        <w:tc>
          <w:tcPr>
            <w:tcW w:w="819" w:type="dxa"/>
          </w:tcPr>
          <w:p w14:paraId="6ADA8A2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6C91850D" w14:textId="77777777" w:rsidTr="00AB740F">
        <w:trPr>
          <w:trHeight w:val="103"/>
          <w:jc w:val="center"/>
        </w:trPr>
        <w:tc>
          <w:tcPr>
            <w:tcW w:w="1161" w:type="dxa"/>
            <w:vAlign w:val="center"/>
          </w:tcPr>
          <w:p w14:paraId="721F8D6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A1.5</w:t>
            </w:r>
          </w:p>
        </w:tc>
        <w:tc>
          <w:tcPr>
            <w:tcW w:w="6379" w:type="dxa"/>
          </w:tcPr>
          <w:p w14:paraId="3F7F885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在消除或降低与使用有关的风险时，申请人应该：</w:t>
            </w:r>
          </w:p>
          <w:p w14:paraId="1A9F7EF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适当降低医疗器械的特性（如人体工程学</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可用性）和预期使用环境（如灰尘和湿度）可能带来的风险；</w:t>
            </w:r>
          </w:p>
          <w:p w14:paraId="73D6135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考虑预期使用者的技术知识、经验、教育背景、培训、身体状况（如适用）以及使用环境。</w:t>
            </w:r>
          </w:p>
        </w:tc>
        <w:tc>
          <w:tcPr>
            <w:tcW w:w="819" w:type="dxa"/>
          </w:tcPr>
          <w:p w14:paraId="76B082A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28B449A3" w14:textId="77777777" w:rsidTr="00AB740F">
        <w:trPr>
          <w:jc w:val="center"/>
        </w:trPr>
        <w:tc>
          <w:tcPr>
            <w:tcW w:w="1161" w:type="dxa"/>
            <w:vAlign w:val="center"/>
          </w:tcPr>
          <w:p w14:paraId="25AA471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A1.6</w:t>
            </w:r>
          </w:p>
        </w:tc>
        <w:tc>
          <w:tcPr>
            <w:tcW w:w="6379" w:type="dxa"/>
          </w:tcPr>
          <w:p w14:paraId="1075676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在申请人规定的生命周期内，在正常使用、维护和</w:t>
            </w:r>
            <w:r w:rsidRPr="008B6261">
              <w:rPr>
                <w:rFonts w:ascii="Times New Roman" w:eastAsia="仿宋_GB2312" w:hAnsi="Times New Roman" w:hint="eastAsia"/>
                <w:color w:val="000000"/>
                <w:kern w:val="0"/>
                <w:sz w:val="28"/>
                <w:szCs w:val="28"/>
              </w:rPr>
              <w:lastRenderedPageBreak/>
              <w:t>校准（如适用）情况下，外力不应对医疗器械的特性和性能造成不利影响，以致损害患者、使用者及他人的健康和安全。</w:t>
            </w:r>
          </w:p>
        </w:tc>
        <w:tc>
          <w:tcPr>
            <w:tcW w:w="819" w:type="dxa"/>
          </w:tcPr>
          <w:p w14:paraId="030D1A3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是</w:t>
            </w:r>
          </w:p>
        </w:tc>
      </w:tr>
      <w:tr w:rsidR="00F967A3" w:rsidRPr="008B6261" w14:paraId="7175FE34" w14:textId="77777777" w:rsidTr="00AB740F">
        <w:trPr>
          <w:jc w:val="center"/>
        </w:trPr>
        <w:tc>
          <w:tcPr>
            <w:tcW w:w="1161" w:type="dxa"/>
            <w:vAlign w:val="center"/>
          </w:tcPr>
          <w:p w14:paraId="2779C3E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A1.7</w:t>
            </w:r>
          </w:p>
        </w:tc>
        <w:tc>
          <w:tcPr>
            <w:tcW w:w="6379" w:type="dxa"/>
          </w:tcPr>
          <w:p w14:paraId="055CCBD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生产和包装，包括申请人所提供的说明和信息，应当确保在按照预期用途使用时，运输和贮存条件（例如：震动、振动、温度和湿度的波动）不会对医疗器械的特性和性能，包括完整性和清洁度，造成不利影响。申请人应能确保有效期内医疗器械的性能、安全和无菌保证水平。</w:t>
            </w:r>
          </w:p>
        </w:tc>
        <w:tc>
          <w:tcPr>
            <w:tcW w:w="819" w:type="dxa"/>
          </w:tcPr>
          <w:p w14:paraId="54057C1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04627540" w14:textId="77777777" w:rsidTr="00AB740F">
        <w:trPr>
          <w:trHeight w:val="211"/>
          <w:jc w:val="center"/>
        </w:trPr>
        <w:tc>
          <w:tcPr>
            <w:tcW w:w="1161" w:type="dxa"/>
            <w:vAlign w:val="center"/>
          </w:tcPr>
          <w:p w14:paraId="56A6032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A1.8</w:t>
            </w:r>
          </w:p>
        </w:tc>
        <w:tc>
          <w:tcPr>
            <w:tcW w:w="6379" w:type="dxa"/>
          </w:tcPr>
          <w:p w14:paraId="39D3EF8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在货架有效期内、开封后的使用期间，以及运输或送货期间，医疗器械应具有可接受的稳定性。</w:t>
            </w:r>
          </w:p>
        </w:tc>
        <w:tc>
          <w:tcPr>
            <w:tcW w:w="819" w:type="dxa"/>
          </w:tcPr>
          <w:p w14:paraId="1298A0E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0A8718D6" w14:textId="77777777" w:rsidTr="00AB740F">
        <w:trPr>
          <w:jc w:val="center"/>
        </w:trPr>
        <w:tc>
          <w:tcPr>
            <w:tcW w:w="1161" w:type="dxa"/>
            <w:vAlign w:val="center"/>
          </w:tcPr>
          <w:p w14:paraId="5038C0D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A1.9</w:t>
            </w:r>
          </w:p>
        </w:tc>
        <w:tc>
          <w:tcPr>
            <w:tcW w:w="6379" w:type="dxa"/>
          </w:tcPr>
          <w:p w14:paraId="2C4BA2F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在正常使用条件下，基于当前先进技术水平，比较医疗器械性能带来的受益，所有已知的、可预见的风险以及任何不良副作用应最小化且可接受。</w:t>
            </w:r>
          </w:p>
        </w:tc>
        <w:tc>
          <w:tcPr>
            <w:tcW w:w="819" w:type="dxa"/>
          </w:tcPr>
          <w:p w14:paraId="6CB8D9C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6E0DA10D" w14:textId="77777777" w:rsidTr="00AB740F">
        <w:trPr>
          <w:trHeight w:val="70"/>
          <w:jc w:val="center"/>
        </w:trPr>
        <w:tc>
          <w:tcPr>
            <w:tcW w:w="1161" w:type="dxa"/>
            <w:vAlign w:val="center"/>
          </w:tcPr>
          <w:p w14:paraId="7BD07B1E"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A2</w:t>
            </w:r>
          </w:p>
        </w:tc>
        <w:tc>
          <w:tcPr>
            <w:tcW w:w="7198" w:type="dxa"/>
            <w:gridSpan w:val="2"/>
          </w:tcPr>
          <w:p w14:paraId="081022A4" w14:textId="77777777" w:rsidR="00F967A3" w:rsidRPr="008B6261" w:rsidRDefault="00F967A3" w:rsidP="00AB740F">
            <w:pPr>
              <w:pStyle w:val="af7"/>
              <w:spacing w:line="520" w:lineRule="exac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临床评价</w:t>
            </w:r>
          </w:p>
        </w:tc>
      </w:tr>
      <w:tr w:rsidR="00F967A3" w:rsidRPr="008B6261" w14:paraId="6B8E3B5D" w14:textId="77777777" w:rsidTr="00AB740F">
        <w:trPr>
          <w:jc w:val="center"/>
        </w:trPr>
        <w:tc>
          <w:tcPr>
            <w:tcW w:w="1161" w:type="dxa"/>
            <w:vAlign w:val="center"/>
          </w:tcPr>
          <w:p w14:paraId="1BE867C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A2.1</w:t>
            </w:r>
          </w:p>
        </w:tc>
        <w:tc>
          <w:tcPr>
            <w:tcW w:w="6379" w:type="dxa"/>
          </w:tcPr>
          <w:p w14:paraId="3DE15704" w14:textId="77777777" w:rsidR="00F967A3" w:rsidRPr="008B6261" w:rsidRDefault="00F967A3" w:rsidP="00AB740F">
            <w:pPr>
              <w:pStyle w:val="ac"/>
              <w:spacing w:line="520" w:lineRule="exact"/>
              <w:ind w:firstLineChars="0" w:firstLine="0"/>
              <w:jc w:val="left"/>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基于监管要求，医疗器械可能需要进行临床评价（如适用）。所谓临床评价，就是对临床数据进行评估，确定医疗器械具有可接受的风险受益比，包括以下几种形式：</w:t>
            </w:r>
          </w:p>
          <w:p w14:paraId="08D4109E" w14:textId="77777777" w:rsidR="00F967A3" w:rsidRPr="008B6261" w:rsidRDefault="00F967A3" w:rsidP="00AB740F">
            <w:pPr>
              <w:pStyle w:val="ac"/>
              <w:spacing w:line="520" w:lineRule="exact"/>
              <w:ind w:firstLineChars="0" w:firstLine="0"/>
              <w:jc w:val="left"/>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a)</w:t>
            </w:r>
            <w:r w:rsidRPr="008B6261">
              <w:rPr>
                <w:rFonts w:ascii="Times New Roman" w:eastAsia="仿宋_GB2312" w:hAnsi="Times New Roman" w:hint="eastAsia"/>
                <w:color w:val="000000"/>
                <w:sz w:val="28"/>
                <w:szCs w:val="28"/>
              </w:rPr>
              <w:tab/>
            </w:r>
            <w:r w:rsidRPr="008B6261">
              <w:rPr>
                <w:rFonts w:ascii="Times New Roman" w:eastAsia="仿宋_GB2312" w:hAnsi="Times New Roman" w:hint="eastAsia"/>
                <w:color w:val="000000"/>
                <w:sz w:val="28"/>
                <w:szCs w:val="28"/>
              </w:rPr>
              <w:t>临床试验报告</w:t>
            </w:r>
          </w:p>
          <w:p w14:paraId="4A8E40E9" w14:textId="77777777" w:rsidR="00F967A3" w:rsidRPr="008B6261" w:rsidRDefault="00F967A3" w:rsidP="00AB740F">
            <w:pPr>
              <w:spacing w:line="520" w:lineRule="exact"/>
              <w:jc w:val="left"/>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b)</w:t>
            </w:r>
            <w:r w:rsidRPr="008B6261">
              <w:rPr>
                <w:rFonts w:ascii="Times New Roman" w:eastAsia="仿宋_GB2312" w:hAnsi="Times New Roman" w:hint="eastAsia"/>
                <w:color w:val="000000"/>
                <w:sz w:val="28"/>
                <w:szCs w:val="28"/>
              </w:rPr>
              <w:tab/>
            </w:r>
            <w:r w:rsidRPr="008B6261">
              <w:rPr>
                <w:rFonts w:ascii="Times New Roman" w:eastAsia="仿宋_GB2312" w:hAnsi="Times New Roman" w:hint="eastAsia"/>
                <w:color w:val="000000"/>
                <w:sz w:val="28"/>
                <w:szCs w:val="28"/>
              </w:rPr>
              <w:t>临床文献资料</w:t>
            </w:r>
          </w:p>
          <w:p w14:paraId="4E5CF75F" w14:textId="77777777" w:rsidR="00F967A3" w:rsidRPr="008B6261" w:rsidRDefault="00F967A3" w:rsidP="00AB740F">
            <w:pPr>
              <w:pStyle w:val="ac"/>
              <w:spacing w:line="520" w:lineRule="exact"/>
              <w:ind w:firstLineChars="0" w:firstLine="0"/>
              <w:jc w:val="left"/>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c)</w:t>
            </w:r>
            <w:r w:rsidRPr="008B6261">
              <w:rPr>
                <w:rFonts w:ascii="Times New Roman" w:eastAsia="仿宋_GB2312" w:hAnsi="Times New Roman" w:hint="eastAsia"/>
                <w:color w:val="000000"/>
                <w:sz w:val="28"/>
                <w:szCs w:val="28"/>
              </w:rPr>
              <w:tab/>
            </w:r>
            <w:r w:rsidRPr="008B6261">
              <w:rPr>
                <w:rFonts w:ascii="Times New Roman" w:eastAsia="仿宋_GB2312" w:hAnsi="Times New Roman" w:hint="eastAsia"/>
                <w:color w:val="000000"/>
                <w:sz w:val="28"/>
                <w:szCs w:val="28"/>
              </w:rPr>
              <w:t>临床经验数据</w:t>
            </w:r>
          </w:p>
        </w:tc>
        <w:tc>
          <w:tcPr>
            <w:tcW w:w="819" w:type="dxa"/>
          </w:tcPr>
          <w:p w14:paraId="5F8AD159" w14:textId="77777777" w:rsidR="00F967A3" w:rsidRPr="008B6261" w:rsidRDefault="00F967A3" w:rsidP="00AB740F">
            <w:pPr>
              <w:pStyle w:val="ac"/>
              <w:spacing w:line="520" w:lineRule="exact"/>
              <w:ind w:firstLineChars="0" w:firstLine="0"/>
              <w:jc w:val="center"/>
              <w:rPr>
                <w:rFonts w:ascii="Times New Roman" w:eastAsia="仿宋_GB2312" w:hAnsi="Times New Roman"/>
                <w:color w:val="000000"/>
                <w:sz w:val="28"/>
                <w:szCs w:val="28"/>
              </w:rPr>
            </w:pPr>
            <w:r w:rsidRPr="008B6261">
              <w:rPr>
                <w:rFonts w:ascii="Times New Roman" w:eastAsia="仿宋_GB2312" w:hAnsi="Times New Roman" w:hint="eastAsia"/>
                <w:color w:val="000000"/>
                <w:sz w:val="28"/>
                <w:szCs w:val="28"/>
              </w:rPr>
              <w:t>是</w:t>
            </w:r>
          </w:p>
        </w:tc>
      </w:tr>
      <w:tr w:rsidR="00F967A3" w:rsidRPr="008B6261" w14:paraId="56104737" w14:textId="77777777" w:rsidTr="00AB740F">
        <w:trPr>
          <w:jc w:val="center"/>
        </w:trPr>
        <w:tc>
          <w:tcPr>
            <w:tcW w:w="1161" w:type="dxa"/>
            <w:vAlign w:val="center"/>
          </w:tcPr>
          <w:p w14:paraId="4A885E8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A2.2</w:t>
            </w:r>
          </w:p>
        </w:tc>
        <w:tc>
          <w:tcPr>
            <w:tcW w:w="6379" w:type="dxa"/>
          </w:tcPr>
          <w:p w14:paraId="6C9FA26E" w14:textId="77777777" w:rsidR="00F967A3" w:rsidRPr="008B6261" w:rsidRDefault="00F967A3" w:rsidP="00AB740F">
            <w:pPr>
              <w:spacing w:line="520" w:lineRule="exact"/>
              <w:jc w:val="left"/>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临床试验的实施应当符合《赫尔辛基宣言》的伦理原则。保护受试者的权利、安全和健康，作为最重要的考虑因素，其重要性超过科学和社会效益。在临床试验的每个步骤，都应理解、遵守和使用上述原则。另</w:t>
            </w:r>
            <w:r w:rsidRPr="008B6261">
              <w:rPr>
                <w:rFonts w:ascii="Times New Roman" w:eastAsia="仿宋_GB2312" w:hAnsi="Times New Roman" w:hint="eastAsia"/>
                <w:color w:val="000000"/>
                <w:spacing w:val="-4"/>
                <w:kern w:val="0"/>
                <w:sz w:val="28"/>
                <w:szCs w:val="28"/>
              </w:rPr>
              <w:lastRenderedPageBreak/>
              <w:t>外，临床试验方案审批、患者知情同意等应符合相关法规要求。</w:t>
            </w:r>
          </w:p>
        </w:tc>
        <w:tc>
          <w:tcPr>
            <w:tcW w:w="819" w:type="dxa"/>
          </w:tcPr>
          <w:p w14:paraId="43274F0C" w14:textId="77777777" w:rsidR="00F967A3" w:rsidRPr="008B6261" w:rsidRDefault="00F967A3" w:rsidP="00AB740F">
            <w:pPr>
              <w:spacing w:line="520" w:lineRule="exact"/>
              <w:jc w:val="center"/>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lastRenderedPageBreak/>
              <w:t>视情况而定</w:t>
            </w:r>
          </w:p>
        </w:tc>
      </w:tr>
      <w:tr w:rsidR="00F967A3" w:rsidRPr="008B6261" w14:paraId="1BACA0EF" w14:textId="77777777" w:rsidTr="00AB740F">
        <w:trPr>
          <w:jc w:val="center"/>
        </w:trPr>
        <w:tc>
          <w:tcPr>
            <w:tcW w:w="1161" w:type="dxa"/>
            <w:vAlign w:val="center"/>
          </w:tcPr>
          <w:p w14:paraId="4988EA3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w:t>
            </w:r>
          </w:p>
        </w:tc>
        <w:tc>
          <w:tcPr>
            <w:tcW w:w="7198" w:type="dxa"/>
            <w:gridSpan w:val="2"/>
          </w:tcPr>
          <w:p w14:paraId="248EF72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化学、物理和生物学特性</w:t>
            </w:r>
          </w:p>
        </w:tc>
      </w:tr>
      <w:tr w:rsidR="00F967A3" w:rsidRPr="008B6261" w14:paraId="51D84457" w14:textId="77777777" w:rsidTr="00AB740F">
        <w:trPr>
          <w:jc w:val="center"/>
        </w:trPr>
        <w:tc>
          <w:tcPr>
            <w:tcW w:w="1161" w:type="dxa"/>
            <w:vAlign w:val="center"/>
          </w:tcPr>
          <w:p w14:paraId="48A6BDC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A3.1</w:t>
            </w:r>
          </w:p>
        </w:tc>
        <w:tc>
          <w:tcPr>
            <w:tcW w:w="6379" w:type="dxa"/>
          </w:tcPr>
          <w:p w14:paraId="3FCB43AD"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关于医疗器械的化学、物理和生物学特性，应当特别注意以下几点：</w:t>
            </w:r>
          </w:p>
          <w:p w14:paraId="73F0092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所用材料和组成成分的选择，需特别考虑：</w:t>
            </w:r>
          </w:p>
          <w:p w14:paraId="5A9C1E0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毒性；</w:t>
            </w:r>
          </w:p>
          <w:p w14:paraId="3239760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生物相容性；</w:t>
            </w:r>
          </w:p>
          <w:p w14:paraId="6171787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易燃性；</w:t>
            </w:r>
          </w:p>
          <w:p w14:paraId="5927D84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工艺对材料性能的影响；</w:t>
            </w:r>
          </w:p>
          <w:p w14:paraId="68A1149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生物物理学或者建模研究结果应当事先进行验证（如适用）；</w:t>
            </w:r>
          </w:p>
          <w:p w14:paraId="069F441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d)</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所用材料的机械性能，如适用，应当考虑强度、延展性、断裂强度、耐磨性和抗疲劳性等属性；</w:t>
            </w:r>
          </w:p>
          <w:p w14:paraId="2704D7E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e)</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表面特性；</w:t>
            </w:r>
          </w:p>
          <w:p w14:paraId="7FDBFB8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f)</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器械与已规定化学和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或物理性能的符合性。</w:t>
            </w:r>
          </w:p>
        </w:tc>
        <w:tc>
          <w:tcPr>
            <w:tcW w:w="819" w:type="dxa"/>
          </w:tcPr>
          <w:p w14:paraId="354C795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09A03512" w14:textId="77777777" w:rsidTr="00AB740F">
        <w:trPr>
          <w:jc w:val="center"/>
        </w:trPr>
        <w:tc>
          <w:tcPr>
            <w:tcW w:w="1161" w:type="dxa"/>
            <w:vAlign w:val="center"/>
          </w:tcPr>
          <w:p w14:paraId="70C2A4D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A3.2</w:t>
            </w:r>
          </w:p>
        </w:tc>
        <w:tc>
          <w:tcPr>
            <w:tcW w:w="6379" w:type="dxa"/>
          </w:tcPr>
          <w:p w14:paraId="763B4AE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基于医疗器械的预期用途，医疗器械的设计、生产和包装，应当尽可能减少污染物和残留物对使用者和患者，以及对从事医疗器械运输、贮存及其他相关人员造成的风险。特别要注意与使用者和患者暴露组织接触的时间和频次。</w:t>
            </w:r>
          </w:p>
        </w:tc>
        <w:tc>
          <w:tcPr>
            <w:tcW w:w="819" w:type="dxa"/>
          </w:tcPr>
          <w:p w14:paraId="5BB6A9E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6C9FCB44" w14:textId="77777777" w:rsidTr="00AB740F">
        <w:trPr>
          <w:jc w:val="center"/>
        </w:trPr>
        <w:tc>
          <w:tcPr>
            <w:tcW w:w="1161" w:type="dxa"/>
            <w:vAlign w:val="center"/>
          </w:tcPr>
          <w:p w14:paraId="6220B19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A3.3</w:t>
            </w:r>
          </w:p>
        </w:tc>
        <w:tc>
          <w:tcPr>
            <w:tcW w:w="6379" w:type="dxa"/>
          </w:tcPr>
          <w:p w14:paraId="1B4963E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医疗器械的设计和生产应当适当降低析出物（包括滤沥物和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或蒸发物）、降解产物、加工残留物等造成的风险。应当特别注意致癌、致突变或有生殖毒性的泄漏物或滤沥物。</w:t>
            </w:r>
          </w:p>
        </w:tc>
        <w:tc>
          <w:tcPr>
            <w:tcW w:w="819" w:type="dxa"/>
          </w:tcPr>
          <w:p w14:paraId="6989F59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77CA5AE3" w14:textId="77777777" w:rsidTr="00AB740F">
        <w:trPr>
          <w:jc w:val="center"/>
        </w:trPr>
        <w:tc>
          <w:tcPr>
            <w:tcW w:w="1161" w:type="dxa"/>
            <w:vAlign w:val="center"/>
          </w:tcPr>
          <w:p w14:paraId="4945E3F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A3.4</w:t>
            </w:r>
          </w:p>
        </w:tc>
        <w:tc>
          <w:tcPr>
            <w:tcW w:w="6379" w:type="dxa"/>
          </w:tcPr>
          <w:p w14:paraId="19485D8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医疗器械的设计和生产应当考虑到医疗器械及其预</w:t>
            </w:r>
            <w:r w:rsidRPr="008B6261">
              <w:rPr>
                <w:rFonts w:ascii="Times New Roman" w:eastAsia="仿宋_GB2312" w:hAnsi="Times New Roman" w:hint="eastAsia"/>
                <w:color w:val="000000"/>
                <w:kern w:val="0"/>
                <w:sz w:val="28"/>
                <w:szCs w:val="28"/>
              </w:rPr>
              <w:lastRenderedPageBreak/>
              <w:t>期使用环境的性质，适当降低物质意外进入器械所带来的风险。</w:t>
            </w:r>
          </w:p>
        </w:tc>
        <w:tc>
          <w:tcPr>
            <w:tcW w:w="819" w:type="dxa"/>
          </w:tcPr>
          <w:p w14:paraId="08386D6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7A18F66F" w14:textId="77777777" w:rsidTr="00AB740F">
        <w:trPr>
          <w:jc w:val="center"/>
        </w:trPr>
        <w:tc>
          <w:tcPr>
            <w:tcW w:w="1161" w:type="dxa"/>
            <w:vAlign w:val="center"/>
          </w:tcPr>
          <w:p w14:paraId="290DBF6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A3.5</w:t>
            </w:r>
          </w:p>
        </w:tc>
        <w:tc>
          <w:tcPr>
            <w:tcW w:w="6379" w:type="dxa"/>
          </w:tcPr>
          <w:p w14:paraId="0F75E0A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医疗器械及其生产工艺的设计应当能消除或适当降低对使用者和其他可能接触者的感染风险。设计应当：</w:t>
            </w:r>
          </w:p>
          <w:p w14:paraId="38389D5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操作安全，易于处理；</w:t>
            </w:r>
          </w:p>
          <w:p w14:paraId="6EF90CA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尽量减少医疗器械的微生物泄漏和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或使用过程中的感染风险；</w:t>
            </w:r>
          </w:p>
          <w:p w14:paraId="6367AB7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防止医疗器械或其内容物（例如：标本）的微生物污染；</w:t>
            </w:r>
          </w:p>
          <w:p w14:paraId="1B2A395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d)</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尽量减少意外风险（例如：割伤和刺伤（如针刺伤）、意外物质溅入眼睛等）。</w:t>
            </w:r>
          </w:p>
        </w:tc>
        <w:tc>
          <w:tcPr>
            <w:tcW w:w="819" w:type="dxa"/>
          </w:tcPr>
          <w:p w14:paraId="3DE7A10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54A735B1" w14:textId="77777777" w:rsidTr="00AB740F">
        <w:trPr>
          <w:jc w:val="center"/>
        </w:trPr>
        <w:tc>
          <w:tcPr>
            <w:tcW w:w="1161" w:type="dxa"/>
            <w:vAlign w:val="center"/>
          </w:tcPr>
          <w:p w14:paraId="2AB2F451"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A4</w:t>
            </w:r>
          </w:p>
        </w:tc>
        <w:tc>
          <w:tcPr>
            <w:tcW w:w="7198" w:type="dxa"/>
            <w:gridSpan w:val="2"/>
          </w:tcPr>
          <w:p w14:paraId="2E5381CC" w14:textId="77777777" w:rsidR="00F967A3" w:rsidRPr="008B6261" w:rsidRDefault="00F967A3" w:rsidP="00AB740F">
            <w:pPr>
              <w:pStyle w:val="af7"/>
              <w:spacing w:line="520" w:lineRule="exac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灭菌和微生物污染</w:t>
            </w:r>
          </w:p>
        </w:tc>
      </w:tr>
      <w:tr w:rsidR="00F967A3" w:rsidRPr="008B6261" w14:paraId="43A86C41" w14:textId="77777777" w:rsidTr="00AB740F">
        <w:trPr>
          <w:jc w:val="center"/>
        </w:trPr>
        <w:tc>
          <w:tcPr>
            <w:tcW w:w="1161" w:type="dxa"/>
            <w:vAlign w:val="center"/>
          </w:tcPr>
          <w:p w14:paraId="2DC3A53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A4.1</w:t>
            </w:r>
          </w:p>
        </w:tc>
        <w:tc>
          <w:tcPr>
            <w:tcW w:w="6379" w:type="dxa"/>
          </w:tcPr>
          <w:p w14:paraId="45A4ECC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医疗器械其设计应当方便使用者对其进行安全清洁、消毒、灭菌和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或重复灭菌（必要时）。</w:t>
            </w:r>
          </w:p>
        </w:tc>
        <w:tc>
          <w:tcPr>
            <w:tcW w:w="819" w:type="dxa"/>
          </w:tcPr>
          <w:p w14:paraId="631BFC3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2504FB35" w14:textId="77777777" w:rsidTr="00AB740F">
        <w:trPr>
          <w:jc w:val="center"/>
        </w:trPr>
        <w:tc>
          <w:tcPr>
            <w:tcW w:w="1161" w:type="dxa"/>
            <w:vAlign w:val="center"/>
          </w:tcPr>
          <w:p w14:paraId="2F4DC70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A4.2</w:t>
            </w:r>
          </w:p>
        </w:tc>
        <w:tc>
          <w:tcPr>
            <w:tcW w:w="6379" w:type="dxa"/>
          </w:tcPr>
          <w:p w14:paraId="55D8B04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具有微生物限度要求的医疗器械，其设计、生产和包装应当确保在出厂后，按照申请人规定的条件运输和贮存，符合微生物限度要求。</w:t>
            </w:r>
          </w:p>
        </w:tc>
        <w:tc>
          <w:tcPr>
            <w:tcW w:w="819" w:type="dxa"/>
          </w:tcPr>
          <w:p w14:paraId="74EF8D1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801D117" w14:textId="77777777" w:rsidTr="00AB740F">
        <w:trPr>
          <w:jc w:val="center"/>
        </w:trPr>
        <w:tc>
          <w:tcPr>
            <w:tcW w:w="1161" w:type="dxa"/>
            <w:vAlign w:val="center"/>
          </w:tcPr>
          <w:p w14:paraId="4B25F54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A4.3</w:t>
            </w:r>
          </w:p>
        </w:tc>
        <w:tc>
          <w:tcPr>
            <w:tcW w:w="6379" w:type="dxa"/>
          </w:tcPr>
          <w:p w14:paraId="0A4044A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以无菌状态交付的医疗器械，其设计、生产和包装应按照适当的程序进行，以确保在出厂时无菌。在申请人规定的条件下运输和贮存的未破损无菌包装，打开前都应当保持无菌状态。应确保最终使用者可清晰地辨识包装的完整性（例如：防篡改包装）。</w:t>
            </w:r>
          </w:p>
        </w:tc>
        <w:tc>
          <w:tcPr>
            <w:tcW w:w="819" w:type="dxa"/>
          </w:tcPr>
          <w:p w14:paraId="5E9728B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5C4FDE4B" w14:textId="77777777" w:rsidTr="00AB740F">
        <w:trPr>
          <w:jc w:val="center"/>
        </w:trPr>
        <w:tc>
          <w:tcPr>
            <w:tcW w:w="1161" w:type="dxa"/>
            <w:vAlign w:val="center"/>
          </w:tcPr>
          <w:p w14:paraId="28BF4CA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A4.4</w:t>
            </w:r>
          </w:p>
        </w:tc>
        <w:tc>
          <w:tcPr>
            <w:tcW w:w="6379" w:type="dxa"/>
          </w:tcPr>
          <w:p w14:paraId="4DED633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无菌医疗器械应按照经验证的方法进行加工、生产、包装和灭菌，其货架有效期应按照经验证的方法确定。</w:t>
            </w:r>
          </w:p>
        </w:tc>
        <w:tc>
          <w:tcPr>
            <w:tcW w:w="819" w:type="dxa"/>
          </w:tcPr>
          <w:p w14:paraId="2703EAB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0B37AC42" w14:textId="77777777" w:rsidTr="00AB740F">
        <w:trPr>
          <w:jc w:val="center"/>
        </w:trPr>
        <w:tc>
          <w:tcPr>
            <w:tcW w:w="1161" w:type="dxa"/>
            <w:vAlign w:val="center"/>
          </w:tcPr>
          <w:p w14:paraId="7F0FDA7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A4.5</w:t>
            </w:r>
          </w:p>
        </w:tc>
        <w:tc>
          <w:tcPr>
            <w:tcW w:w="6379" w:type="dxa"/>
          </w:tcPr>
          <w:p w14:paraId="1E3C93F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预期无菌使用的医疗器械（申请人灭菌或使用者灭菌），均应在适当且受控的条件和设施下生产和包装。</w:t>
            </w:r>
          </w:p>
        </w:tc>
        <w:tc>
          <w:tcPr>
            <w:tcW w:w="819" w:type="dxa"/>
          </w:tcPr>
          <w:p w14:paraId="15056671"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66352CA0" w14:textId="77777777" w:rsidTr="00AB740F">
        <w:trPr>
          <w:jc w:val="center"/>
        </w:trPr>
        <w:tc>
          <w:tcPr>
            <w:tcW w:w="1161" w:type="dxa"/>
            <w:vAlign w:val="center"/>
          </w:tcPr>
          <w:p w14:paraId="71D8241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A4.6</w:t>
            </w:r>
          </w:p>
        </w:tc>
        <w:tc>
          <w:tcPr>
            <w:tcW w:w="6379" w:type="dxa"/>
          </w:tcPr>
          <w:p w14:paraId="0BED3E1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以非无菌状态交付，且使用前灭菌的医疗器械：</w:t>
            </w:r>
          </w:p>
          <w:p w14:paraId="27744AA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包装应尽量减少产品受到微生物污染的风险，且应适用于申请人规定的灭菌方法；</w:t>
            </w:r>
          </w:p>
          <w:p w14:paraId="3361C9E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申请人规定的灭菌方法应当经过验证。</w:t>
            </w:r>
          </w:p>
        </w:tc>
        <w:tc>
          <w:tcPr>
            <w:tcW w:w="819" w:type="dxa"/>
          </w:tcPr>
          <w:p w14:paraId="498AA051"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9C405DB" w14:textId="77777777" w:rsidTr="00AB740F">
        <w:trPr>
          <w:jc w:val="center"/>
        </w:trPr>
        <w:tc>
          <w:tcPr>
            <w:tcW w:w="1161" w:type="dxa"/>
            <w:vAlign w:val="center"/>
          </w:tcPr>
          <w:p w14:paraId="20FDD0D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A4.7</w:t>
            </w:r>
          </w:p>
        </w:tc>
        <w:tc>
          <w:tcPr>
            <w:tcW w:w="6379" w:type="dxa"/>
          </w:tcPr>
          <w:p w14:paraId="444286D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若医疗器械可以无菌和非无菌状态交付使用，应明确标识其交付状态。</w:t>
            </w:r>
          </w:p>
        </w:tc>
        <w:tc>
          <w:tcPr>
            <w:tcW w:w="819" w:type="dxa"/>
          </w:tcPr>
          <w:p w14:paraId="473C277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1E10938" w14:textId="77777777" w:rsidTr="00AB740F">
        <w:trPr>
          <w:jc w:val="center"/>
        </w:trPr>
        <w:tc>
          <w:tcPr>
            <w:tcW w:w="1161" w:type="dxa"/>
            <w:vAlign w:val="center"/>
          </w:tcPr>
          <w:p w14:paraId="202190C8"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A5</w:t>
            </w:r>
          </w:p>
        </w:tc>
        <w:tc>
          <w:tcPr>
            <w:tcW w:w="7198" w:type="dxa"/>
            <w:gridSpan w:val="2"/>
          </w:tcPr>
          <w:p w14:paraId="42BC038D" w14:textId="77777777" w:rsidR="00F967A3" w:rsidRPr="008B6261" w:rsidRDefault="00F967A3" w:rsidP="00AB740F">
            <w:pPr>
              <w:pStyle w:val="af7"/>
              <w:spacing w:line="520" w:lineRule="exac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环境和使用条件</w:t>
            </w:r>
          </w:p>
        </w:tc>
      </w:tr>
      <w:tr w:rsidR="00F967A3" w:rsidRPr="008B6261" w14:paraId="33381817" w14:textId="77777777" w:rsidTr="00AB740F">
        <w:trPr>
          <w:jc w:val="center"/>
        </w:trPr>
        <w:tc>
          <w:tcPr>
            <w:tcW w:w="1161" w:type="dxa"/>
            <w:vAlign w:val="center"/>
          </w:tcPr>
          <w:p w14:paraId="712B90B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A5.1</w:t>
            </w:r>
          </w:p>
        </w:tc>
        <w:tc>
          <w:tcPr>
            <w:tcW w:w="6379" w:type="dxa"/>
          </w:tcPr>
          <w:p w14:paraId="2F5CBC5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如医疗器械预期与其他医疗器械或设备整合使用，应确保整合使用后的系统，包括连接系统，整体的安全性，且不影响器械本身的性能。整合使用上的限制应明确标识和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或在使用说明书中明确。对于需要使用者处理的连接，如液体、气体传输、电耦合或机械耦合等，在设计和生产过程中尽可能消除或降低所有可能的风险，包括错误连接或安全危害。</w:t>
            </w:r>
          </w:p>
        </w:tc>
        <w:tc>
          <w:tcPr>
            <w:tcW w:w="819" w:type="dxa"/>
          </w:tcPr>
          <w:p w14:paraId="13B21E1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1BA0E7FC" w14:textId="77777777" w:rsidTr="00AB740F">
        <w:trPr>
          <w:jc w:val="center"/>
        </w:trPr>
        <w:tc>
          <w:tcPr>
            <w:tcW w:w="1161" w:type="dxa"/>
            <w:vAlign w:val="center"/>
          </w:tcPr>
          <w:p w14:paraId="0A0100C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A5.2</w:t>
            </w:r>
          </w:p>
        </w:tc>
        <w:tc>
          <w:tcPr>
            <w:tcW w:w="6379" w:type="dxa"/>
          </w:tcPr>
          <w:p w14:paraId="638689C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医疗器械的设计和生产应当考虑预期的使用环境和使用条件，以消除或降低下列风险：</w:t>
            </w:r>
          </w:p>
          <w:p w14:paraId="3B60BB2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与物理和人体工程学</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可用性的特性有关，对使用者或他人造成损伤的风险；</w:t>
            </w:r>
          </w:p>
          <w:p w14:paraId="08F8F74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由于用户界面设计、人体工程学</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可用性的特性以及预期使用环境导致的错误操作的风险；</w:t>
            </w:r>
          </w:p>
          <w:p w14:paraId="5232268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与合理可预期的外部因素或环境条件有关的风险，如磁场、外部电磁效应、静电释放、诊断和治疗带来的辐射、压力、湿度、温度和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或压力和加速</w:t>
            </w:r>
            <w:r w:rsidRPr="008B6261">
              <w:rPr>
                <w:rFonts w:ascii="Times New Roman" w:eastAsia="仿宋_GB2312" w:hAnsi="Times New Roman" w:hint="eastAsia"/>
                <w:color w:val="000000"/>
                <w:kern w:val="0"/>
                <w:sz w:val="28"/>
                <w:szCs w:val="28"/>
              </w:rPr>
              <w:lastRenderedPageBreak/>
              <w:t>度的变化；</w:t>
            </w:r>
          </w:p>
          <w:p w14:paraId="68FD899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d)</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正常使用条件下与固体材料、液体和其他物质，包括气体，接触而产生的风险；</w:t>
            </w:r>
          </w:p>
          <w:p w14:paraId="61948A0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e)</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软件与信息技术（</w:t>
            </w:r>
            <w:r w:rsidRPr="008B6261">
              <w:rPr>
                <w:rFonts w:ascii="Times New Roman" w:eastAsia="仿宋_GB2312" w:hAnsi="Times New Roman" w:hint="eastAsia"/>
                <w:color w:val="000000"/>
                <w:kern w:val="0"/>
                <w:sz w:val="28"/>
                <w:szCs w:val="28"/>
              </w:rPr>
              <w:t>IT</w:t>
            </w:r>
            <w:r w:rsidRPr="008B6261">
              <w:rPr>
                <w:rFonts w:ascii="Times New Roman" w:eastAsia="仿宋_GB2312" w:hAnsi="Times New Roman" w:hint="eastAsia"/>
                <w:color w:val="000000"/>
                <w:kern w:val="0"/>
                <w:sz w:val="28"/>
                <w:szCs w:val="28"/>
              </w:rPr>
              <w:t>）运行环境的兼容性造成的风险；</w:t>
            </w:r>
          </w:p>
          <w:p w14:paraId="1A7FE10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f)</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正常使用过程中，医疗器械非预期析出物导致的环境风险；</w:t>
            </w:r>
          </w:p>
          <w:p w14:paraId="36E94D2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g)</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样本</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样品</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数据不正确识别和错误结果导致的风险，比如用于分析、测试或检测的样本容器、可拆卸部件和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或附件，其颜色和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或数字编码混淆；</w:t>
            </w:r>
          </w:p>
          <w:p w14:paraId="2F42533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h)</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与其他用于诊断、监测或治疗的医疗器械互相干扰导致的风险。</w:t>
            </w:r>
          </w:p>
        </w:tc>
        <w:tc>
          <w:tcPr>
            <w:tcW w:w="819" w:type="dxa"/>
          </w:tcPr>
          <w:p w14:paraId="1E7F7B1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是</w:t>
            </w:r>
          </w:p>
        </w:tc>
      </w:tr>
      <w:tr w:rsidR="00F967A3" w:rsidRPr="008B6261" w14:paraId="71317632" w14:textId="77777777" w:rsidTr="00AB740F">
        <w:trPr>
          <w:jc w:val="center"/>
        </w:trPr>
        <w:tc>
          <w:tcPr>
            <w:tcW w:w="1161" w:type="dxa"/>
            <w:vAlign w:val="center"/>
          </w:tcPr>
          <w:p w14:paraId="06F079D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A5.3</w:t>
            </w:r>
          </w:p>
        </w:tc>
        <w:tc>
          <w:tcPr>
            <w:tcW w:w="6379" w:type="dxa"/>
          </w:tcPr>
          <w:p w14:paraId="527F68B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医疗器械的设计和生产应当消除或降低在正常状态及单一故障状态下燃烧和爆炸的风险，尤其是预期用途包括暴露于易燃、易爆物质或其他可致燃物相关的器械联用。</w:t>
            </w:r>
          </w:p>
        </w:tc>
        <w:tc>
          <w:tcPr>
            <w:tcW w:w="819" w:type="dxa"/>
          </w:tcPr>
          <w:p w14:paraId="7CE17AD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7EE91DF7" w14:textId="77777777" w:rsidTr="00AB740F">
        <w:trPr>
          <w:jc w:val="center"/>
        </w:trPr>
        <w:tc>
          <w:tcPr>
            <w:tcW w:w="1161" w:type="dxa"/>
            <w:vAlign w:val="center"/>
          </w:tcPr>
          <w:p w14:paraId="1190471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A5.4</w:t>
            </w:r>
          </w:p>
        </w:tc>
        <w:tc>
          <w:tcPr>
            <w:tcW w:w="6379" w:type="dxa"/>
          </w:tcPr>
          <w:p w14:paraId="6703F89F" w14:textId="77777777" w:rsidR="00F967A3" w:rsidRPr="008B6261" w:rsidRDefault="00F967A3" w:rsidP="00AB740F">
            <w:pPr>
              <w:spacing w:line="520" w:lineRule="exact"/>
              <w:rPr>
                <w:rFonts w:ascii="Times New Roman" w:eastAsia="仿宋_GB2312" w:hAnsi="Times New Roman"/>
                <w:sz w:val="28"/>
                <w:szCs w:val="28"/>
              </w:rPr>
            </w:pPr>
            <w:r w:rsidRPr="008B6261">
              <w:rPr>
                <w:rFonts w:ascii="Times New Roman" w:eastAsia="仿宋_GB2312" w:hAnsi="Times New Roman" w:hint="eastAsia"/>
                <w:sz w:val="28"/>
                <w:szCs w:val="28"/>
              </w:rPr>
              <w:t>医疗器械的设计和生产应能确保调整、校准和维护过程能够安全有效的完成。</w:t>
            </w:r>
          </w:p>
          <w:p w14:paraId="1E65DF9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对无法进行维护的医疗器械，如植入物，应尽量降低材料老化等风险；</w:t>
            </w:r>
          </w:p>
          <w:p w14:paraId="453FE9B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对无法进行调整和校准的医疗器械，如某些类型的温度计，应尽量降低测量或控制机制精度的损失风险。</w:t>
            </w:r>
          </w:p>
        </w:tc>
        <w:tc>
          <w:tcPr>
            <w:tcW w:w="819" w:type="dxa"/>
          </w:tcPr>
          <w:p w14:paraId="3FF6ECD9" w14:textId="77777777" w:rsidR="00F967A3" w:rsidRPr="008B6261" w:rsidRDefault="00F967A3" w:rsidP="00AB740F">
            <w:pPr>
              <w:spacing w:line="520" w:lineRule="exact"/>
              <w:jc w:val="center"/>
              <w:rPr>
                <w:rFonts w:ascii="Times New Roman" w:eastAsia="仿宋_GB2312" w:hAnsi="Times New Roman"/>
                <w:sz w:val="28"/>
                <w:szCs w:val="28"/>
              </w:rPr>
            </w:pPr>
            <w:r w:rsidRPr="008B6261">
              <w:rPr>
                <w:rFonts w:ascii="Times New Roman" w:eastAsia="仿宋_GB2312" w:hAnsi="Times New Roman" w:hint="eastAsia"/>
                <w:sz w:val="28"/>
                <w:szCs w:val="28"/>
              </w:rPr>
              <w:t>是</w:t>
            </w:r>
          </w:p>
        </w:tc>
      </w:tr>
      <w:tr w:rsidR="00F967A3" w:rsidRPr="008B6261" w14:paraId="52102123" w14:textId="77777777" w:rsidTr="00AB740F">
        <w:trPr>
          <w:jc w:val="center"/>
        </w:trPr>
        <w:tc>
          <w:tcPr>
            <w:tcW w:w="1161" w:type="dxa"/>
            <w:vAlign w:val="center"/>
          </w:tcPr>
          <w:p w14:paraId="502F847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A5.5</w:t>
            </w:r>
          </w:p>
        </w:tc>
        <w:tc>
          <w:tcPr>
            <w:tcW w:w="6379" w:type="dxa"/>
          </w:tcPr>
          <w:p w14:paraId="49F9AD4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与其他医疗器械或产品联合使用的医疗器械，其设计和生产应能保证互操作性和兼容性可靠且安全。</w:t>
            </w:r>
          </w:p>
        </w:tc>
        <w:tc>
          <w:tcPr>
            <w:tcW w:w="819" w:type="dxa"/>
          </w:tcPr>
          <w:p w14:paraId="0A78A9A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2D12AA03" w14:textId="77777777" w:rsidTr="00AB740F">
        <w:trPr>
          <w:jc w:val="center"/>
        </w:trPr>
        <w:tc>
          <w:tcPr>
            <w:tcW w:w="1161" w:type="dxa"/>
            <w:vAlign w:val="center"/>
          </w:tcPr>
          <w:p w14:paraId="4FD4168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A5.6</w:t>
            </w:r>
          </w:p>
        </w:tc>
        <w:tc>
          <w:tcPr>
            <w:tcW w:w="6379" w:type="dxa"/>
          </w:tcPr>
          <w:p w14:paraId="1671189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医疗器械的设计和生产应能降低未经授权的访问风</w:t>
            </w:r>
            <w:r w:rsidRPr="008B6261">
              <w:rPr>
                <w:rFonts w:ascii="Times New Roman" w:eastAsia="仿宋_GB2312" w:hAnsi="Times New Roman" w:hint="eastAsia"/>
                <w:color w:val="000000"/>
                <w:kern w:val="0"/>
                <w:sz w:val="28"/>
                <w:szCs w:val="28"/>
              </w:rPr>
              <w:lastRenderedPageBreak/>
              <w:t>险，这种访问可能会妨碍器械正常运行，或造成安全隐患。</w:t>
            </w:r>
          </w:p>
        </w:tc>
        <w:tc>
          <w:tcPr>
            <w:tcW w:w="819" w:type="dxa"/>
          </w:tcPr>
          <w:p w14:paraId="0BC8AFF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2DC88C0E" w14:textId="77777777" w:rsidTr="00AB740F">
        <w:trPr>
          <w:jc w:val="center"/>
        </w:trPr>
        <w:tc>
          <w:tcPr>
            <w:tcW w:w="1161" w:type="dxa"/>
            <w:vAlign w:val="center"/>
          </w:tcPr>
          <w:p w14:paraId="4010F96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A5.7</w:t>
            </w:r>
          </w:p>
        </w:tc>
        <w:tc>
          <w:tcPr>
            <w:tcW w:w="6379" w:type="dxa"/>
          </w:tcPr>
          <w:p w14:paraId="663D973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具有测量、监视或有数值显示功能的医疗器械，其设计和生产应当符合人体工程学</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可用性原则，并应顾及器械预期用途、预期使用者、使用环境。</w:t>
            </w:r>
          </w:p>
        </w:tc>
        <w:tc>
          <w:tcPr>
            <w:tcW w:w="819" w:type="dxa"/>
          </w:tcPr>
          <w:p w14:paraId="63E0451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D5F1300" w14:textId="77777777" w:rsidTr="00AB740F">
        <w:trPr>
          <w:jc w:val="center"/>
        </w:trPr>
        <w:tc>
          <w:tcPr>
            <w:tcW w:w="1161" w:type="dxa"/>
            <w:vAlign w:val="center"/>
          </w:tcPr>
          <w:p w14:paraId="01B1CE1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A5.8</w:t>
            </w:r>
          </w:p>
        </w:tc>
        <w:tc>
          <w:tcPr>
            <w:tcW w:w="6379" w:type="dxa"/>
          </w:tcPr>
          <w:p w14:paraId="1D3C8D3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医疗器械的设计和生产应便于使用者、患者或其他人员对其以及相关废弃物的安全处置或再利用。使用说明书应明确安全处置或回收的程序和方法。</w:t>
            </w:r>
          </w:p>
        </w:tc>
        <w:tc>
          <w:tcPr>
            <w:tcW w:w="819" w:type="dxa"/>
          </w:tcPr>
          <w:p w14:paraId="3701712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5611B9F0" w14:textId="77777777" w:rsidTr="00AB740F">
        <w:trPr>
          <w:jc w:val="center"/>
        </w:trPr>
        <w:tc>
          <w:tcPr>
            <w:tcW w:w="1161" w:type="dxa"/>
            <w:vAlign w:val="center"/>
          </w:tcPr>
          <w:p w14:paraId="5368D06C"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A6</w:t>
            </w:r>
          </w:p>
        </w:tc>
        <w:tc>
          <w:tcPr>
            <w:tcW w:w="7198" w:type="dxa"/>
            <w:gridSpan w:val="2"/>
          </w:tcPr>
          <w:p w14:paraId="7710AEE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对电气、机械和热风险的防护</w:t>
            </w:r>
          </w:p>
        </w:tc>
      </w:tr>
      <w:tr w:rsidR="00F967A3" w:rsidRPr="008B6261" w14:paraId="7598092F" w14:textId="77777777" w:rsidTr="00AB740F">
        <w:trPr>
          <w:jc w:val="center"/>
        </w:trPr>
        <w:tc>
          <w:tcPr>
            <w:tcW w:w="1161" w:type="dxa"/>
            <w:vAlign w:val="center"/>
          </w:tcPr>
          <w:p w14:paraId="0117220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A6.1</w:t>
            </w:r>
          </w:p>
        </w:tc>
        <w:tc>
          <w:tcPr>
            <w:tcW w:w="6379" w:type="dxa"/>
          </w:tcPr>
          <w:p w14:paraId="6F821BD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医疗器械的设计和生产应具有机械相关的防护，保护使用者免于承受由诸如运动阻力、不稳定性和活动部件等引起的机械风险。</w:t>
            </w:r>
          </w:p>
        </w:tc>
        <w:tc>
          <w:tcPr>
            <w:tcW w:w="819" w:type="dxa"/>
          </w:tcPr>
          <w:p w14:paraId="6D73267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C0B9682" w14:textId="77777777" w:rsidTr="00AB740F">
        <w:trPr>
          <w:jc w:val="center"/>
        </w:trPr>
        <w:tc>
          <w:tcPr>
            <w:tcW w:w="1161" w:type="dxa"/>
            <w:vAlign w:val="center"/>
          </w:tcPr>
          <w:p w14:paraId="64A53B7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A6.2</w:t>
            </w:r>
          </w:p>
        </w:tc>
        <w:tc>
          <w:tcPr>
            <w:tcW w:w="6379" w:type="dxa"/>
          </w:tcPr>
          <w:p w14:paraId="31E6697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除非振动是器械特定性能的一部分，否则医疗器械的设计和生产应当将产品振动导致的风险降到最低，应尽量采用限制振动（特别是振动源）的方法。</w:t>
            </w:r>
          </w:p>
        </w:tc>
        <w:tc>
          <w:tcPr>
            <w:tcW w:w="819" w:type="dxa"/>
          </w:tcPr>
          <w:p w14:paraId="6F69E1E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1D26B3C9" w14:textId="77777777" w:rsidTr="00AB740F">
        <w:trPr>
          <w:jc w:val="center"/>
        </w:trPr>
        <w:tc>
          <w:tcPr>
            <w:tcW w:w="1161" w:type="dxa"/>
            <w:vAlign w:val="center"/>
          </w:tcPr>
          <w:p w14:paraId="7399D95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A6.3</w:t>
            </w:r>
          </w:p>
        </w:tc>
        <w:tc>
          <w:tcPr>
            <w:tcW w:w="6379" w:type="dxa"/>
          </w:tcPr>
          <w:p w14:paraId="703479FB" w14:textId="77777777" w:rsidR="00F967A3" w:rsidRPr="008B6261" w:rsidRDefault="00F967A3" w:rsidP="00AB740F">
            <w:pPr>
              <w:spacing w:line="520" w:lineRule="exact"/>
              <w:jc w:val="left"/>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除非噪声是器械特定性能的一部分，否则医疗器械设计和生产应将产品噪声导致的风险降到最低，应尽量采用限制噪声（特别是噪声源）的方法。</w:t>
            </w:r>
          </w:p>
        </w:tc>
        <w:tc>
          <w:tcPr>
            <w:tcW w:w="819" w:type="dxa"/>
          </w:tcPr>
          <w:p w14:paraId="28389130" w14:textId="77777777" w:rsidR="00F967A3" w:rsidRPr="008B6261" w:rsidRDefault="00F967A3" w:rsidP="00AB740F">
            <w:pPr>
              <w:spacing w:line="520" w:lineRule="exact"/>
              <w:jc w:val="center"/>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7C5B765" w14:textId="77777777" w:rsidTr="00AB740F">
        <w:trPr>
          <w:jc w:val="center"/>
        </w:trPr>
        <w:tc>
          <w:tcPr>
            <w:tcW w:w="1161" w:type="dxa"/>
            <w:vAlign w:val="center"/>
          </w:tcPr>
          <w:p w14:paraId="70CBD53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A6.4</w:t>
            </w:r>
          </w:p>
        </w:tc>
        <w:tc>
          <w:tcPr>
            <w:tcW w:w="6379" w:type="dxa"/>
          </w:tcPr>
          <w:p w14:paraId="56BFD62E" w14:textId="77777777" w:rsidR="00F967A3" w:rsidRPr="008B6261" w:rsidRDefault="00F967A3" w:rsidP="00AB740F">
            <w:pPr>
              <w:spacing w:line="520" w:lineRule="exact"/>
              <w:jc w:val="left"/>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如果医疗器械的部件在使用前或使用中需要进行连接或重新连接，其设计和生产应当降低这些部件间的连接故障风险。</w:t>
            </w:r>
          </w:p>
        </w:tc>
        <w:tc>
          <w:tcPr>
            <w:tcW w:w="819" w:type="dxa"/>
          </w:tcPr>
          <w:p w14:paraId="188880E6" w14:textId="77777777" w:rsidR="00F967A3" w:rsidRPr="008B6261" w:rsidRDefault="00F967A3" w:rsidP="00AB740F">
            <w:pPr>
              <w:spacing w:line="520" w:lineRule="exact"/>
              <w:jc w:val="center"/>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2B2FF831" w14:textId="77777777" w:rsidTr="00AB740F">
        <w:trPr>
          <w:jc w:val="center"/>
        </w:trPr>
        <w:tc>
          <w:tcPr>
            <w:tcW w:w="1161" w:type="dxa"/>
            <w:vAlign w:val="center"/>
          </w:tcPr>
          <w:p w14:paraId="07196E3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A6.5</w:t>
            </w:r>
          </w:p>
        </w:tc>
        <w:tc>
          <w:tcPr>
            <w:tcW w:w="6379" w:type="dxa"/>
          </w:tcPr>
          <w:p w14:paraId="75A6FE1D" w14:textId="77777777" w:rsidR="00F967A3" w:rsidRPr="008B6261" w:rsidRDefault="00F967A3" w:rsidP="00AB740F">
            <w:pPr>
              <w:spacing w:line="520" w:lineRule="exact"/>
              <w:jc w:val="left"/>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医疗器械的可接触部件（不包括用于供热或既定温度设置部位）及其周围环境，在正常使用时不应存在过热风险。</w:t>
            </w:r>
          </w:p>
        </w:tc>
        <w:tc>
          <w:tcPr>
            <w:tcW w:w="819" w:type="dxa"/>
          </w:tcPr>
          <w:p w14:paraId="226F8437" w14:textId="77777777" w:rsidR="00F967A3" w:rsidRPr="008B6261" w:rsidRDefault="00FC415B" w:rsidP="00AB740F">
            <w:pPr>
              <w:spacing w:line="520" w:lineRule="exact"/>
              <w:jc w:val="center"/>
              <w:rPr>
                <w:rFonts w:ascii="Times New Roman" w:eastAsia="仿宋_GB2312" w:hAnsi="Times New Roman"/>
                <w:color w:val="000000"/>
                <w:spacing w:val="-4"/>
                <w:kern w:val="0"/>
                <w:sz w:val="28"/>
                <w:szCs w:val="28"/>
              </w:rPr>
            </w:pPr>
            <w:r w:rsidRPr="008B6261">
              <w:rPr>
                <w:rFonts w:ascii="Times New Roman" w:eastAsia="仿宋_GB2312" w:hAnsi="Times New Roman" w:hint="eastAsia"/>
                <w:color w:val="000000"/>
                <w:spacing w:val="-4"/>
                <w:kern w:val="0"/>
                <w:sz w:val="28"/>
                <w:szCs w:val="28"/>
              </w:rPr>
              <w:t>否</w:t>
            </w:r>
          </w:p>
        </w:tc>
      </w:tr>
      <w:tr w:rsidR="00F967A3" w:rsidRPr="008B6261" w14:paraId="6D557193" w14:textId="77777777" w:rsidTr="00AB740F">
        <w:trPr>
          <w:trHeight w:val="291"/>
          <w:jc w:val="center"/>
        </w:trPr>
        <w:tc>
          <w:tcPr>
            <w:tcW w:w="1161" w:type="dxa"/>
            <w:vAlign w:val="center"/>
          </w:tcPr>
          <w:p w14:paraId="6A512AD8"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A7</w:t>
            </w:r>
          </w:p>
        </w:tc>
        <w:tc>
          <w:tcPr>
            <w:tcW w:w="7198" w:type="dxa"/>
            <w:gridSpan w:val="2"/>
            <w:vAlign w:val="center"/>
          </w:tcPr>
          <w:p w14:paraId="46E57F6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有源医疗器械及与其连接的医疗器械</w:t>
            </w:r>
          </w:p>
        </w:tc>
      </w:tr>
      <w:tr w:rsidR="00F967A3" w:rsidRPr="008B6261" w14:paraId="5FC27AAC" w14:textId="77777777" w:rsidTr="00AB740F">
        <w:trPr>
          <w:jc w:val="center"/>
        </w:trPr>
        <w:tc>
          <w:tcPr>
            <w:tcW w:w="1161" w:type="dxa"/>
            <w:vAlign w:val="center"/>
          </w:tcPr>
          <w:p w14:paraId="01F3087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A7.1</w:t>
            </w:r>
          </w:p>
        </w:tc>
        <w:tc>
          <w:tcPr>
            <w:tcW w:w="6379" w:type="dxa"/>
          </w:tcPr>
          <w:p w14:paraId="6398A50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当有源医疗器械发生单一故障时，应当采取适当的</w:t>
            </w:r>
            <w:r w:rsidRPr="008B6261">
              <w:rPr>
                <w:rFonts w:ascii="Times New Roman" w:eastAsia="仿宋_GB2312" w:hAnsi="Times New Roman" w:hint="eastAsia"/>
                <w:color w:val="000000"/>
                <w:kern w:val="0"/>
                <w:sz w:val="28"/>
                <w:szCs w:val="28"/>
              </w:rPr>
              <w:lastRenderedPageBreak/>
              <w:t>措施消除或降低因此而产生的风险。</w:t>
            </w:r>
          </w:p>
        </w:tc>
        <w:tc>
          <w:tcPr>
            <w:tcW w:w="819" w:type="dxa"/>
          </w:tcPr>
          <w:p w14:paraId="71FF072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是</w:t>
            </w:r>
          </w:p>
        </w:tc>
      </w:tr>
      <w:tr w:rsidR="00F967A3" w:rsidRPr="008B6261" w14:paraId="1B60EC7F" w14:textId="77777777" w:rsidTr="00AB740F">
        <w:trPr>
          <w:jc w:val="center"/>
        </w:trPr>
        <w:tc>
          <w:tcPr>
            <w:tcW w:w="1161" w:type="dxa"/>
            <w:vAlign w:val="center"/>
          </w:tcPr>
          <w:p w14:paraId="42E8FD1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A7.2</w:t>
            </w:r>
          </w:p>
        </w:tc>
        <w:tc>
          <w:tcPr>
            <w:tcW w:w="6379" w:type="dxa"/>
          </w:tcPr>
          <w:p w14:paraId="7F43193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患者的安全依赖于内部电源供电的医疗器械，应当具有检测供电状态的功能，并在电源容量不足时提供适当的提示或警告。</w:t>
            </w:r>
          </w:p>
        </w:tc>
        <w:tc>
          <w:tcPr>
            <w:tcW w:w="819" w:type="dxa"/>
          </w:tcPr>
          <w:p w14:paraId="4C2AA74C"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DC8A761" w14:textId="77777777" w:rsidTr="00AB740F">
        <w:trPr>
          <w:jc w:val="center"/>
        </w:trPr>
        <w:tc>
          <w:tcPr>
            <w:tcW w:w="1161" w:type="dxa"/>
            <w:vAlign w:val="center"/>
          </w:tcPr>
          <w:p w14:paraId="705D8E7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A7.3</w:t>
            </w:r>
          </w:p>
        </w:tc>
        <w:tc>
          <w:tcPr>
            <w:tcW w:w="6379" w:type="dxa"/>
          </w:tcPr>
          <w:p w14:paraId="502F4C4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患者的安全取决于外部电源供电状态的医疗器械，应当包括可显示任何电源故障的报警系统。</w:t>
            </w:r>
          </w:p>
        </w:tc>
        <w:tc>
          <w:tcPr>
            <w:tcW w:w="819" w:type="dxa"/>
          </w:tcPr>
          <w:p w14:paraId="418D88DF"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15E22A2" w14:textId="77777777" w:rsidTr="00AB740F">
        <w:trPr>
          <w:jc w:val="center"/>
        </w:trPr>
        <w:tc>
          <w:tcPr>
            <w:tcW w:w="1161" w:type="dxa"/>
            <w:vAlign w:val="center"/>
          </w:tcPr>
          <w:p w14:paraId="45CA224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A7.4</w:t>
            </w:r>
          </w:p>
        </w:tc>
        <w:tc>
          <w:tcPr>
            <w:tcW w:w="6379" w:type="dxa"/>
          </w:tcPr>
          <w:p w14:paraId="7693041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用于监视患者一个或多个临床指标的医疗器械，必须配备适当报警系统，在患者健康状况恶化或危及生命时，向使用者发出警报。</w:t>
            </w:r>
          </w:p>
        </w:tc>
        <w:tc>
          <w:tcPr>
            <w:tcW w:w="819" w:type="dxa"/>
          </w:tcPr>
          <w:p w14:paraId="0110ECEE"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D3EA865" w14:textId="77777777" w:rsidTr="00AB740F">
        <w:trPr>
          <w:jc w:val="center"/>
        </w:trPr>
        <w:tc>
          <w:tcPr>
            <w:tcW w:w="1161" w:type="dxa"/>
            <w:vAlign w:val="center"/>
          </w:tcPr>
          <w:p w14:paraId="13634ED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A7.5</w:t>
            </w:r>
          </w:p>
        </w:tc>
        <w:tc>
          <w:tcPr>
            <w:tcW w:w="6379" w:type="dxa"/>
          </w:tcPr>
          <w:p w14:paraId="63D5212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鉴于电磁干扰可能会损害正常运行的装置或设备，医疗器械的设计和生产应降低产生电磁干扰的风险。</w:t>
            </w:r>
          </w:p>
        </w:tc>
        <w:tc>
          <w:tcPr>
            <w:tcW w:w="819" w:type="dxa"/>
          </w:tcPr>
          <w:p w14:paraId="0264B9F5"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AB4189D" w14:textId="77777777" w:rsidTr="00AB740F">
        <w:trPr>
          <w:trHeight w:val="334"/>
          <w:jc w:val="center"/>
        </w:trPr>
        <w:tc>
          <w:tcPr>
            <w:tcW w:w="1161" w:type="dxa"/>
            <w:vAlign w:val="center"/>
          </w:tcPr>
          <w:p w14:paraId="17CF13F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A7.6</w:t>
            </w:r>
          </w:p>
        </w:tc>
        <w:tc>
          <w:tcPr>
            <w:tcW w:w="6379" w:type="dxa"/>
            <w:vAlign w:val="center"/>
          </w:tcPr>
          <w:p w14:paraId="7E3DE370" w14:textId="77777777" w:rsidR="00F967A3" w:rsidRPr="008B6261" w:rsidRDefault="00F967A3" w:rsidP="00AB740F">
            <w:pPr>
              <w:spacing w:line="520" w:lineRule="exac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医疗器械的设计和生产，应确保产品具有足够的抗电磁干扰能力，以确保产品的正常运行。</w:t>
            </w:r>
          </w:p>
        </w:tc>
        <w:tc>
          <w:tcPr>
            <w:tcW w:w="819" w:type="dxa"/>
          </w:tcPr>
          <w:p w14:paraId="274B316E"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4A12C8E1" w14:textId="77777777" w:rsidTr="00AB740F">
        <w:trPr>
          <w:jc w:val="center"/>
        </w:trPr>
        <w:tc>
          <w:tcPr>
            <w:tcW w:w="1161" w:type="dxa"/>
            <w:vAlign w:val="center"/>
          </w:tcPr>
          <w:p w14:paraId="3A20F5B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A7.7</w:t>
            </w:r>
          </w:p>
        </w:tc>
        <w:tc>
          <w:tcPr>
            <w:tcW w:w="6379" w:type="dxa"/>
          </w:tcPr>
          <w:p w14:paraId="1D7FF7B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当产品按申请人的说明进行安装和维护，在正常状态和单一故障状态时，医疗器械的设计和生产应减少使用者和他人免于遭受意外电击的风险。</w:t>
            </w:r>
          </w:p>
        </w:tc>
        <w:tc>
          <w:tcPr>
            <w:tcW w:w="819" w:type="dxa"/>
          </w:tcPr>
          <w:p w14:paraId="514E760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2CA06DAF" w14:textId="77777777" w:rsidTr="00AB740F">
        <w:trPr>
          <w:trHeight w:val="243"/>
          <w:jc w:val="center"/>
        </w:trPr>
        <w:tc>
          <w:tcPr>
            <w:tcW w:w="1161" w:type="dxa"/>
            <w:vAlign w:val="center"/>
          </w:tcPr>
          <w:p w14:paraId="4DB12D83"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A8</w:t>
            </w:r>
          </w:p>
        </w:tc>
        <w:tc>
          <w:tcPr>
            <w:tcW w:w="7198" w:type="dxa"/>
            <w:gridSpan w:val="2"/>
          </w:tcPr>
          <w:p w14:paraId="212BE943" w14:textId="77777777" w:rsidR="00F967A3" w:rsidRPr="008B6261" w:rsidRDefault="00F967A3" w:rsidP="00AB740F">
            <w:pPr>
              <w:pStyle w:val="af7"/>
              <w:spacing w:line="520" w:lineRule="exac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含有软件的医疗器械以及独立软件</w:t>
            </w:r>
          </w:p>
        </w:tc>
      </w:tr>
      <w:tr w:rsidR="00F967A3" w:rsidRPr="008B6261" w14:paraId="32C10ED5" w14:textId="77777777" w:rsidTr="00AB740F">
        <w:trPr>
          <w:jc w:val="center"/>
        </w:trPr>
        <w:tc>
          <w:tcPr>
            <w:tcW w:w="1161" w:type="dxa"/>
            <w:vAlign w:val="center"/>
          </w:tcPr>
          <w:p w14:paraId="219C8AD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A8.1</w:t>
            </w:r>
          </w:p>
        </w:tc>
        <w:tc>
          <w:tcPr>
            <w:tcW w:w="6379" w:type="dxa"/>
          </w:tcPr>
          <w:p w14:paraId="0D876A1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含有电子可编程系统（内含软件组件）的医疗器械或独立软件的设计，应确保准确度、可靠性、精确度、安全和性能符合其预期用途。应采取适当措施，消除或减少单一故障导致的风险或性能降低。</w:t>
            </w:r>
          </w:p>
        </w:tc>
        <w:tc>
          <w:tcPr>
            <w:tcW w:w="819" w:type="dxa"/>
          </w:tcPr>
          <w:p w14:paraId="1EFEDF16"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8906AA0" w14:textId="77777777" w:rsidTr="00AB740F">
        <w:trPr>
          <w:jc w:val="center"/>
        </w:trPr>
        <w:tc>
          <w:tcPr>
            <w:tcW w:w="1161" w:type="dxa"/>
            <w:vAlign w:val="center"/>
          </w:tcPr>
          <w:p w14:paraId="3362D1E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A8.2</w:t>
            </w:r>
          </w:p>
        </w:tc>
        <w:tc>
          <w:tcPr>
            <w:tcW w:w="6379" w:type="dxa"/>
          </w:tcPr>
          <w:p w14:paraId="711C550D"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含有软件组件的医疗器械或独立软件，应根据先进技术进行开发、生产和维护，同时应当考虑开发生存周期（如快速迭代开发、频繁更新、更新的累积效应）、风险管理（如系统、环境和数据的变化）</w:t>
            </w:r>
            <w:r w:rsidRPr="008B6261">
              <w:rPr>
                <w:rFonts w:ascii="Times New Roman" w:eastAsia="仿宋_GB2312" w:hAnsi="Times New Roman" w:hint="eastAsia"/>
                <w:color w:val="000000"/>
                <w:kern w:val="0"/>
                <w:sz w:val="28"/>
                <w:szCs w:val="28"/>
              </w:rPr>
              <w:lastRenderedPageBreak/>
              <w:t>等原则，包括信息安全（如安全地进行更新）、验证和确认（如更新管理过程）的要求。</w:t>
            </w:r>
          </w:p>
        </w:tc>
        <w:tc>
          <w:tcPr>
            <w:tcW w:w="819" w:type="dxa"/>
          </w:tcPr>
          <w:p w14:paraId="66F7B966"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51BB85E7" w14:textId="77777777" w:rsidTr="00AB740F">
        <w:trPr>
          <w:jc w:val="center"/>
        </w:trPr>
        <w:tc>
          <w:tcPr>
            <w:tcW w:w="1161" w:type="dxa"/>
            <w:vAlign w:val="center"/>
          </w:tcPr>
          <w:p w14:paraId="67575D8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A8.3</w:t>
            </w:r>
          </w:p>
        </w:tc>
        <w:tc>
          <w:tcPr>
            <w:tcW w:w="6379" w:type="dxa"/>
          </w:tcPr>
          <w:p w14:paraId="1DAC095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预期与移动计算平台整合使用的软件，其设计和开发，应当考虑平台本身（如屏幕尺寸和对比度、联通性、内存等）以及与其使用相关的外部因素（不同环境下的照明或噪声水平）。</w:t>
            </w:r>
          </w:p>
        </w:tc>
        <w:tc>
          <w:tcPr>
            <w:tcW w:w="819" w:type="dxa"/>
          </w:tcPr>
          <w:p w14:paraId="6BEF2DC3"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729CFD1A" w14:textId="77777777" w:rsidTr="00AB740F">
        <w:trPr>
          <w:jc w:val="center"/>
        </w:trPr>
        <w:tc>
          <w:tcPr>
            <w:tcW w:w="1161" w:type="dxa"/>
            <w:vAlign w:val="center"/>
          </w:tcPr>
          <w:p w14:paraId="220CD6B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A8.4</w:t>
            </w:r>
          </w:p>
        </w:tc>
        <w:tc>
          <w:tcPr>
            <w:tcW w:w="6379" w:type="dxa"/>
          </w:tcPr>
          <w:p w14:paraId="6195341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申请人应规定软件按照预期正常运行所必须的最低要求，如硬件、</w:t>
            </w:r>
            <w:r w:rsidRPr="008B6261">
              <w:rPr>
                <w:rFonts w:ascii="Times New Roman" w:eastAsia="仿宋_GB2312" w:hAnsi="Times New Roman" w:hint="eastAsia"/>
                <w:color w:val="000000"/>
                <w:kern w:val="0"/>
                <w:sz w:val="28"/>
                <w:szCs w:val="28"/>
              </w:rPr>
              <w:t>IT</w:t>
            </w:r>
            <w:r w:rsidRPr="008B6261">
              <w:rPr>
                <w:rFonts w:ascii="Times New Roman" w:eastAsia="仿宋_GB2312" w:hAnsi="Times New Roman" w:hint="eastAsia"/>
                <w:color w:val="000000"/>
                <w:kern w:val="0"/>
                <w:sz w:val="28"/>
                <w:szCs w:val="28"/>
              </w:rPr>
              <w:t>网络特性和</w:t>
            </w:r>
            <w:r w:rsidRPr="008B6261">
              <w:rPr>
                <w:rFonts w:ascii="Times New Roman" w:eastAsia="仿宋_GB2312" w:hAnsi="Times New Roman" w:hint="eastAsia"/>
                <w:color w:val="000000"/>
                <w:kern w:val="0"/>
                <w:sz w:val="28"/>
                <w:szCs w:val="28"/>
              </w:rPr>
              <w:t>IT</w:t>
            </w:r>
            <w:r w:rsidRPr="008B6261">
              <w:rPr>
                <w:rFonts w:ascii="Times New Roman" w:eastAsia="仿宋_GB2312" w:hAnsi="Times New Roman" w:hint="eastAsia"/>
                <w:color w:val="000000"/>
                <w:kern w:val="0"/>
                <w:sz w:val="28"/>
                <w:szCs w:val="28"/>
              </w:rPr>
              <w:t>网络安全措施，包括未经授权的访问。</w:t>
            </w:r>
          </w:p>
        </w:tc>
        <w:tc>
          <w:tcPr>
            <w:tcW w:w="819" w:type="dxa"/>
          </w:tcPr>
          <w:p w14:paraId="33FC56DC"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19A90E9" w14:textId="77777777" w:rsidTr="00AB740F">
        <w:trPr>
          <w:jc w:val="center"/>
        </w:trPr>
        <w:tc>
          <w:tcPr>
            <w:tcW w:w="1161" w:type="dxa"/>
            <w:vAlign w:val="center"/>
          </w:tcPr>
          <w:p w14:paraId="0BA6BDB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A8.5</w:t>
            </w:r>
          </w:p>
        </w:tc>
        <w:tc>
          <w:tcPr>
            <w:tcW w:w="6379" w:type="dxa"/>
          </w:tcPr>
          <w:p w14:paraId="16C8E54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医疗器械的设计、生产和维护应能提供足够的网络安全水平，以防止未经授权的访问。</w:t>
            </w:r>
          </w:p>
        </w:tc>
        <w:tc>
          <w:tcPr>
            <w:tcW w:w="819" w:type="dxa"/>
          </w:tcPr>
          <w:p w14:paraId="3410BFCB"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1B56C1F6" w14:textId="77777777" w:rsidTr="00AB740F">
        <w:trPr>
          <w:jc w:val="center"/>
        </w:trPr>
        <w:tc>
          <w:tcPr>
            <w:tcW w:w="1161" w:type="dxa"/>
            <w:vAlign w:val="center"/>
          </w:tcPr>
          <w:p w14:paraId="21B5FD08"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A9</w:t>
            </w:r>
          </w:p>
        </w:tc>
        <w:tc>
          <w:tcPr>
            <w:tcW w:w="7198" w:type="dxa"/>
            <w:gridSpan w:val="2"/>
          </w:tcPr>
          <w:p w14:paraId="5DB8F33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具有诊断或测量功能的医疗器械</w:t>
            </w:r>
          </w:p>
        </w:tc>
      </w:tr>
      <w:tr w:rsidR="00F967A3" w:rsidRPr="008B6261" w14:paraId="4722C40A" w14:textId="77777777" w:rsidTr="00AB740F">
        <w:trPr>
          <w:jc w:val="center"/>
        </w:trPr>
        <w:tc>
          <w:tcPr>
            <w:tcW w:w="1161" w:type="dxa"/>
            <w:vAlign w:val="center"/>
          </w:tcPr>
          <w:p w14:paraId="6A5BAEA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A9.1</w:t>
            </w:r>
          </w:p>
        </w:tc>
        <w:tc>
          <w:tcPr>
            <w:tcW w:w="6379" w:type="dxa"/>
          </w:tcPr>
          <w:p w14:paraId="5A48A7B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具有诊断或测量（包括监测）功能的医疗器械的设计和生产，应当基于适当的科技方法，除其他性能外，还应确保相应的准确度、精密度和稳定性，以实现其预期目的。</w:t>
            </w:r>
          </w:p>
          <w:p w14:paraId="3057104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申请人应规定准确度限值（如适用）。</w:t>
            </w:r>
          </w:p>
          <w:p w14:paraId="1717D30D"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为便于使用者理解和接受，数字化测量值应以标准化单位表示（如可能），推荐使用国际通用的标准计量单位，考虑到安全、使用者的熟悉程度和既往的临床实践，也可使用其他公认的计量单位。</w:t>
            </w:r>
          </w:p>
          <w:p w14:paraId="0808651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c)</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医疗器械导示器和控制器的功能应有详细的说明，若器械通过可视化系统提供与操作、操作指示或调整参数有关的说明，该类信息应能够被使用者和患者（适用时）理解。</w:t>
            </w:r>
          </w:p>
        </w:tc>
        <w:tc>
          <w:tcPr>
            <w:tcW w:w="819" w:type="dxa"/>
          </w:tcPr>
          <w:p w14:paraId="451B65F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8D44061" w14:textId="77777777" w:rsidTr="00AB740F">
        <w:trPr>
          <w:jc w:val="center"/>
        </w:trPr>
        <w:tc>
          <w:tcPr>
            <w:tcW w:w="1161" w:type="dxa"/>
            <w:vAlign w:val="center"/>
          </w:tcPr>
          <w:p w14:paraId="1BC7864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A10</w:t>
            </w:r>
          </w:p>
        </w:tc>
        <w:tc>
          <w:tcPr>
            <w:tcW w:w="7198" w:type="dxa"/>
            <w:gridSpan w:val="2"/>
          </w:tcPr>
          <w:p w14:paraId="5077390B" w14:textId="77777777" w:rsidR="00F967A3" w:rsidRPr="008B6261" w:rsidRDefault="00F967A3" w:rsidP="00AB740F">
            <w:pPr>
              <w:pStyle w:val="af6"/>
              <w:spacing w:line="520" w:lineRule="exact"/>
              <w:jc w:val="lef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说明书和标签</w:t>
            </w:r>
          </w:p>
        </w:tc>
      </w:tr>
      <w:tr w:rsidR="00F967A3" w:rsidRPr="008B6261" w14:paraId="49571A3C" w14:textId="77777777" w:rsidTr="00AB740F">
        <w:trPr>
          <w:jc w:val="center"/>
        </w:trPr>
        <w:tc>
          <w:tcPr>
            <w:tcW w:w="1161" w:type="dxa"/>
            <w:vAlign w:val="center"/>
          </w:tcPr>
          <w:p w14:paraId="51B6737F"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A10.1</w:t>
            </w:r>
          </w:p>
        </w:tc>
        <w:tc>
          <w:tcPr>
            <w:tcW w:w="6379" w:type="dxa"/>
          </w:tcPr>
          <w:p w14:paraId="5F79BA0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应附有识别该器械及其申请人所需的信息。每个医疗器械还应附有相关安全和性能信息或相关指示。这些信息可出现在器械本身、包装上或使用说明书中，或者可以通过电子手段（如网站）便捷访问，易于被预期使用者理解。</w:t>
            </w:r>
          </w:p>
        </w:tc>
        <w:tc>
          <w:tcPr>
            <w:tcW w:w="819" w:type="dxa"/>
          </w:tcPr>
          <w:p w14:paraId="5BE3B301"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6814931E" w14:textId="77777777" w:rsidTr="00AB740F">
        <w:trPr>
          <w:jc w:val="center"/>
        </w:trPr>
        <w:tc>
          <w:tcPr>
            <w:tcW w:w="1161" w:type="dxa"/>
            <w:vAlign w:val="center"/>
          </w:tcPr>
          <w:p w14:paraId="2D9646B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w:t>
            </w:r>
          </w:p>
        </w:tc>
        <w:tc>
          <w:tcPr>
            <w:tcW w:w="7198" w:type="dxa"/>
            <w:gridSpan w:val="2"/>
          </w:tcPr>
          <w:p w14:paraId="7923A8ED" w14:textId="77777777" w:rsidR="00F967A3" w:rsidRPr="008B6261" w:rsidRDefault="00F967A3" w:rsidP="00AB740F">
            <w:pPr>
              <w:pStyle w:val="af6"/>
              <w:spacing w:line="520" w:lineRule="exact"/>
              <w:jc w:val="lef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辐射防护</w:t>
            </w:r>
          </w:p>
        </w:tc>
      </w:tr>
      <w:tr w:rsidR="00F967A3" w:rsidRPr="008B6261" w14:paraId="2778C34A" w14:textId="77777777" w:rsidTr="00AB740F">
        <w:trPr>
          <w:jc w:val="center"/>
        </w:trPr>
        <w:tc>
          <w:tcPr>
            <w:tcW w:w="1161" w:type="dxa"/>
            <w:vAlign w:val="center"/>
          </w:tcPr>
          <w:p w14:paraId="785CCC0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A11.1</w:t>
            </w:r>
          </w:p>
        </w:tc>
        <w:tc>
          <w:tcPr>
            <w:tcW w:w="6379" w:type="dxa"/>
          </w:tcPr>
          <w:p w14:paraId="1B0BF22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医疗器械的设计、生产和包装应当考虑尽量减少使用者、他人和患者（如适用）的辐射吸收剂量，同时不影响其诊断或治疗功能。</w:t>
            </w:r>
          </w:p>
        </w:tc>
        <w:tc>
          <w:tcPr>
            <w:tcW w:w="819" w:type="dxa"/>
          </w:tcPr>
          <w:p w14:paraId="3454777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230E881D" w14:textId="77777777" w:rsidTr="00AB740F">
        <w:trPr>
          <w:jc w:val="center"/>
        </w:trPr>
        <w:tc>
          <w:tcPr>
            <w:tcW w:w="1161" w:type="dxa"/>
            <w:vAlign w:val="center"/>
          </w:tcPr>
          <w:p w14:paraId="5EE8AF4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A11.2</w:t>
            </w:r>
          </w:p>
        </w:tc>
        <w:tc>
          <w:tcPr>
            <w:tcW w:w="6379" w:type="dxa"/>
          </w:tcPr>
          <w:p w14:paraId="1F99C00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具有辐射或潜在辐射危害的医疗器械，其操作说明应详细说明辐射的性质，对使用者、他人或患者（若适用）的防护措施，避免误用的方法，降低运输、贮存和安装的风险。</w:t>
            </w:r>
          </w:p>
        </w:tc>
        <w:tc>
          <w:tcPr>
            <w:tcW w:w="819" w:type="dxa"/>
          </w:tcPr>
          <w:p w14:paraId="686919C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03471A6" w14:textId="77777777" w:rsidTr="00AB740F">
        <w:trPr>
          <w:jc w:val="center"/>
        </w:trPr>
        <w:tc>
          <w:tcPr>
            <w:tcW w:w="1161" w:type="dxa"/>
            <w:vAlign w:val="center"/>
          </w:tcPr>
          <w:p w14:paraId="7F88897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A11.3</w:t>
            </w:r>
          </w:p>
        </w:tc>
        <w:tc>
          <w:tcPr>
            <w:tcW w:w="6379" w:type="dxa"/>
          </w:tcPr>
          <w:p w14:paraId="340D83C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若医疗器械有辐射或有潜在辐射危害，应当具备辐射泄漏声光报警功能（如可行）。</w:t>
            </w:r>
          </w:p>
        </w:tc>
        <w:tc>
          <w:tcPr>
            <w:tcW w:w="819" w:type="dxa"/>
          </w:tcPr>
          <w:p w14:paraId="058526F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3F1CEA9" w14:textId="77777777" w:rsidTr="00AB740F">
        <w:trPr>
          <w:jc w:val="center"/>
        </w:trPr>
        <w:tc>
          <w:tcPr>
            <w:tcW w:w="1161" w:type="dxa"/>
            <w:vAlign w:val="center"/>
          </w:tcPr>
          <w:p w14:paraId="56F8D5A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A11.4</w:t>
            </w:r>
          </w:p>
        </w:tc>
        <w:tc>
          <w:tcPr>
            <w:tcW w:w="6379" w:type="dxa"/>
          </w:tcPr>
          <w:p w14:paraId="232A4F0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降低使用者、其他人员或患者（若适用）暴露于非预期、偏离或散射辐射的风险。在可能和适当的情况下，应采取措施减少使用者、其他人员或患者（若适用）等可能受影响的人在辐射中的暴露。</w:t>
            </w:r>
          </w:p>
        </w:tc>
        <w:tc>
          <w:tcPr>
            <w:tcW w:w="819" w:type="dxa"/>
          </w:tcPr>
          <w:p w14:paraId="292678B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232DF986" w14:textId="77777777" w:rsidTr="00AB740F">
        <w:trPr>
          <w:jc w:val="center"/>
        </w:trPr>
        <w:tc>
          <w:tcPr>
            <w:tcW w:w="1161" w:type="dxa"/>
            <w:vAlign w:val="center"/>
          </w:tcPr>
          <w:p w14:paraId="2E91FC7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A11.5</w:t>
            </w:r>
          </w:p>
        </w:tc>
        <w:tc>
          <w:tcPr>
            <w:tcW w:w="6379" w:type="dxa"/>
          </w:tcPr>
          <w:p w14:paraId="3190321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具有辐射或潜在辐射危害且需要安装的医疗器械，应当在操作说明中明确有关验收和性能测试、验收标准及维护程序的信息。</w:t>
            </w:r>
          </w:p>
        </w:tc>
        <w:tc>
          <w:tcPr>
            <w:tcW w:w="819" w:type="dxa"/>
          </w:tcPr>
          <w:p w14:paraId="03DF28D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11672A40" w14:textId="77777777" w:rsidTr="00AB740F">
        <w:trPr>
          <w:jc w:val="center"/>
        </w:trPr>
        <w:tc>
          <w:tcPr>
            <w:tcW w:w="1161" w:type="dxa"/>
            <w:vAlign w:val="center"/>
          </w:tcPr>
          <w:p w14:paraId="35CA5F7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A11.6</w:t>
            </w:r>
          </w:p>
        </w:tc>
        <w:tc>
          <w:tcPr>
            <w:tcW w:w="6379" w:type="dxa"/>
          </w:tcPr>
          <w:p w14:paraId="2FBD7DF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若医疗器械对使用者有辐射或潜在辐射危害，其设计和生产应确保辐射剂量、几何分布、能量分布（或质量）以及其他辐射关键特性能够得到合理的控制</w:t>
            </w:r>
            <w:r w:rsidRPr="008B6261">
              <w:rPr>
                <w:rFonts w:ascii="Times New Roman" w:eastAsia="仿宋_GB2312" w:hAnsi="Times New Roman" w:hint="eastAsia"/>
                <w:color w:val="000000"/>
                <w:kern w:val="0"/>
                <w:sz w:val="28"/>
                <w:szCs w:val="28"/>
              </w:rPr>
              <w:lastRenderedPageBreak/>
              <w:t>和调整，并可在使用过程中进行监控（如适用）。上述医疗器械的设计和生产，应确保相关可变参数的重复性在可接受范围内。</w:t>
            </w:r>
          </w:p>
        </w:tc>
        <w:tc>
          <w:tcPr>
            <w:tcW w:w="819" w:type="dxa"/>
          </w:tcPr>
          <w:p w14:paraId="13968B3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172B47E5" w14:textId="77777777" w:rsidTr="00AB740F">
        <w:trPr>
          <w:trHeight w:val="307"/>
          <w:jc w:val="center"/>
        </w:trPr>
        <w:tc>
          <w:tcPr>
            <w:tcW w:w="1161" w:type="dxa"/>
            <w:vAlign w:val="center"/>
          </w:tcPr>
          <w:p w14:paraId="3DCCA35B"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A12</w:t>
            </w:r>
          </w:p>
        </w:tc>
        <w:tc>
          <w:tcPr>
            <w:tcW w:w="7198" w:type="dxa"/>
            <w:gridSpan w:val="2"/>
            <w:vAlign w:val="center"/>
          </w:tcPr>
          <w:p w14:paraId="6EA3A62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对非专业用户使用风险的防护</w:t>
            </w:r>
          </w:p>
        </w:tc>
      </w:tr>
      <w:tr w:rsidR="00F967A3" w:rsidRPr="008B6261" w14:paraId="7192A4FF" w14:textId="77777777" w:rsidTr="00AB740F">
        <w:trPr>
          <w:jc w:val="center"/>
        </w:trPr>
        <w:tc>
          <w:tcPr>
            <w:tcW w:w="1161" w:type="dxa"/>
            <w:vAlign w:val="center"/>
          </w:tcPr>
          <w:p w14:paraId="7271E88A"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A12.1</w:t>
            </w:r>
          </w:p>
        </w:tc>
        <w:tc>
          <w:tcPr>
            <w:tcW w:w="6379" w:type="dxa"/>
          </w:tcPr>
          <w:p w14:paraId="16F2F9D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于非专业用户使用的医疗器械（如自测或近患者检测），为保证医疗器械的正常使用，其设计和生产应当考虑非专业用户的操作技能，以及因非专业用户技术和使用环境的不同对结果的影响。申请人提供的信息和说明应易于理解和使用，并可对结果做出解释。</w:t>
            </w:r>
          </w:p>
        </w:tc>
        <w:tc>
          <w:tcPr>
            <w:tcW w:w="819" w:type="dxa"/>
          </w:tcPr>
          <w:p w14:paraId="02682CF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6CA61122" w14:textId="77777777" w:rsidTr="00AB740F">
        <w:trPr>
          <w:jc w:val="center"/>
        </w:trPr>
        <w:tc>
          <w:tcPr>
            <w:tcW w:w="1161" w:type="dxa"/>
            <w:vAlign w:val="center"/>
          </w:tcPr>
          <w:p w14:paraId="21D0C89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A12.2</w:t>
            </w:r>
          </w:p>
        </w:tc>
        <w:tc>
          <w:tcPr>
            <w:tcW w:w="6379" w:type="dxa"/>
          </w:tcPr>
          <w:p w14:paraId="61AC46A9"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供非专业用户使用的医疗器械（如自测或近患者检测）的设计和生产应当：</w:t>
            </w:r>
          </w:p>
          <w:p w14:paraId="291F9A4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确保使用者可以按照使用说明书的规定安全准确的使用。当无法将与说明书相关的风险降低到适当水平时，可以通过培训来降低此类风险；</w:t>
            </w:r>
          </w:p>
          <w:p w14:paraId="3C6DC02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尽可能减少非专业用户因错误操作和错误解释结果导致的风险。</w:t>
            </w:r>
          </w:p>
        </w:tc>
        <w:tc>
          <w:tcPr>
            <w:tcW w:w="819" w:type="dxa"/>
          </w:tcPr>
          <w:p w14:paraId="59715A6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36650D88" w14:textId="77777777" w:rsidTr="00AB740F">
        <w:trPr>
          <w:jc w:val="center"/>
        </w:trPr>
        <w:tc>
          <w:tcPr>
            <w:tcW w:w="1161" w:type="dxa"/>
            <w:vAlign w:val="center"/>
          </w:tcPr>
          <w:p w14:paraId="39EC3EE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A12.3</w:t>
            </w:r>
          </w:p>
        </w:tc>
        <w:tc>
          <w:tcPr>
            <w:tcW w:w="6379" w:type="dxa"/>
          </w:tcPr>
          <w:p w14:paraId="373555E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供非专业用户使用的医疗器械可通过以下措施方便用户：</w:t>
            </w:r>
          </w:p>
          <w:p w14:paraId="142DEED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在使用时，可以验证器械的正常运行；</w:t>
            </w:r>
          </w:p>
          <w:p w14:paraId="4130791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当器械不能正常运行或提供无效结果时，会发出警告。</w:t>
            </w:r>
          </w:p>
        </w:tc>
        <w:tc>
          <w:tcPr>
            <w:tcW w:w="819" w:type="dxa"/>
          </w:tcPr>
          <w:p w14:paraId="7BA2FA3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22CA3276" w14:textId="77777777" w:rsidTr="00AB740F">
        <w:trPr>
          <w:jc w:val="center"/>
        </w:trPr>
        <w:tc>
          <w:tcPr>
            <w:tcW w:w="1161" w:type="dxa"/>
            <w:vAlign w:val="center"/>
          </w:tcPr>
          <w:p w14:paraId="5DC4EB41"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w:t>
            </w:r>
          </w:p>
        </w:tc>
        <w:tc>
          <w:tcPr>
            <w:tcW w:w="7198" w:type="dxa"/>
            <w:gridSpan w:val="2"/>
          </w:tcPr>
          <w:p w14:paraId="6681F61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含有生物源材料的医疗器械</w:t>
            </w:r>
          </w:p>
        </w:tc>
      </w:tr>
      <w:tr w:rsidR="00F967A3" w:rsidRPr="008B6261" w14:paraId="3458D04F" w14:textId="77777777" w:rsidTr="00AB740F">
        <w:trPr>
          <w:jc w:val="center"/>
        </w:trPr>
        <w:tc>
          <w:tcPr>
            <w:tcW w:w="1161" w:type="dxa"/>
            <w:vAlign w:val="center"/>
          </w:tcPr>
          <w:p w14:paraId="41FEA080"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A13.1</w:t>
            </w:r>
          </w:p>
        </w:tc>
        <w:tc>
          <w:tcPr>
            <w:tcW w:w="6379" w:type="dxa"/>
          </w:tcPr>
          <w:p w14:paraId="60601ADA"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对于含有动植物组织、细胞或其它物质，细菌来源物质或衍生物的医疗器械，若无活性或以非活性状态交付，应当：</w:t>
            </w:r>
          </w:p>
          <w:p w14:paraId="61F2FA8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组织、细胞及其衍生物应来源于已受控且符合预期用途的动物种属。动物的地理来源信息应根据相关法规要求予以保留。</w:t>
            </w:r>
          </w:p>
          <w:p w14:paraId="4182FFDD"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动物源的组织、细胞、物质或其衍生物的采集、加工、保存、检测和处理过程，应确保患者、使用者以及其他人员（如适用）的安全。特别是病毒和其他传染性病原体，应通过经验证的先进技术消除或灭活，影响医疗器械性能的情况除外。</w:t>
            </w:r>
          </w:p>
        </w:tc>
        <w:tc>
          <w:tcPr>
            <w:tcW w:w="819" w:type="dxa"/>
          </w:tcPr>
          <w:p w14:paraId="599E98C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3EEBD66A" w14:textId="77777777" w:rsidTr="00AB740F">
        <w:trPr>
          <w:jc w:val="center"/>
        </w:trPr>
        <w:tc>
          <w:tcPr>
            <w:tcW w:w="1161" w:type="dxa"/>
            <w:vAlign w:val="center"/>
          </w:tcPr>
          <w:p w14:paraId="4E3C266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A13.2</w:t>
            </w:r>
          </w:p>
        </w:tc>
        <w:tc>
          <w:tcPr>
            <w:tcW w:w="6379" w:type="dxa"/>
          </w:tcPr>
          <w:p w14:paraId="74998CF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对于监管部门而言，当医疗器械由人体来源的组织、细胞、物质或其衍生物生产时，应当采取以下措施：</w:t>
            </w:r>
          </w:p>
          <w:p w14:paraId="41C0BF62"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组织、细胞的捐赠、获取和检测应依据相关法规的要求进行；</w:t>
            </w:r>
          </w:p>
          <w:p w14:paraId="1A7AF788"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w:t>
            </w:r>
            <w:r w:rsidRPr="008B6261">
              <w:rPr>
                <w:rFonts w:ascii="Times New Roman" w:eastAsia="仿宋_GB2312" w:hAnsi="Times New Roman" w:hint="eastAsia"/>
                <w:color w:val="000000"/>
                <w:kern w:val="0"/>
                <w:sz w:val="28"/>
                <w:szCs w:val="28"/>
              </w:rPr>
              <w:tab/>
            </w:r>
            <w:r w:rsidRPr="008B6261">
              <w:rPr>
                <w:rFonts w:ascii="Times New Roman" w:eastAsia="仿宋_GB2312" w:hAnsi="Times New Roman" w:hint="eastAsia"/>
                <w:color w:val="000000"/>
                <w:kern w:val="0"/>
                <w:sz w:val="28"/>
                <w:szCs w:val="28"/>
              </w:rPr>
              <w:t>为确保患者、使用者或他人的安全，应对组织、细胞或其衍生物进行加工、保存或其他处理。对于病毒和其他传染源，应通过源头控制，或在生产过程中通过经验证的先进技术消除或灭活。</w:t>
            </w:r>
          </w:p>
        </w:tc>
        <w:tc>
          <w:tcPr>
            <w:tcW w:w="819" w:type="dxa"/>
          </w:tcPr>
          <w:p w14:paraId="7A76E99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2FF05658" w14:textId="77777777" w:rsidTr="00AB740F">
        <w:trPr>
          <w:jc w:val="center"/>
        </w:trPr>
        <w:tc>
          <w:tcPr>
            <w:tcW w:w="1161" w:type="dxa"/>
            <w:vAlign w:val="center"/>
          </w:tcPr>
          <w:p w14:paraId="788D7FE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A13.3</w:t>
            </w:r>
          </w:p>
        </w:tc>
        <w:tc>
          <w:tcPr>
            <w:tcW w:w="6379" w:type="dxa"/>
          </w:tcPr>
          <w:p w14:paraId="6770306F"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当医疗器械使用</w:t>
            </w:r>
            <w:r w:rsidRPr="008B6261">
              <w:rPr>
                <w:rFonts w:ascii="Times New Roman" w:eastAsia="仿宋_GB2312" w:hAnsi="Times New Roman" w:hint="eastAsia"/>
                <w:color w:val="000000"/>
                <w:kern w:val="0"/>
                <w:sz w:val="28"/>
                <w:szCs w:val="28"/>
              </w:rPr>
              <w:t>A13.1</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A13.2</w:t>
            </w:r>
            <w:r w:rsidRPr="008B6261">
              <w:rPr>
                <w:rFonts w:ascii="Times New Roman" w:eastAsia="仿宋_GB2312" w:hAnsi="Times New Roman" w:hint="eastAsia"/>
                <w:color w:val="000000"/>
                <w:kern w:val="0"/>
                <w:sz w:val="28"/>
                <w:szCs w:val="28"/>
              </w:rPr>
              <w:t>以外的生物物质（例如植物或细菌来源的材料）生产时，其加工、保存、检测和处理应确保患者、用户以及其他人员（如废弃物处置人员等）的安全。对于病毒和其他传染源，为确保安全，应通过源头控制，或在生产过程中通过经验证的先进技术消除或灭活。</w:t>
            </w:r>
          </w:p>
        </w:tc>
        <w:tc>
          <w:tcPr>
            <w:tcW w:w="819" w:type="dxa"/>
          </w:tcPr>
          <w:p w14:paraId="55FEEDA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7548D65D" w14:textId="77777777" w:rsidTr="00AB740F">
        <w:trPr>
          <w:jc w:val="center"/>
        </w:trPr>
        <w:tc>
          <w:tcPr>
            <w:tcW w:w="1161" w:type="dxa"/>
            <w:vAlign w:val="center"/>
          </w:tcPr>
          <w:p w14:paraId="322D41AA"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B</w:t>
            </w:r>
          </w:p>
        </w:tc>
        <w:tc>
          <w:tcPr>
            <w:tcW w:w="7198" w:type="dxa"/>
            <w:gridSpan w:val="2"/>
          </w:tcPr>
          <w:p w14:paraId="0D3CEC7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适用于医疗器械的基本原则</w:t>
            </w:r>
          </w:p>
        </w:tc>
      </w:tr>
      <w:tr w:rsidR="00F967A3" w:rsidRPr="008B6261" w14:paraId="3EF9C50E" w14:textId="77777777" w:rsidTr="00AB740F">
        <w:trPr>
          <w:jc w:val="center"/>
        </w:trPr>
        <w:tc>
          <w:tcPr>
            <w:tcW w:w="1161" w:type="dxa"/>
            <w:vAlign w:val="center"/>
          </w:tcPr>
          <w:p w14:paraId="0654AA0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B1</w:t>
            </w:r>
          </w:p>
        </w:tc>
        <w:tc>
          <w:tcPr>
            <w:tcW w:w="7198" w:type="dxa"/>
            <w:gridSpan w:val="2"/>
          </w:tcPr>
          <w:p w14:paraId="790B3B95"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化学、物理和生物学特性</w:t>
            </w:r>
          </w:p>
        </w:tc>
      </w:tr>
      <w:tr w:rsidR="00F967A3" w:rsidRPr="008B6261" w14:paraId="33FFF410" w14:textId="77777777" w:rsidTr="00AB740F">
        <w:trPr>
          <w:jc w:val="center"/>
        </w:trPr>
        <w:tc>
          <w:tcPr>
            <w:tcW w:w="1161" w:type="dxa"/>
            <w:vAlign w:val="center"/>
          </w:tcPr>
          <w:p w14:paraId="0F0982BB"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B1.1</w:t>
            </w:r>
          </w:p>
        </w:tc>
        <w:tc>
          <w:tcPr>
            <w:tcW w:w="6379" w:type="dxa"/>
          </w:tcPr>
          <w:p w14:paraId="7AE8EED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根据医疗器械的预期用途，以及产品（例如某些可吸收产品）在人体的吸收、分布、代谢和排泄情况，</w:t>
            </w:r>
            <w:r w:rsidRPr="008B6261">
              <w:rPr>
                <w:rFonts w:ascii="Times New Roman" w:eastAsia="仿宋_GB2312" w:hAnsi="Times New Roman" w:hint="eastAsia"/>
                <w:color w:val="000000"/>
                <w:kern w:val="0"/>
                <w:sz w:val="28"/>
                <w:szCs w:val="28"/>
              </w:rPr>
              <w:lastRenderedPageBreak/>
              <w:t>对于医疗器械的化学、物理和生物学特性，应特别注意所用材料</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物质与人体组织、细胞和体液之间的相容性。</w:t>
            </w:r>
          </w:p>
        </w:tc>
        <w:tc>
          <w:tcPr>
            <w:tcW w:w="819" w:type="dxa"/>
          </w:tcPr>
          <w:p w14:paraId="551F7CB4"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是</w:t>
            </w:r>
          </w:p>
        </w:tc>
      </w:tr>
      <w:tr w:rsidR="00F967A3" w:rsidRPr="008B6261" w14:paraId="46970B51" w14:textId="77777777" w:rsidTr="00AB740F">
        <w:trPr>
          <w:jc w:val="center"/>
        </w:trPr>
        <w:tc>
          <w:tcPr>
            <w:tcW w:w="1161" w:type="dxa"/>
            <w:vAlign w:val="center"/>
          </w:tcPr>
          <w:p w14:paraId="7D42C826"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B1.2</w:t>
            </w:r>
          </w:p>
        </w:tc>
        <w:tc>
          <w:tcPr>
            <w:tcW w:w="6379" w:type="dxa"/>
          </w:tcPr>
          <w:p w14:paraId="06055ECE"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应能够保证产品在预期使用中接触到其他的材料、物质和气体时，仍然能够安全使用。如果医疗器械用于配合药物使用，则该产品的设计和生产需要符合药品管理的有关规定，且具有药物相容性，同时药品和器械的性能符合其适应证和预期用途。</w:t>
            </w:r>
          </w:p>
        </w:tc>
        <w:tc>
          <w:tcPr>
            <w:tcW w:w="819" w:type="dxa"/>
          </w:tcPr>
          <w:p w14:paraId="1712C83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041ABF3D" w14:textId="77777777" w:rsidTr="00AB740F">
        <w:trPr>
          <w:jc w:val="center"/>
        </w:trPr>
        <w:tc>
          <w:tcPr>
            <w:tcW w:w="1161" w:type="dxa"/>
            <w:vAlign w:val="center"/>
          </w:tcPr>
          <w:p w14:paraId="2B9A0482"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B1.3</w:t>
            </w:r>
          </w:p>
        </w:tc>
        <w:tc>
          <w:tcPr>
            <w:tcW w:w="6379" w:type="dxa"/>
          </w:tcPr>
          <w:p w14:paraId="4EABC026"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医疗器械的设计和生产，除接触完整皮肤的产品外，应适当降低释放进入患者或使用者体内的颗粒，产生与颗粒尺寸和性质相关的风险。对纳米材料应给予重点关注。</w:t>
            </w:r>
          </w:p>
        </w:tc>
        <w:tc>
          <w:tcPr>
            <w:tcW w:w="819" w:type="dxa"/>
          </w:tcPr>
          <w:p w14:paraId="2DF7523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是</w:t>
            </w:r>
          </w:p>
        </w:tc>
      </w:tr>
      <w:tr w:rsidR="00F967A3" w:rsidRPr="008B6261" w14:paraId="2D127BE1" w14:textId="77777777" w:rsidTr="00AB740F">
        <w:trPr>
          <w:jc w:val="center"/>
        </w:trPr>
        <w:tc>
          <w:tcPr>
            <w:tcW w:w="1161" w:type="dxa"/>
            <w:vAlign w:val="center"/>
          </w:tcPr>
          <w:p w14:paraId="112728C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B2</w:t>
            </w:r>
          </w:p>
        </w:tc>
        <w:tc>
          <w:tcPr>
            <w:tcW w:w="7198" w:type="dxa"/>
            <w:gridSpan w:val="2"/>
          </w:tcPr>
          <w:p w14:paraId="26552FA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辐射防护</w:t>
            </w:r>
          </w:p>
        </w:tc>
      </w:tr>
      <w:tr w:rsidR="00F967A3" w:rsidRPr="008B6261" w14:paraId="25B08D68" w14:textId="77777777" w:rsidTr="00AB740F">
        <w:trPr>
          <w:jc w:val="center"/>
        </w:trPr>
        <w:tc>
          <w:tcPr>
            <w:tcW w:w="1161" w:type="dxa"/>
            <w:vAlign w:val="center"/>
          </w:tcPr>
          <w:p w14:paraId="3927288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B2.1</w:t>
            </w:r>
          </w:p>
        </w:tc>
        <w:tc>
          <w:tcPr>
            <w:tcW w:w="6379" w:type="dxa"/>
          </w:tcPr>
          <w:p w14:paraId="2E4A88F4"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用于医学影像的医疗器械具有电离辐射时，其设计和生产，在保障图像和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或输出质量的同时，应尽可能降低患者、使用者和其他人员的辐射吸收剂量。</w:t>
            </w:r>
          </w:p>
        </w:tc>
        <w:tc>
          <w:tcPr>
            <w:tcW w:w="819" w:type="dxa"/>
          </w:tcPr>
          <w:p w14:paraId="7C74BE2C"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9BAACE7" w14:textId="77777777" w:rsidTr="00AB740F">
        <w:trPr>
          <w:jc w:val="center"/>
        </w:trPr>
        <w:tc>
          <w:tcPr>
            <w:tcW w:w="1161" w:type="dxa"/>
            <w:vAlign w:val="center"/>
          </w:tcPr>
          <w:p w14:paraId="012D8628"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B2.2</w:t>
            </w:r>
          </w:p>
        </w:tc>
        <w:tc>
          <w:tcPr>
            <w:tcW w:w="6379" w:type="dxa"/>
          </w:tcPr>
          <w:p w14:paraId="4A8068E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具有电离辐射的医疗器械应能够精确预估（或监测）、显示、报告和记录治疗过程中的辐射剂量。</w:t>
            </w:r>
          </w:p>
        </w:tc>
        <w:tc>
          <w:tcPr>
            <w:tcW w:w="819" w:type="dxa"/>
          </w:tcPr>
          <w:p w14:paraId="3B460F0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03757C0" w14:textId="77777777" w:rsidTr="00AB740F">
        <w:trPr>
          <w:jc w:val="center"/>
        </w:trPr>
        <w:tc>
          <w:tcPr>
            <w:tcW w:w="1161" w:type="dxa"/>
            <w:vAlign w:val="center"/>
          </w:tcPr>
          <w:p w14:paraId="5987BFFB"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B3</w:t>
            </w:r>
          </w:p>
        </w:tc>
        <w:tc>
          <w:tcPr>
            <w:tcW w:w="7198" w:type="dxa"/>
            <w:gridSpan w:val="2"/>
          </w:tcPr>
          <w:p w14:paraId="47DCE483"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植入医疗器械的特殊要求</w:t>
            </w:r>
          </w:p>
        </w:tc>
      </w:tr>
      <w:tr w:rsidR="00F967A3" w:rsidRPr="008B6261" w14:paraId="6516B2A1" w14:textId="77777777" w:rsidTr="00AB740F">
        <w:trPr>
          <w:jc w:val="center"/>
        </w:trPr>
        <w:tc>
          <w:tcPr>
            <w:tcW w:w="1161" w:type="dxa"/>
            <w:vAlign w:val="center"/>
          </w:tcPr>
          <w:p w14:paraId="662E124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B3.1</w:t>
            </w:r>
          </w:p>
        </w:tc>
        <w:tc>
          <w:tcPr>
            <w:tcW w:w="6379" w:type="dxa"/>
          </w:tcPr>
          <w:p w14:paraId="10800A1C"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植入医疗器械的设计和生产，应当能消除或降低相关治疗风险，例如除颤器、高频手术设备的使用。</w:t>
            </w:r>
          </w:p>
        </w:tc>
        <w:tc>
          <w:tcPr>
            <w:tcW w:w="819" w:type="dxa"/>
          </w:tcPr>
          <w:p w14:paraId="1B108DA5"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08105A34" w14:textId="77777777" w:rsidTr="00AB740F">
        <w:trPr>
          <w:jc w:val="center"/>
        </w:trPr>
        <w:tc>
          <w:tcPr>
            <w:tcW w:w="1161" w:type="dxa"/>
            <w:vAlign w:val="center"/>
          </w:tcPr>
          <w:p w14:paraId="32CFB377"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B3.2</w:t>
            </w:r>
          </w:p>
        </w:tc>
        <w:tc>
          <w:tcPr>
            <w:tcW w:w="6379" w:type="dxa"/>
          </w:tcPr>
          <w:p w14:paraId="6524A21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可编程有源植入式医疗器械的设计和生产，应保证产品在无需手术时即可准确识别。</w:t>
            </w:r>
          </w:p>
        </w:tc>
        <w:tc>
          <w:tcPr>
            <w:tcW w:w="819" w:type="dxa"/>
          </w:tcPr>
          <w:p w14:paraId="496A24BE"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45A1F3A6" w14:textId="77777777" w:rsidTr="00AB740F">
        <w:trPr>
          <w:jc w:val="center"/>
        </w:trPr>
        <w:tc>
          <w:tcPr>
            <w:tcW w:w="1161" w:type="dxa"/>
            <w:vAlign w:val="center"/>
          </w:tcPr>
          <w:p w14:paraId="766133CF" w14:textId="77777777" w:rsidR="00F967A3" w:rsidRPr="008B6261" w:rsidRDefault="00F967A3" w:rsidP="00AB740F">
            <w:pPr>
              <w:pStyle w:val="af7"/>
              <w:spacing w:line="520" w:lineRule="exact"/>
              <w:jc w:val="center"/>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B4</w:t>
            </w:r>
          </w:p>
        </w:tc>
        <w:tc>
          <w:tcPr>
            <w:tcW w:w="7198" w:type="dxa"/>
            <w:gridSpan w:val="2"/>
          </w:tcPr>
          <w:p w14:paraId="0A0D91E0"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提供能量或物质的医疗器械对患者或使用者的风险防护</w:t>
            </w:r>
          </w:p>
        </w:tc>
      </w:tr>
      <w:tr w:rsidR="00F967A3" w:rsidRPr="008B6261" w14:paraId="59308866" w14:textId="77777777" w:rsidTr="00AB740F">
        <w:trPr>
          <w:jc w:val="center"/>
        </w:trPr>
        <w:tc>
          <w:tcPr>
            <w:tcW w:w="1161" w:type="dxa"/>
            <w:vAlign w:val="center"/>
          </w:tcPr>
          <w:p w14:paraId="710D06C3"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B4.1</w:t>
            </w:r>
          </w:p>
        </w:tc>
        <w:tc>
          <w:tcPr>
            <w:tcW w:w="6379" w:type="dxa"/>
          </w:tcPr>
          <w:p w14:paraId="1BC9506B"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用于给患者提供能量或物质的医疗器械，其设计和</w:t>
            </w:r>
            <w:r w:rsidRPr="008B6261">
              <w:rPr>
                <w:rFonts w:ascii="Times New Roman" w:eastAsia="仿宋_GB2312" w:hAnsi="Times New Roman" w:hint="eastAsia"/>
                <w:color w:val="000000"/>
                <w:kern w:val="0"/>
                <w:sz w:val="28"/>
                <w:szCs w:val="28"/>
              </w:rPr>
              <w:lastRenderedPageBreak/>
              <w:t>生产应能精确地设定和维持输出量，以保证患者、使用者和其他人的安全。</w:t>
            </w:r>
          </w:p>
        </w:tc>
        <w:tc>
          <w:tcPr>
            <w:tcW w:w="819" w:type="dxa"/>
          </w:tcPr>
          <w:p w14:paraId="151EC9CD"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lastRenderedPageBreak/>
              <w:t>否</w:t>
            </w:r>
          </w:p>
        </w:tc>
      </w:tr>
      <w:tr w:rsidR="00F967A3" w:rsidRPr="008B6261" w14:paraId="68D99CA7" w14:textId="77777777" w:rsidTr="00AB740F">
        <w:trPr>
          <w:jc w:val="center"/>
        </w:trPr>
        <w:tc>
          <w:tcPr>
            <w:tcW w:w="1161" w:type="dxa"/>
            <w:vAlign w:val="center"/>
          </w:tcPr>
          <w:p w14:paraId="35EDA379"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B4.2</w:t>
            </w:r>
          </w:p>
        </w:tc>
        <w:tc>
          <w:tcPr>
            <w:tcW w:w="6379" w:type="dxa"/>
          </w:tcPr>
          <w:p w14:paraId="78A51A71"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若输出量不足可能导致危险，医疗器械应具有防止和</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或指示“输出量不足”的功能。意外输出危险等级量的能量或物质作为较大风险，应采取适当的措施予以降低。</w:t>
            </w:r>
          </w:p>
        </w:tc>
        <w:tc>
          <w:tcPr>
            <w:tcW w:w="819" w:type="dxa"/>
          </w:tcPr>
          <w:p w14:paraId="70F457CF"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否</w:t>
            </w:r>
          </w:p>
        </w:tc>
      </w:tr>
      <w:tr w:rsidR="00F967A3" w:rsidRPr="008B6261" w14:paraId="3A01955D" w14:textId="77777777" w:rsidTr="00AB740F">
        <w:trPr>
          <w:jc w:val="center"/>
        </w:trPr>
        <w:tc>
          <w:tcPr>
            <w:tcW w:w="1161" w:type="dxa"/>
            <w:vAlign w:val="center"/>
          </w:tcPr>
          <w:p w14:paraId="7F5BA7A1"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B5</w:t>
            </w:r>
          </w:p>
        </w:tc>
        <w:tc>
          <w:tcPr>
            <w:tcW w:w="7198" w:type="dxa"/>
            <w:gridSpan w:val="2"/>
          </w:tcPr>
          <w:p w14:paraId="7A3ABA14" w14:textId="77777777" w:rsidR="00F967A3" w:rsidRPr="008B6261" w:rsidRDefault="00F967A3" w:rsidP="00AB740F">
            <w:pPr>
              <w:pStyle w:val="af6"/>
              <w:spacing w:line="520" w:lineRule="exact"/>
              <w:jc w:val="left"/>
              <w:rPr>
                <w:rFonts w:ascii="Times New Roman" w:eastAsia="仿宋_GB2312" w:hAnsi="Times New Roman"/>
                <w:color w:val="000000"/>
                <w:kern w:val="2"/>
                <w:sz w:val="28"/>
                <w:szCs w:val="28"/>
              </w:rPr>
            </w:pPr>
            <w:r w:rsidRPr="008B6261">
              <w:rPr>
                <w:rFonts w:ascii="Times New Roman" w:eastAsia="仿宋_GB2312" w:hAnsi="Times New Roman" w:hint="eastAsia"/>
                <w:color w:val="000000"/>
                <w:kern w:val="2"/>
                <w:sz w:val="28"/>
                <w:szCs w:val="28"/>
              </w:rPr>
              <w:t>含有药物成分的组合产品</w:t>
            </w:r>
          </w:p>
        </w:tc>
      </w:tr>
      <w:tr w:rsidR="00F967A3" w:rsidRPr="008B6261" w14:paraId="241B690F" w14:textId="77777777" w:rsidTr="00AB740F">
        <w:trPr>
          <w:jc w:val="center"/>
        </w:trPr>
        <w:tc>
          <w:tcPr>
            <w:tcW w:w="1161" w:type="dxa"/>
            <w:vAlign w:val="center"/>
          </w:tcPr>
          <w:p w14:paraId="69CBF39D" w14:textId="77777777" w:rsidR="00F967A3" w:rsidRPr="008B6261" w:rsidRDefault="00F967A3"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B5.1</w:t>
            </w:r>
          </w:p>
        </w:tc>
        <w:tc>
          <w:tcPr>
            <w:tcW w:w="6379" w:type="dxa"/>
          </w:tcPr>
          <w:p w14:paraId="504DBE47" w14:textId="77777777" w:rsidR="00F967A3" w:rsidRPr="008B6261" w:rsidRDefault="00F967A3" w:rsidP="00AB740F">
            <w:pPr>
              <w:spacing w:line="520" w:lineRule="exact"/>
              <w:jc w:val="left"/>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当医疗器械组成成分中含有某种物质，依据监管法规，该物质作为药用产品</w:t>
            </w:r>
            <w:r w:rsidRPr="008B6261">
              <w:rPr>
                <w:rFonts w:ascii="Times New Roman" w:eastAsia="仿宋_GB2312" w:hAnsi="Times New Roman" w:hint="eastAsia"/>
                <w:color w:val="000000"/>
                <w:kern w:val="0"/>
                <w:sz w:val="28"/>
                <w:szCs w:val="28"/>
              </w:rPr>
              <w:t>/</w:t>
            </w:r>
            <w:r w:rsidRPr="008B6261">
              <w:rPr>
                <w:rFonts w:ascii="Times New Roman" w:eastAsia="仿宋_GB2312" w:hAnsi="Times New Roman" w:hint="eastAsia"/>
                <w:color w:val="000000"/>
                <w:kern w:val="0"/>
                <w:sz w:val="28"/>
                <w:szCs w:val="28"/>
              </w:rPr>
              <w:t>药物进行管理，且该物质在体内为医疗器械提供辅助作用时，应将医疗器械和此物质作为一个整体，对其安全和性能进行验证，同时应当验证该物质的特征、安全、质量和有效性。</w:t>
            </w:r>
          </w:p>
        </w:tc>
        <w:tc>
          <w:tcPr>
            <w:tcW w:w="819" w:type="dxa"/>
          </w:tcPr>
          <w:p w14:paraId="51898761" w14:textId="77777777" w:rsidR="00F967A3" w:rsidRPr="008B6261" w:rsidRDefault="00FC415B" w:rsidP="00AB740F">
            <w:pPr>
              <w:spacing w:line="520" w:lineRule="exact"/>
              <w:jc w:val="center"/>
              <w:rPr>
                <w:rFonts w:ascii="Times New Roman" w:eastAsia="仿宋_GB2312" w:hAnsi="Times New Roman"/>
                <w:color w:val="000000"/>
                <w:kern w:val="0"/>
                <w:sz w:val="28"/>
                <w:szCs w:val="28"/>
              </w:rPr>
            </w:pPr>
            <w:r w:rsidRPr="008B6261">
              <w:rPr>
                <w:rFonts w:ascii="Times New Roman" w:eastAsia="仿宋_GB2312" w:hAnsi="Times New Roman" w:hint="eastAsia"/>
                <w:color w:val="000000"/>
                <w:kern w:val="0"/>
                <w:sz w:val="28"/>
                <w:szCs w:val="28"/>
              </w:rPr>
              <w:t>视情况而定</w:t>
            </w:r>
          </w:p>
        </w:tc>
      </w:tr>
    </w:tbl>
    <w:p w14:paraId="4A9A2F9A" w14:textId="77777777" w:rsidR="00F967A3" w:rsidRPr="008B6261" w:rsidRDefault="00F967A3" w:rsidP="00AB740F">
      <w:pPr>
        <w:spacing w:line="520" w:lineRule="exact"/>
        <w:rPr>
          <w:rFonts w:ascii="Times New Roman" w:hAnsi="Times New Roman"/>
        </w:rPr>
      </w:pPr>
    </w:p>
    <w:p w14:paraId="182107E8" w14:textId="39A5680B" w:rsidR="00A07758" w:rsidRPr="008B6261" w:rsidRDefault="00A07758">
      <w:pPr>
        <w:widowControl/>
        <w:jc w:val="left"/>
        <w:rPr>
          <w:rFonts w:ascii="Times New Roman" w:eastAsiaTheme="minorEastAsia" w:hAnsi="Times New Roman"/>
          <w:sz w:val="24"/>
          <w:szCs w:val="24"/>
        </w:rPr>
      </w:pPr>
      <w:r w:rsidRPr="008B6261">
        <w:rPr>
          <w:rFonts w:ascii="Times New Roman" w:eastAsiaTheme="minorEastAsia" w:hAnsi="Times New Roman"/>
          <w:sz w:val="24"/>
          <w:szCs w:val="24"/>
        </w:rPr>
        <w:br w:type="page"/>
      </w:r>
    </w:p>
    <w:p w14:paraId="38C9EE78" w14:textId="77777777" w:rsidR="00A07758" w:rsidRPr="008B6261" w:rsidRDefault="00A07758" w:rsidP="00A07758">
      <w:pPr>
        <w:spacing w:line="520" w:lineRule="exact"/>
        <w:jc w:val="left"/>
        <w:rPr>
          <w:rFonts w:ascii="Times New Roman" w:eastAsia="黑体" w:hAnsi="Times New Roman"/>
          <w:color w:val="000000"/>
          <w:sz w:val="32"/>
          <w:szCs w:val="32"/>
        </w:rPr>
      </w:pPr>
      <w:r w:rsidRPr="008B6261">
        <w:rPr>
          <w:rFonts w:ascii="Times New Roman" w:eastAsia="黑体" w:hAnsi="Times New Roman"/>
          <w:color w:val="000000"/>
          <w:sz w:val="32"/>
          <w:szCs w:val="32"/>
        </w:rPr>
        <w:lastRenderedPageBreak/>
        <w:t>附</w:t>
      </w:r>
      <w:r w:rsidRPr="008B6261">
        <w:rPr>
          <w:rFonts w:ascii="Times New Roman" w:eastAsia="黑体" w:hAnsi="Times New Roman" w:hint="eastAsia"/>
          <w:color w:val="000000"/>
          <w:sz w:val="32"/>
          <w:szCs w:val="32"/>
        </w:rPr>
        <w:t>件</w:t>
      </w:r>
      <w:r w:rsidRPr="008B6261">
        <w:rPr>
          <w:rFonts w:ascii="Times New Roman" w:eastAsia="黑体" w:hAnsi="Times New Roman" w:hint="eastAsia"/>
          <w:color w:val="000000"/>
          <w:sz w:val="32"/>
          <w:szCs w:val="32"/>
        </w:rPr>
        <w:t>2</w:t>
      </w:r>
      <w:r w:rsidRPr="008B6261">
        <w:rPr>
          <w:rFonts w:ascii="Times New Roman" w:eastAsia="黑体" w:hAnsi="Times New Roman"/>
          <w:color w:val="000000"/>
          <w:sz w:val="32"/>
          <w:szCs w:val="32"/>
        </w:rPr>
        <w:t xml:space="preserve"> </w:t>
      </w:r>
    </w:p>
    <w:p w14:paraId="35CE56AC" w14:textId="77777777" w:rsidR="00A07758" w:rsidRPr="008B6261" w:rsidRDefault="00A07758" w:rsidP="00A07758">
      <w:pPr>
        <w:spacing w:line="520" w:lineRule="exact"/>
        <w:jc w:val="left"/>
        <w:rPr>
          <w:rFonts w:ascii="Times New Roman" w:eastAsia="黑体" w:hAnsi="Times New Roman"/>
          <w:color w:val="000000"/>
          <w:sz w:val="32"/>
          <w:szCs w:val="32"/>
        </w:rPr>
      </w:pPr>
    </w:p>
    <w:p w14:paraId="47DFDF99" w14:textId="77777777" w:rsidR="00A07758" w:rsidRPr="008B6261" w:rsidRDefault="00A07758" w:rsidP="00A07758">
      <w:pPr>
        <w:spacing w:line="520" w:lineRule="exact"/>
        <w:jc w:val="center"/>
        <w:rPr>
          <w:rFonts w:ascii="Times New Roman" w:eastAsia="方正小标宋简体" w:hAnsi="Times New Roman"/>
          <w:color w:val="000000" w:themeColor="text1"/>
          <w:sz w:val="44"/>
          <w:szCs w:val="44"/>
        </w:rPr>
      </w:pPr>
      <w:r w:rsidRPr="008B6261">
        <w:rPr>
          <w:rFonts w:ascii="Times New Roman" w:eastAsia="方正小标宋简体" w:hAnsi="Times New Roman" w:hint="eastAsia"/>
          <w:color w:val="000000" w:themeColor="text1"/>
          <w:sz w:val="44"/>
          <w:szCs w:val="44"/>
        </w:rPr>
        <w:t>指导原则适用情况</w:t>
      </w:r>
    </w:p>
    <w:tbl>
      <w:tblPr>
        <w:tblStyle w:val="ab"/>
        <w:tblpPr w:leftFromText="180" w:rightFromText="180" w:vertAnchor="text" w:horzAnchor="margin" w:tblpY="388"/>
        <w:tblOverlap w:val="never"/>
        <w:tblW w:w="8330" w:type="dxa"/>
        <w:tblLook w:val="04A0" w:firstRow="1" w:lastRow="0" w:firstColumn="1" w:lastColumn="0" w:noHBand="0" w:noVBand="1"/>
      </w:tblPr>
      <w:tblGrid>
        <w:gridCol w:w="8330"/>
      </w:tblGrid>
      <w:tr w:rsidR="00A07758" w:rsidRPr="008B6261" w14:paraId="5D576B2E" w14:textId="77777777" w:rsidTr="0033387A">
        <w:tc>
          <w:tcPr>
            <w:tcW w:w="8330" w:type="dxa"/>
          </w:tcPr>
          <w:p w14:paraId="7291C59F" w14:textId="77777777" w:rsidR="00A07758" w:rsidRPr="008B6261" w:rsidRDefault="00A07758" w:rsidP="0033387A">
            <w:pPr>
              <w:spacing w:line="520" w:lineRule="exact"/>
              <w:jc w:val="center"/>
              <w:rPr>
                <w:rFonts w:ascii="Times New Roman" w:eastAsia="仿宋_GB2312" w:hAnsi="Times New Roman"/>
                <w:b/>
                <w:color w:val="000000" w:themeColor="text1"/>
                <w:sz w:val="28"/>
                <w:szCs w:val="28"/>
              </w:rPr>
            </w:pPr>
            <w:r w:rsidRPr="008B6261">
              <w:rPr>
                <w:rFonts w:ascii="Times New Roman" w:eastAsia="仿宋_GB2312" w:hAnsi="Times New Roman" w:hint="eastAsia"/>
                <w:b/>
                <w:color w:val="000000" w:themeColor="text1"/>
                <w:sz w:val="28"/>
                <w:szCs w:val="28"/>
              </w:rPr>
              <w:t>指导原则名称</w:t>
            </w:r>
          </w:p>
        </w:tc>
      </w:tr>
      <w:tr w:rsidR="00A07758" w:rsidRPr="008B6261" w14:paraId="0D20427A" w14:textId="77777777" w:rsidTr="0033387A">
        <w:tc>
          <w:tcPr>
            <w:tcW w:w="8330" w:type="dxa"/>
          </w:tcPr>
          <w:p w14:paraId="7DB7BED1" w14:textId="77777777" w:rsidR="00A07758" w:rsidRPr="008B6261" w:rsidRDefault="00A07758" w:rsidP="0033387A">
            <w:pPr>
              <w:spacing w:line="520" w:lineRule="exact"/>
              <w:jc w:val="left"/>
              <w:rPr>
                <w:rFonts w:ascii="Times New Roman" w:eastAsia="仿宋_GB2312" w:hAnsi="Times New Roman"/>
                <w:color w:val="000000" w:themeColor="text1"/>
                <w:sz w:val="28"/>
                <w:szCs w:val="28"/>
              </w:rPr>
            </w:pPr>
            <w:r w:rsidRPr="008B6261">
              <w:rPr>
                <w:rFonts w:ascii="Times New Roman" w:eastAsia="仿宋_GB2312" w:hAnsi="Times New Roman" w:hint="eastAsia"/>
                <w:color w:val="000000" w:themeColor="text1"/>
                <w:sz w:val="28"/>
                <w:szCs w:val="28"/>
              </w:rPr>
              <w:t>有源医疗器械使用期限注册技术审查指导原则</w:t>
            </w:r>
          </w:p>
        </w:tc>
      </w:tr>
      <w:tr w:rsidR="00A07758" w:rsidRPr="008B6261" w14:paraId="6D71511F" w14:textId="77777777" w:rsidTr="0033387A">
        <w:tc>
          <w:tcPr>
            <w:tcW w:w="8330" w:type="dxa"/>
          </w:tcPr>
          <w:p w14:paraId="29A30130" w14:textId="77777777" w:rsidR="00A07758" w:rsidRPr="008B6261" w:rsidRDefault="00A07758" w:rsidP="0033387A">
            <w:pPr>
              <w:spacing w:line="520" w:lineRule="exact"/>
              <w:jc w:val="left"/>
              <w:rPr>
                <w:rFonts w:ascii="Times New Roman" w:eastAsia="仿宋_GB2312" w:hAnsi="Times New Roman"/>
                <w:color w:val="000000" w:themeColor="text1"/>
                <w:sz w:val="28"/>
                <w:szCs w:val="28"/>
              </w:rPr>
            </w:pPr>
            <w:r w:rsidRPr="008B6261">
              <w:rPr>
                <w:rFonts w:ascii="Times New Roman" w:eastAsia="仿宋_GB2312" w:hAnsi="Times New Roman" w:hint="eastAsia"/>
                <w:color w:val="000000" w:themeColor="text1"/>
                <w:sz w:val="28"/>
                <w:szCs w:val="28"/>
              </w:rPr>
              <w:t>医疗器械产品技术要求编写指导原则</w:t>
            </w:r>
          </w:p>
        </w:tc>
      </w:tr>
    </w:tbl>
    <w:p w14:paraId="2F42056E" w14:textId="77777777" w:rsidR="00A07758" w:rsidRPr="008B6261" w:rsidRDefault="00A07758" w:rsidP="00A07758">
      <w:pPr>
        <w:widowControl/>
        <w:spacing w:line="520" w:lineRule="exact"/>
        <w:jc w:val="left"/>
        <w:rPr>
          <w:rFonts w:ascii="Times New Roman" w:eastAsia="黑体" w:hAnsi="Times New Roman"/>
          <w:color w:val="000000" w:themeColor="text1"/>
          <w:sz w:val="32"/>
          <w:szCs w:val="32"/>
        </w:rPr>
      </w:pPr>
    </w:p>
    <w:p w14:paraId="12D7077C" w14:textId="77777777" w:rsidR="00A07758" w:rsidRPr="008B6261" w:rsidRDefault="00A07758" w:rsidP="00A07758">
      <w:pPr>
        <w:widowControl/>
        <w:spacing w:line="520" w:lineRule="exact"/>
        <w:jc w:val="left"/>
        <w:rPr>
          <w:rFonts w:ascii="Times New Roman" w:eastAsia="黑体" w:hAnsi="Times New Roman"/>
          <w:color w:val="000000" w:themeColor="text1"/>
          <w:sz w:val="32"/>
          <w:szCs w:val="32"/>
        </w:rPr>
      </w:pPr>
      <w:r w:rsidRPr="008B6261">
        <w:rPr>
          <w:rFonts w:ascii="Times New Roman" w:eastAsia="黑体" w:hAnsi="Times New Roman"/>
          <w:color w:val="000000" w:themeColor="text1"/>
          <w:sz w:val="32"/>
          <w:szCs w:val="32"/>
        </w:rPr>
        <w:br w:type="page"/>
      </w:r>
    </w:p>
    <w:p w14:paraId="5E46CE34" w14:textId="77777777" w:rsidR="00A07758" w:rsidRPr="008B6261" w:rsidRDefault="00A07758" w:rsidP="00A07758">
      <w:pPr>
        <w:spacing w:line="520" w:lineRule="exact"/>
        <w:jc w:val="left"/>
        <w:outlineLvl w:val="0"/>
        <w:rPr>
          <w:rFonts w:ascii="Times New Roman" w:eastAsia="黑体" w:hAnsi="Times New Roman"/>
          <w:color w:val="000000" w:themeColor="text1"/>
          <w:sz w:val="32"/>
          <w:szCs w:val="32"/>
        </w:rPr>
      </w:pPr>
      <w:r w:rsidRPr="008B6261">
        <w:rPr>
          <w:rFonts w:ascii="Times New Roman" w:eastAsia="黑体" w:hAnsi="Times New Roman"/>
          <w:color w:val="000000" w:themeColor="text1"/>
          <w:sz w:val="32"/>
          <w:szCs w:val="32"/>
        </w:rPr>
        <w:lastRenderedPageBreak/>
        <w:t>附</w:t>
      </w:r>
      <w:r w:rsidRPr="008B6261">
        <w:rPr>
          <w:rFonts w:ascii="Times New Roman" w:eastAsia="黑体" w:hAnsi="Times New Roman" w:hint="eastAsia"/>
          <w:color w:val="000000" w:themeColor="text1"/>
          <w:sz w:val="32"/>
          <w:szCs w:val="32"/>
        </w:rPr>
        <w:t>件</w:t>
      </w:r>
      <w:r w:rsidRPr="008B6261">
        <w:rPr>
          <w:rFonts w:ascii="Times New Roman" w:eastAsia="黑体" w:hAnsi="Times New Roman" w:hint="eastAsia"/>
          <w:color w:val="000000" w:themeColor="text1"/>
          <w:sz w:val="32"/>
          <w:szCs w:val="32"/>
        </w:rPr>
        <w:t>3</w:t>
      </w:r>
      <w:r w:rsidRPr="008B6261">
        <w:rPr>
          <w:rFonts w:ascii="Times New Roman" w:eastAsia="黑体" w:hAnsi="Times New Roman"/>
          <w:color w:val="000000" w:themeColor="text1"/>
          <w:sz w:val="32"/>
          <w:szCs w:val="32"/>
        </w:rPr>
        <w:t xml:space="preserve"> </w:t>
      </w:r>
    </w:p>
    <w:p w14:paraId="5D617688" w14:textId="77777777" w:rsidR="00A07758" w:rsidRPr="008B6261" w:rsidRDefault="00A07758" w:rsidP="00A07758">
      <w:pPr>
        <w:spacing w:line="520" w:lineRule="exact"/>
        <w:jc w:val="center"/>
        <w:rPr>
          <w:rFonts w:ascii="Times New Roman" w:eastAsia="黑体" w:hAnsi="Times New Roman"/>
          <w:color w:val="000000" w:themeColor="text1"/>
          <w:sz w:val="28"/>
          <w:szCs w:val="28"/>
        </w:rPr>
      </w:pPr>
    </w:p>
    <w:p w14:paraId="7F0D30D8" w14:textId="77777777" w:rsidR="00A07758" w:rsidRPr="008B6261" w:rsidRDefault="00A07758" w:rsidP="00A07758">
      <w:pPr>
        <w:spacing w:line="520" w:lineRule="exact"/>
        <w:jc w:val="center"/>
        <w:rPr>
          <w:rFonts w:ascii="Times New Roman" w:eastAsia="方正小标宋简体" w:hAnsi="Times New Roman"/>
          <w:color w:val="000000" w:themeColor="text1"/>
          <w:sz w:val="44"/>
          <w:szCs w:val="44"/>
        </w:rPr>
      </w:pPr>
      <w:r w:rsidRPr="008B6261">
        <w:rPr>
          <w:rFonts w:ascii="Times New Roman" w:eastAsia="方正小标宋简体" w:hAnsi="Times New Roman" w:hint="eastAsia"/>
          <w:color w:val="000000" w:themeColor="text1"/>
          <w:sz w:val="44"/>
          <w:szCs w:val="44"/>
        </w:rPr>
        <w:t>标准适用情况</w:t>
      </w:r>
    </w:p>
    <w:p w14:paraId="3817CED2" w14:textId="77777777" w:rsidR="00A07758" w:rsidRPr="008B6261" w:rsidRDefault="00A07758" w:rsidP="00A07758">
      <w:pPr>
        <w:spacing w:line="520" w:lineRule="exact"/>
        <w:jc w:val="center"/>
        <w:outlineLvl w:val="0"/>
        <w:rPr>
          <w:rFonts w:ascii="Times New Roman" w:eastAsia="方正小标宋简体" w:hAnsi="Times New Roman"/>
          <w:color w:val="000000" w:themeColor="text1"/>
          <w:sz w:val="44"/>
          <w:szCs w:val="44"/>
        </w:rPr>
      </w:pPr>
    </w:p>
    <w:tbl>
      <w:tblPr>
        <w:tblStyle w:val="ab"/>
        <w:tblW w:w="0" w:type="auto"/>
        <w:tblInd w:w="108" w:type="dxa"/>
        <w:tblLook w:val="04A0" w:firstRow="1" w:lastRow="0" w:firstColumn="1" w:lastColumn="0" w:noHBand="0" w:noVBand="1"/>
      </w:tblPr>
      <w:tblGrid>
        <w:gridCol w:w="8222"/>
      </w:tblGrid>
      <w:tr w:rsidR="00A07758" w:rsidRPr="008B6261" w14:paraId="5EFE8192" w14:textId="77777777" w:rsidTr="0033387A">
        <w:tc>
          <w:tcPr>
            <w:tcW w:w="8222" w:type="dxa"/>
          </w:tcPr>
          <w:p w14:paraId="04662DFA" w14:textId="77777777" w:rsidR="00A07758" w:rsidRPr="008B6261" w:rsidRDefault="00A07758" w:rsidP="0033387A">
            <w:pPr>
              <w:spacing w:line="520" w:lineRule="exact"/>
              <w:jc w:val="center"/>
              <w:rPr>
                <w:rFonts w:ascii="Times New Roman" w:eastAsia="仿宋_GB2312" w:hAnsi="Times New Roman"/>
                <w:b/>
                <w:color w:val="000000" w:themeColor="text1"/>
                <w:sz w:val="28"/>
                <w:szCs w:val="28"/>
              </w:rPr>
            </w:pPr>
            <w:r w:rsidRPr="008B6261">
              <w:rPr>
                <w:rFonts w:ascii="Times New Roman" w:eastAsia="仿宋_GB2312" w:hAnsi="Times New Roman" w:hint="eastAsia"/>
                <w:b/>
                <w:color w:val="000000" w:themeColor="text1"/>
                <w:sz w:val="28"/>
                <w:szCs w:val="28"/>
              </w:rPr>
              <w:t>适用标准</w:t>
            </w:r>
          </w:p>
        </w:tc>
      </w:tr>
      <w:tr w:rsidR="00A07758" w:rsidRPr="008B6261" w14:paraId="5BF93C0F" w14:textId="77777777" w:rsidTr="0033387A">
        <w:tc>
          <w:tcPr>
            <w:tcW w:w="8222" w:type="dxa"/>
          </w:tcPr>
          <w:p w14:paraId="64BDAF41" w14:textId="77777777" w:rsidR="00A07758" w:rsidRPr="008B6261" w:rsidRDefault="00A07758" w:rsidP="0033387A">
            <w:pPr>
              <w:spacing w:line="520" w:lineRule="exact"/>
              <w:jc w:val="left"/>
              <w:rPr>
                <w:rFonts w:ascii="Times New Roman" w:eastAsia="仿宋_GB2312" w:hAnsi="Times New Roman"/>
                <w:color w:val="000000" w:themeColor="text1"/>
                <w:sz w:val="28"/>
                <w:szCs w:val="28"/>
              </w:rPr>
            </w:pPr>
            <w:r w:rsidRPr="008B6261">
              <w:rPr>
                <w:rFonts w:ascii="Times New Roman" w:eastAsia="仿宋_GB2312" w:hAnsi="Times New Roman" w:hint="eastAsia"/>
                <w:color w:val="000000" w:themeColor="text1"/>
                <w:sz w:val="28"/>
                <w:szCs w:val="28"/>
              </w:rPr>
              <w:t xml:space="preserve">GB9706.1-2020 </w:t>
            </w:r>
            <w:r w:rsidRPr="008B6261">
              <w:rPr>
                <w:rFonts w:ascii="Times New Roman" w:eastAsia="仿宋_GB2312" w:hAnsi="Times New Roman" w:hint="eastAsia"/>
                <w:color w:val="000000" w:themeColor="text1"/>
                <w:sz w:val="28"/>
                <w:szCs w:val="28"/>
              </w:rPr>
              <w:t>医用电气设备</w:t>
            </w:r>
            <w:r w:rsidRPr="008B6261">
              <w:rPr>
                <w:rFonts w:ascii="Times New Roman" w:eastAsia="仿宋_GB2312" w:hAnsi="Times New Roman" w:hint="eastAsia"/>
                <w:color w:val="000000" w:themeColor="text1"/>
                <w:sz w:val="28"/>
                <w:szCs w:val="28"/>
              </w:rPr>
              <w:t xml:space="preserve"> </w:t>
            </w:r>
            <w:r w:rsidRPr="008B6261">
              <w:rPr>
                <w:rFonts w:ascii="Times New Roman" w:eastAsia="仿宋_GB2312" w:hAnsi="Times New Roman" w:hint="eastAsia"/>
                <w:color w:val="000000" w:themeColor="text1"/>
                <w:sz w:val="28"/>
                <w:szCs w:val="28"/>
              </w:rPr>
              <w:t>第</w:t>
            </w:r>
            <w:r w:rsidRPr="008B6261">
              <w:rPr>
                <w:rFonts w:ascii="Times New Roman" w:eastAsia="仿宋_GB2312" w:hAnsi="Times New Roman" w:hint="eastAsia"/>
                <w:color w:val="000000" w:themeColor="text1"/>
                <w:sz w:val="28"/>
                <w:szCs w:val="28"/>
              </w:rPr>
              <w:t>1</w:t>
            </w:r>
            <w:r w:rsidRPr="008B6261">
              <w:rPr>
                <w:rFonts w:ascii="Times New Roman" w:eastAsia="仿宋_GB2312" w:hAnsi="Times New Roman" w:hint="eastAsia"/>
                <w:color w:val="000000" w:themeColor="text1"/>
                <w:sz w:val="28"/>
                <w:szCs w:val="28"/>
              </w:rPr>
              <w:t>部分：基本安全和基本性能的通用要求</w:t>
            </w:r>
          </w:p>
        </w:tc>
      </w:tr>
      <w:tr w:rsidR="00A07758" w:rsidRPr="008B6261" w14:paraId="2BFDBA42" w14:textId="77777777" w:rsidTr="0033387A">
        <w:tc>
          <w:tcPr>
            <w:tcW w:w="8222" w:type="dxa"/>
          </w:tcPr>
          <w:p w14:paraId="0381F76D" w14:textId="77777777" w:rsidR="00A07758" w:rsidRPr="008B6261" w:rsidRDefault="00A07758" w:rsidP="0033387A">
            <w:pPr>
              <w:spacing w:line="520" w:lineRule="exact"/>
              <w:jc w:val="left"/>
              <w:rPr>
                <w:rFonts w:ascii="Times New Roman" w:eastAsia="仿宋_GB2312" w:hAnsi="Times New Roman"/>
                <w:color w:val="000000" w:themeColor="text1"/>
                <w:sz w:val="28"/>
                <w:szCs w:val="28"/>
              </w:rPr>
            </w:pPr>
            <w:r w:rsidRPr="008B6261">
              <w:rPr>
                <w:rFonts w:ascii="Times New Roman" w:eastAsia="仿宋_GB2312" w:hAnsi="Times New Roman" w:hint="eastAsia"/>
                <w:color w:val="000000" w:themeColor="text1"/>
                <w:sz w:val="28"/>
                <w:szCs w:val="28"/>
              </w:rPr>
              <w:t>YY 9706.102-2021</w:t>
            </w:r>
            <w:r w:rsidRPr="008B6261">
              <w:rPr>
                <w:rFonts w:ascii="Times New Roman" w:eastAsia="仿宋_GB2312" w:hAnsi="Times New Roman" w:hint="eastAsia"/>
                <w:color w:val="000000" w:themeColor="text1"/>
                <w:sz w:val="28"/>
                <w:szCs w:val="28"/>
              </w:rPr>
              <w:t>医用电气设备</w:t>
            </w:r>
            <w:r w:rsidRPr="008B6261">
              <w:rPr>
                <w:rFonts w:ascii="Times New Roman" w:eastAsia="仿宋_GB2312" w:hAnsi="Times New Roman" w:hint="eastAsia"/>
                <w:color w:val="000000" w:themeColor="text1"/>
                <w:sz w:val="28"/>
                <w:szCs w:val="28"/>
              </w:rPr>
              <w:t xml:space="preserve"> </w:t>
            </w:r>
            <w:r w:rsidRPr="008B6261">
              <w:rPr>
                <w:rFonts w:ascii="Times New Roman" w:eastAsia="仿宋_GB2312" w:hAnsi="Times New Roman" w:hint="eastAsia"/>
                <w:color w:val="000000" w:themeColor="text1"/>
                <w:sz w:val="28"/>
                <w:szCs w:val="28"/>
              </w:rPr>
              <w:t>第</w:t>
            </w:r>
            <w:r w:rsidRPr="008B6261">
              <w:rPr>
                <w:rFonts w:ascii="Times New Roman" w:eastAsia="仿宋_GB2312" w:hAnsi="Times New Roman" w:hint="eastAsia"/>
                <w:color w:val="000000" w:themeColor="text1"/>
                <w:sz w:val="28"/>
                <w:szCs w:val="28"/>
              </w:rPr>
              <w:t>1-2</w:t>
            </w:r>
            <w:r w:rsidRPr="008B6261">
              <w:rPr>
                <w:rFonts w:ascii="Times New Roman" w:eastAsia="仿宋_GB2312" w:hAnsi="Times New Roman" w:hint="eastAsia"/>
                <w:color w:val="000000" w:themeColor="text1"/>
                <w:sz w:val="28"/>
                <w:szCs w:val="28"/>
              </w:rPr>
              <w:t>部分：基本安全和基本性能的通用要求</w:t>
            </w:r>
            <w:r w:rsidRPr="008B6261">
              <w:rPr>
                <w:rFonts w:ascii="Times New Roman" w:eastAsia="仿宋_GB2312" w:hAnsi="Times New Roman" w:hint="eastAsia"/>
                <w:color w:val="000000" w:themeColor="text1"/>
                <w:sz w:val="28"/>
                <w:szCs w:val="28"/>
              </w:rPr>
              <w:t xml:space="preserve"> </w:t>
            </w:r>
            <w:r w:rsidRPr="008B6261">
              <w:rPr>
                <w:rFonts w:ascii="Times New Roman" w:eastAsia="仿宋_GB2312" w:hAnsi="Times New Roman" w:hint="eastAsia"/>
                <w:color w:val="000000" w:themeColor="text1"/>
                <w:sz w:val="28"/>
                <w:szCs w:val="28"/>
              </w:rPr>
              <w:t>并列标准：电磁兼容</w:t>
            </w:r>
            <w:r w:rsidRPr="008B6261">
              <w:rPr>
                <w:rFonts w:ascii="Times New Roman" w:eastAsia="仿宋_GB2312" w:hAnsi="Times New Roman" w:hint="eastAsia"/>
                <w:color w:val="000000" w:themeColor="text1"/>
                <w:sz w:val="28"/>
                <w:szCs w:val="28"/>
              </w:rPr>
              <w:t xml:space="preserve"> </w:t>
            </w:r>
            <w:r w:rsidRPr="008B6261">
              <w:rPr>
                <w:rFonts w:ascii="Times New Roman" w:eastAsia="仿宋_GB2312" w:hAnsi="Times New Roman" w:hint="eastAsia"/>
                <w:color w:val="000000" w:themeColor="text1"/>
                <w:sz w:val="28"/>
                <w:szCs w:val="28"/>
              </w:rPr>
              <w:t>要求和试验</w:t>
            </w:r>
          </w:p>
        </w:tc>
      </w:tr>
    </w:tbl>
    <w:p w14:paraId="3FDF4F84" w14:textId="77777777" w:rsidR="00A07758" w:rsidRPr="008B6261" w:rsidRDefault="00A07758" w:rsidP="00A07758">
      <w:pPr>
        <w:snapToGrid w:val="0"/>
        <w:spacing w:line="520" w:lineRule="exact"/>
        <w:ind w:firstLineChars="200" w:firstLine="640"/>
        <w:rPr>
          <w:rFonts w:ascii="Times New Roman" w:eastAsia="仿宋_GB2312" w:hAnsi="Times New Roman"/>
          <w:color w:val="000000"/>
          <w:sz w:val="32"/>
          <w:szCs w:val="32"/>
        </w:rPr>
      </w:pPr>
    </w:p>
    <w:p w14:paraId="74FA571D" w14:textId="77777777" w:rsidR="00A07758" w:rsidRPr="008B6261" w:rsidRDefault="00A07758" w:rsidP="00A07758">
      <w:pPr>
        <w:spacing w:line="520" w:lineRule="exact"/>
        <w:jc w:val="left"/>
        <w:rPr>
          <w:rFonts w:ascii="Times New Roman" w:eastAsia="仿宋_GB2312" w:hAnsi="Times New Roman"/>
          <w:color w:val="000000"/>
          <w:sz w:val="30"/>
          <w:szCs w:val="30"/>
        </w:rPr>
      </w:pPr>
    </w:p>
    <w:p w14:paraId="19955267" w14:textId="0A017C78" w:rsidR="00292903" w:rsidRPr="008B6261" w:rsidRDefault="00292903" w:rsidP="00A07758">
      <w:pPr>
        <w:widowControl/>
        <w:spacing w:line="520" w:lineRule="exact"/>
        <w:jc w:val="left"/>
        <w:rPr>
          <w:rFonts w:ascii="Times New Roman" w:eastAsia="方正小标宋_GBK" w:hAnsi="Times New Roman"/>
          <w:color w:val="000000"/>
          <w:sz w:val="36"/>
          <w:szCs w:val="36"/>
        </w:rPr>
      </w:pPr>
    </w:p>
    <w:sectPr w:rsidR="00292903" w:rsidRPr="008B6261" w:rsidSect="009F75A9">
      <w:footerReference w:type="default" r:id="rId7"/>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2E10B" w14:textId="77777777" w:rsidR="00E3669D" w:rsidRDefault="00E3669D" w:rsidP="000968B5">
      <w:r>
        <w:separator/>
      </w:r>
    </w:p>
  </w:endnote>
  <w:endnote w:type="continuationSeparator" w:id="0">
    <w:p w14:paraId="76E65441" w14:textId="77777777" w:rsidR="00E3669D" w:rsidRDefault="00E3669D" w:rsidP="0009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方正小标宋_GBK">
    <w:altName w:val="Microsoft YaHei UI"/>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00090"/>
      <w:docPartObj>
        <w:docPartGallery w:val="Page Numbers (Bottom of Page)"/>
        <w:docPartUnique/>
      </w:docPartObj>
    </w:sdtPr>
    <w:sdtEndPr/>
    <w:sdtContent>
      <w:sdt>
        <w:sdtPr>
          <w:id w:val="1728636285"/>
          <w:docPartObj>
            <w:docPartGallery w:val="Page Numbers (Top of Page)"/>
            <w:docPartUnique/>
          </w:docPartObj>
        </w:sdtPr>
        <w:sdtEndPr/>
        <w:sdtContent>
          <w:p w14:paraId="67148AAD" w14:textId="003024CB" w:rsidR="006E09CC" w:rsidRDefault="006E09CC">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8B6261">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B6261">
              <w:rPr>
                <w:b/>
                <w:bCs/>
                <w:noProof/>
              </w:rPr>
              <w:t>23</w:t>
            </w:r>
            <w:r>
              <w:rPr>
                <w:b/>
                <w:bCs/>
                <w:sz w:val="24"/>
                <w:szCs w:val="24"/>
              </w:rPr>
              <w:fldChar w:fldCharType="end"/>
            </w:r>
          </w:p>
        </w:sdtContent>
      </w:sdt>
    </w:sdtContent>
  </w:sdt>
  <w:p w14:paraId="1A1903AA" w14:textId="77777777" w:rsidR="006E09CC" w:rsidRDefault="006E09C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7E9FB" w14:textId="77777777" w:rsidR="00E3669D" w:rsidRDefault="00E3669D" w:rsidP="000968B5">
      <w:r>
        <w:separator/>
      </w:r>
    </w:p>
  </w:footnote>
  <w:footnote w:type="continuationSeparator" w:id="0">
    <w:p w14:paraId="0BAC1DE8" w14:textId="77777777" w:rsidR="00E3669D" w:rsidRDefault="00E3669D" w:rsidP="000968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9C7EFF"/>
    <w:multiLevelType w:val="hybridMultilevel"/>
    <w:tmpl w:val="EC3C702A"/>
    <w:lvl w:ilvl="0" w:tplc="E264B5B2">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7FCA37B6"/>
    <w:multiLevelType w:val="multilevel"/>
    <w:tmpl w:val="C730096E"/>
    <w:lvl w:ilvl="0">
      <w:start w:val="1"/>
      <w:numFmt w:val="decimal"/>
      <w:pStyle w:val="a"/>
      <w:lvlText w:val="%1"/>
      <w:lvlJc w:val="left"/>
      <w:pPr>
        <w:ind w:left="425" w:hanging="425"/>
      </w:pPr>
      <w:rPr>
        <w:rFonts w:hint="eastAsia"/>
      </w:rPr>
    </w:lvl>
    <w:lvl w:ilvl="1">
      <w:start w:val="1"/>
      <w:numFmt w:val="decimal"/>
      <w:pStyle w:val="a0"/>
      <w:lvlText w:val="%1.%2"/>
      <w:lvlJc w:val="left"/>
      <w:pPr>
        <w:ind w:left="992" w:hanging="567"/>
      </w:pPr>
      <w:rPr>
        <w:rFonts w:hint="eastAsia"/>
        <w:color w:val="auto"/>
      </w:rPr>
    </w:lvl>
    <w:lvl w:ilvl="2">
      <w:start w:val="1"/>
      <w:numFmt w:val="decimal"/>
      <w:pStyle w:val="a1"/>
      <w:lvlText w:val="%1.%2.%3"/>
      <w:lvlJc w:val="left"/>
      <w:pPr>
        <w:ind w:left="1418" w:hanging="567"/>
      </w:pPr>
      <w:rPr>
        <w:rFonts w:hint="eastAsia"/>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48E"/>
    <w:rsid w:val="0000234E"/>
    <w:rsid w:val="00011199"/>
    <w:rsid w:val="00014A65"/>
    <w:rsid w:val="0002027E"/>
    <w:rsid w:val="00024827"/>
    <w:rsid w:val="00030529"/>
    <w:rsid w:val="00052AC7"/>
    <w:rsid w:val="00072537"/>
    <w:rsid w:val="0008115F"/>
    <w:rsid w:val="000879FB"/>
    <w:rsid w:val="00087D57"/>
    <w:rsid w:val="000968B5"/>
    <w:rsid w:val="00096A60"/>
    <w:rsid w:val="000A3E2C"/>
    <w:rsid w:val="000C6DBE"/>
    <w:rsid w:val="001162F9"/>
    <w:rsid w:val="001352B2"/>
    <w:rsid w:val="0015238F"/>
    <w:rsid w:val="001669BB"/>
    <w:rsid w:val="0019788D"/>
    <w:rsid w:val="001B5367"/>
    <w:rsid w:val="001B6F02"/>
    <w:rsid w:val="001D6E94"/>
    <w:rsid w:val="001F74CE"/>
    <w:rsid w:val="0026120F"/>
    <w:rsid w:val="00263706"/>
    <w:rsid w:val="00265D09"/>
    <w:rsid w:val="0027148E"/>
    <w:rsid w:val="002715D0"/>
    <w:rsid w:val="00272771"/>
    <w:rsid w:val="002832B9"/>
    <w:rsid w:val="00292903"/>
    <w:rsid w:val="002A02E0"/>
    <w:rsid w:val="002A1A39"/>
    <w:rsid w:val="002B6BFF"/>
    <w:rsid w:val="002C0AAB"/>
    <w:rsid w:val="002C63AB"/>
    <w:rsid w:val="002D054E"/>
    <w:rsid w:val="0034409F"/>
    <w:rsid w:val="00353AC8"/>
    <w:rsid w:val="00356D96"/>
    <w:rsid w:val="00357D5B"/>
    <w:rsid w:val="00361F92"/>
    <w:rsid w:val="00363C54"/>
    <w:rsid w:val="00371158"/>
    <w:rsid w:val="00372D88"/>
    <w:rsid w:val="00390CB7"/>
    <w:rsid w:val="00392F37"/>
    <w:rsid w:val="003A7DDE"/>
    <w:rsid w:val="003B1C24"/>
    <w:rsid w:val="003B3D6D"/>
    <w:rsid w:val="003D3D95"/>
    <w:rsid w:val="003F32F5"/>
    <w:rsid w:val="00414010"/>
    <w:rsid w:val="00422A79"/>
    <w:rsid w:val="00423992"/>
    <w:rsid w:val="00453287"/>
    <w:rsid w:val="00454F34"/>
    <w:rsid w:val="0046734A"/>
    <w:rsid w:val="00470271"/>
    <w:rsid w:val="00482E81"/>
    <w:rsid w:val="00494EA2"/>
    <w:rsid w:val="00496755"/>
    <w:rsid w:val="004A0E60"/>
    <w:rsid w:val="004A174D"/>
    <w:rsid w:val="004A345F"/>
    <w:rsid w:val="004E05A6"/>
    <w:rsid w:val="004F04A1"/>
    <w:rsid w:val="004F1AF3"/>
    <w:rsid w:val="004F4A05"/>
    <w:rsid w:val="004F566A"/>
    <w:rsid w:val="00506ACA"/>
    <w:rsid w:val="005172B8"/>
    <w:rsid w:val="0053091F"/>
    <w:rsid w:val="00530F79"/>
    <w:rsid w:val="00533528"/>
    <w:rsid w:val="0054434B"/>
    <w:rsid w:val="005619DE"/>
    <w:rsid w:val="00583080"/>
    <w:rsid w:val="00593329"/>
    <w:rsid w:val="005A2C82"/>
    <w:rsid w:val="005B00DC"/>
    <w:rsid w:val="005B0764"/>
    <w:rsid w:val="005B4CB4"/>
    <w:rsid w:val="005C4B92"/>
    <w:rsid w:val="005E1C09"/>
    <w:rsid w:val="005E2339"/>
    <w:rsid w:val="005E6D1F"/>
    <w:rsid w:val="00611BFD"/>
    <w:rsid w:val="006134CE"/>
    <w:rsid w:val="006267AD"/>
    <w:rsid w:val="0063325C"/>
    <w:rsid w:val="00640A7D"/>
    <w:rsid w:val="00643B35"/>
    <w:rsid w:val="00682AF1"/>
    <w:rsid w:val="006B469B"/>
    <w:rsid w:val="006C1905"/>
    <w:rsid w:val="006E09CC"/>
    <w:rsid w:val="006E4137"/>
    <w:rsid w:val="006E7EAB"/>
    <w:rsid w:val="006F6FBA"/>
    <w:rsid w:val="007136A7"/>
    <w:rsid w:val="00713827"/>
    <w:rsid w:val="00714810"/>
    <w:rsid w:val="00737F99"/>
    <w:rsid w:val="00743867"/>
    <w:rsid w:val="00746F65"/>
    <w:rsid w:val="00764E51"/>
    <w:rsid w:val="00765801"/>
    <w:rsid w:val="0077438E"/>
    <w:rsid w:val="00784620"/>
    <w:rsid w:val="007A3EDC"/>
    <w:rsid w:val="007B18BB"/>
    <w:rsid w:val="007B72E8"/>
    <w:rsid w:val="007C185C"/>
    <w:rsid w:val="007C32A3"/>
    <w:rsid w:val="007D48DB"/>
    <w:rsid w:val="00811F66"/>
    <w:rsid w:val="008126D0"/>
    <w:rsid w:val="00812E12"/>
    <w:rsid w:val="00822B2F"/>
    <w:rsid w:val="008274DA"/>
    <w:rsid w:val="0083131E"/>
    <w:rsid w:val="00837A20"/>
    <w:rsid w:val="008461FB"/>
    <w:rsid w:val="00874E11"/>
    <w:rsid w:val="00881040"/>
    <w:rsid w:val="00892DC8"/>
    <w:rsid w:val="00896959"/>
    <w:rsid w:val="008A11F3"/>
    <w:rsid w:val="008A551F"/>
    <w:rsid w:val="008B6261"/>
    <w:rsid w:val="008F0FB9"/>
    <w:rsid w:val="008F55EA"/>
    <w:rsid w:val="009338BD"/>
    <w:rsid w:val="00937FE4"/>
    <w:rsid w:val="00950F22"/>
    <w:rsid w:val="0095168E"/>
    <w:rsid w:val="00956F8E"/>
    <w:rsid w:val="009635DA"/>
    <w:rsid w:val="00981B90"/>
    <w:rsid w:val="009945B4"/>
    <w:rsid w:val="009A2617"/>
    <w:rsid w:val="009B1486"/>
    <w:rsid w:val="009B4049"/>
    <w:rsid w:val="009E4159"/>
    <w:rsid w:val="009E4C0D"/>
    <w:rsid w:val="009F75A9"/>
    <w:rsid w:val="00A07758"/>
    <w:rsid w:val="00A32413"/>
    <w:rsid w:val="00A43EE1"/>
    <w:rsid w:val="00A50D9E"/>
    <w:rsid w:val="00A72233"/>
    <w:rsid w:val="00A76327"/>
    <w:rsid w:val="00A76E22"/>
    <w:rsid w:val="00A8109B"/>
    <w:rsid w:val="00A9088D"/>
    <w:rsid w:val="00AB2B42"/>
    <w:rsid w:val="00AB740F"/>
    <w:rsid w:val="00AD7206"/>
    <w:rsid w:val="00AE4E0B"/>
    <w:rsid w:val="00AF272C"/>
    <w:rsid w:val="00AF7A06"/>
    <w:rsid w:val="00B01752"/>
    <w:rsid w:val="00B02C25"/>
    <w:rsid w:val="00B92EC2"/>
    <w:rsid w:val="00BA4274"/>
    <w:rsid w:val="00BC3AC0"/>
    <w:rsid w:val="00BD7FB4"/>
    <w:rsid w:val="00BE3EE7"/>
    <w:rsid w:val="00C15605"/>
    <w:rsid w:val="00C351A9"/>
    <w:rsid w:val="00C46EAF"/>
    <w:rsid w:val="00C5356A"/>
    <w:rsid w:val="00C71793"/>
    <w:rsid w:val="00C8072D"/>
    <w:rsid w:val="00C83C10"/>
    <w:rsid w:val="00C93045"/>
    <w:rsid w:val="00C939C3"/>
    <w:rsid w:val="00CB6FE1"/>
    <w:rsid w:val="00CE3764"/>
    <w:rsid w:val="00CE45AF"/>
    <w:rsid w:val="00CE626B"/>
    <w:rsid w:val="00CF67CF"/>
    <w:rsid w:val="00D035B6"/>
    <w:rsid w:val="00D10474"/>
    <w:rsid w:val="00D405D7"/>
    <w:rsid w:val="00D44EF0"/>
    <w:rsid w:val="00D471D3"/>
    <w:rsid w:val="00D57515"/>
    <w:rsid w:val="00D61529"/>
    <w:rsid w:val="00D74603"/>
    <w:rsid w:val="00D77373"/>
    <w:rsid w:val="00DB3BC0"/>
    <w:rsid w:val="00DB51A1"/>
    <w:rsid w:val="00DD0768"/>
    <w:rsid w:val="00DF14FB"/>
    <w:rsid w:val="00E02780"/>
    <w:rsid w:val="00E10892"/>
    <w:rsid w:val="00E13CD9"/>
    <w:rsid w:val="00E15391"/>
    <w:rsid w:val="00E163A4"/>
    <w:rsid w:val="00E167EB"/>
    <w:rsid w:val="00E265F6"/>
    <w:rsid w:val="00E3669D"/>
    <w:rsid w:val="00E42202"/>
    <w:rsid w:val="00E437CC"/>
    <w:rsid w:val="00E67182"/>
    <w:rsid w:val="00E81C75"/>
    <w:rsid w:val="00E85915"/>
    <w:rsid w:val="00E93BAC"/>
    <w:rsid w:val="00EC00B9"/>
    <w:rsid w:val="00EC1EB7"/>
    <w:rsid w:val="00ED31DF"/>
    <w:rsid w:val="00ED7BD2"/>
    <w:rsid w:val="00EE03F4"/>
    <w:rsid w:val="00EE3DEE"/>
    <w:rsid w:val="00EF7E9A"/>
    <w:rsid w:val="00F27936"/>
    <w:rsid w:val="00F41B62"/>
    <w:rsid w:val="00F41D75"/>
    <w:rsid w:val="00F60BCB"/>
    <w:rsid w:val="00F70A56"/>
    <w:rsid w:val="00F87B51"/>
    <w:rsid w:val="00F967A3"/>
    <w:rsid w:val="00FA08A9"/>
    <w:rsid w:val="00FC415B"/>
    <w:rsid w:val="00FC527F"/>
    <w:rsid w:val="00FD7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7F33A"/>
  <w15:docId w15:val="{858A4901-A480-45CE-B78B-64919193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968B5"/>
    <w:pPr>
      <w:widowControl w:val="0"/>
      <w:jc w:val="both"/>
    </w:pPr>
    <w:rPr>
      <w:rFonts w:ascii="等线" w:eastAsia="等线" w:hAnsi="等线" w:cs="Times New Roman"/>
    </w:rPr>
  </w:style>
  <w:style w:type="paragraph" w:styleId="1">
    <w:name w:val="heading 1"/>
    <w:basedOn w:val="a2"/>
    <w:next w:val="a2"/>
    <w:link w:val="10"/>
    <w:uiPriority w:val="1"/>
    <w:qFormat/>
    <w:rsid w:val="00353AC8"/>
    <w:pPr>
      <w:ind w:left="159"/>
      <w:outlineLvl w:val="0"/>
    </w:pPr>
    <w:rPr>
      <w:rFonts w:ascii="宋体" w:eastAsia="宋体" w:hAnsi="宋体" w:cstheme="minorBidi"/>
      <w:b/>
      <w:bCs/>
      <w:sz w:val="32"/>
      <w:szCs w:val="32"/>
    </w:rPr>
  </w:style>
  <w:style w:type="paragraph" w:styleId="2">
    <w:name w:val="heading 2"/>
    <w:basedOn w:val="a2"/>
    <w:next w:val="a2"/>
    <w:link w:val="20"/>
    <w:uiPriority w:val="9"/>
    <w:semiHidden/>
    <w:unhideWhenUsed/>
    <w:qFormat/>
    <w:rsid w:val="00F967A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2"/>
    <w:next w:val="a2"/>
    <w:link w:val="30"/>
    <w:semiHidden/>
    <w:unhideWhenUsed/>
    <w:qFormat/>
    <w:rsid w:val="00353AC8"/>
    <w:pPr>
      <w:spacing w:beforeAutospacing="1" w:afterAutospacing="1"/>
      <w:jc w:val="left"/>
      <w:outlineLvl w:val="2"/>
    </w:pPr>
    <w:rPr>
      <w:rFonts w:ascii="宋体" w:eastAsia="宋体" w:hAnsi="宋体" w:hint="eastAsia"/>
      <w:b/>
      <w:kern w:val="0"/>
      <w:sz w:val="27"/>
      <w:szCs w:val="27"/>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iPriority w:val="99"/>
    <w:unhideWhenUsed/>
    <w:rsid w:val="000968B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3"/>
    <w:link w:val="a6"/>
    <w:uiPriority w:val="99"/>
    <w:rsid w:val="000968B5"/>
    <w:rPr>
      <w:sz w:val="18"/>
      <w:szCs w:val="18"/>
    </w:rPr>
  </w:style>
  <w:style w:type="paragraph" w:styleId="a8">
    <w:name w:val="footer"/>
    <w:basedOn w:val="a2"/>
    <w:link w:val="a9"/>
    <w:uiPriority w:val="99"/>
    <w:unhideWhenUsed/>
    <w:rsid w:val="000968B5"/>
    <w:pPr>
      <w:tabs>
        <w:tab w:val="center" w:pos="4153"/>
        <w:tab w:val="right" w:pos="8306"/>
      </w:tabs>
      <w:snapToGrid w:val="0"/>
      <w:jc w:val="left"/>
    </w:pPr>
    <w:rPr>
      <w:sz w:val="18"/>
      <w:szCs w:val="18"/>
    </w:rPr>
  </w:style>
  <w:style w:type="character" w:customStyle="1" w:styleId="a9">
    <w:name w:val="页脚 字符"/>
    <w:basedOn w:val="a3"/>
    <w:link w:val="a8"/>
    <w:uiPriority w:val="99"/>
    <w:rsid w:val="000968B5"/>
    <w:rPr>
      <w:sz w:val="18"/>
      <w:szCs w:val="18"/>
    </w:rPr>
  </w:style>
  <w:style w:type="character" w:customStyle="1" w:styleId="10">
    <w:name w:val="标题 1 字符"/>
    <w:basedOn w:val="a3"/>
    <w:link w:val="1"/>
    <w:uiPriority w:val="1"/>
    <w:rsid w:val="00353AC8"/>
    <w:rPr>
      <w:rFonts w:ascii="宋体" w:eastAsia="宋体" w:hAnsi="宋体"/>
      <w:b/>
      <w:bCs/>
      <w:sz w:val="32"/>
      <w:szCs w:val="32"/>
    </w:rPr>
  </w:style>
  <w:style w:type="character" w:customStyle="1" w:styleId="30">
    <w:name w:val="标题 3 字符"/>
    <w:basedOn w:val="a3"/>
    <w:link w:val="3"/>
    <w:semiHidden/>
    <w:rsid w:val="00353AC8"/>
    <w:rPr>
      <w:rFonts w:ascii="宋体" w:eastAsia="宋体" w:hAnsi="宋体" w:cs="Times New Roman"/>
      <w:b/>
      <w:kern w:val="0"/>
      <w:sz w:val="27"/>
      <w:szCs w:val="27"/>
    </w:rPr>
  </w:style>
  <w:style w:type="paragraph" w:styleId="aa">
    <w:name w:val="Normal (Web)"/>
    <w:basedOn w:val="a2"/>
    <w:autoRedefine/>
    <w:qFormat/>
    <w:rsid w:val="00353AC8"/>
    <w:pPr>
      <w:spacing w:beforeAutospacing="1" w:afterAutospacing="1"/>
      <w:jc w:val="left"/>
    </w:pPr>
    <w:rPr>
      <w:rFonts w:asciiTheme="minorHAnsi" w:eastAsiaTheme="minorEastAsia" w:hAnsiTheme="minorHAnsi"/>
      <w:kern w:val="0"/>
      <w:sz w:val="24"/>
      <w:szCs w:val="24"/>
    </w:rPr>
  </w:style>
  <w:style w:type="table" w:styleId="ab">
    <w:name w:val="Table Grid"/>
    <w:basedOn w:val="a4"/>
    <w:autoRedefine/>
    <w:uiPriority w:val="59"/>
    <w:qFormat/>
    <w:rsid w:val="00353AC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2"/>
    <w:qFormat/>
    <w:rsid w:val="0008115F"/>
    <w:pPr>
      <w:ind w:firstLineChars="200" w:firstLine="420"/>
    </w:pPr>
  </w:style>
  <w:style w:type="paragraph" w:customStyle="1" w:styleId="ad">
    <w:name w:val="字母编号列项（一级）"/>
    <w:uiPriority w:val="99"/>
    <w:qFormat/>
    <w:rsid w:val="005172B8"/>
    <w:pPr>
      <w:ind w:leftChars="200" w:left="840" w:hangingChars="200" w:hanging="420"/>
      <w:jc w:val="both"/>
    </w:pPr>
    <w:rPr>
      <w:rFonts w:ascii="宋体" w:eastAsia="宋体" w:hAnsi="Times New Roman" w:cs="宋体"/>
      <w:kern w:val="0"/>
      <w:sz w:val="20"/>
      <w:szCs w:val="20"/>
    </w:rPr>
  </w:style>
  <w:style w:type="paragraph" w:customStyle="1" w:styleId="ae">
    <w:name w:val="标准的最小标题"/>
    <w:next w:val="a2"/>
    <w:link w:val="Char"/>
    <w:rsid w:val="005172B8"/>
    <w:pPr>
      <w:widowControl w:val="0"/>
      <w:spacing w:line="300" w:lineRule="auto"/>
      <w:jc w:val="both"/>
    </w:pPr>
    <w:rPr>
      <w:rFonts w:ascii="Times New Roman" w:eastAsia="宋体" w:hAnsi="Times New Roman" w:cs="Times New Roman"/>
      <w:sz w:val="24"/>
      <w:szCs w:val="21"/>
    </w:rPr>
  </w:style>
  <w:style w:type="character" w:customStyle="1" w:styleId="Char">
    <w:name w:val="标准的最小标题 Char"/>
    <w:link w:val="ae"/>
    <w:qFormat/>
    <w:locked/>
    <w:rsid w:val="005172B8"/>
    <w:rPr>
      <w:rFonts w:ascii="Times New Roman" w:eastAsia="宋体" w:hAnsi="Times New Roman" w:cs="Times New Roman"/>
      <w:sz w:val="24"/>
      <w:szCs w:val="21"/>
    </w:rPr>
  </w:style>
  <w:style w:type="paragraph" w:customStyle="1" w:styleId="af">
    <w:name w:val="表格"/>
    <w:basedOn w:val="a2"/>
    <w:link w:val="af0"/>
    <w:qFormat/>
    <w:rsid w:val="005172B8"/>
    <w:rPr>
      <w:rFonts w:ascii="Times New Roman" w:eastAsia="宋体" w:hAnsi="Times New Roman"/>
      <w:sz w:val="24"/>
    </w:rPr>
  </w:style>
  <w:style w:type="paragraph" w:customStyle="1" w:styleId="a">
    <w:name w:val="一级标题"/>
    <w:basedOn w:val="a2"/>
    <w:link w:val="af1"/>
    <w:qFormat/>
    <w:rsid w:val="005172B8"/>
    <w:pPr>
      <w:numPr>
        <w:numId w:val="2"/>
      </w:numPr>
      <w:spacing w:line="360" w:lineRule="auto"/>
      <w:ind w:left="0" w:firstLine="0"/>
      <w:jc w:val="left"/>
    </w:pPr>
    <w:rPr>
      <w:rFonts w:ascii="Times New Roman" w:eastAsia="宋体" w:hAnsi="Times New Roman"/>
      <w:b/>
      <w:bCs/>
      <w:kern w:val="0"/>
      <w:sz w:val="24"/>
      <w:szCs w:val="36"/>
    </w:rPr>
  </w:style>
  <w:style w:type="paragraph" w:customStyle="1" w:styleId="a0">
    <w:name w:val="二级标题"/>
    <w:basedOn w:val="a"/>
    <w:link w:val="af2"/>
    <w:qFormat/>
    <w:rsid w:val="005172B8"/>
    <w:pPr>
      <w:numPr>
        <w:ilvl w:val="1"/>
      </w:numPr>
    </w:pPr>
    <w:rPr>
      <w:b w:val="0"/>
    </w:rPr>
  </w:style>
  <w:style w:type="character" w:customStyle="1" w:styleId="af1">
    <w:name w:val="一级标题 字符"/>
    <w:link w:val="a"/>
    <w:rsid w:val="005172B8"/>
    <w:rPr>
      <w:rFonts w:ascii="Times New Roman" w:eastAsia="宋体" w:hAnsi="Times New Roman" w:cs="Times New Roman"/>
      <w:b/>
      <w:bCs/>
      <w:kern w:val="0"/>
      <w:sz w:val="24"/>
      <w:szCs w:val="36"/>
    </w:rPr>
  </w:style>
  <w:style w:type="paragraph" w:customStyle="1" w:styleId="a1">
    <w:name w:val="三级标题"/>
    <w:basedOn w:val="a2"/>
    <w:link w:val="af3"/>
    <w:qFormat/>
    <w:rsid w:val="005172B8"/>
    <w:pPr>
      <w:numPr>
        <w:ilvl w:val="2"/>
        <w:numId w:val="2"/>
      </w:numPr>
      <w:spacing w:line="360" w:lineRule="auto"/>
      <w:ind w:left="0" w:firstLine="0"/>
      <w:jc w:val="left"/>
    </w:pPr>
    <w:rPr>
      <w:rFonts w:ascii="Times New Roman" w:eastAsia="宋体" w:hAnsi="Times New Roman"/>
      <w:sz w:val="24"/>
      <w:szCs w:val="24"/>
    </w:rPr>
  </w:style>
  <w:style w:type="character" w:customStyle="1" w:styleId="af2">
    <w:name w:val="二级标题 字符"/>
    <w:link w:val="a0"/>
    <w:rsid w:val="005172B8"/>
    <w:rPr>
      <w:rFonts w:ascii="Times New Roman" w:eastAsia="宋体" w:hAnsi="Times New Roman" w:cs="Times New Roman"/>
      <w:bCs/>
      <w:kern w:val="0"/>
      <w:sz w:val="24"/>
      <w:szCs w:val="36"/>
    </w:rPr>
  </w:style>
  <w:style w:type="character" w:customStyle="1" w:styleId="af3">
    <w:name w:val="三级标题 字符"/>
    <w:link w:val="a1"/>
    <w:rsid w:val="005172B8"/>
    <w:rPr>
      <w:rFonts w:ascii="Times New Roman" w:eastAsia="宋体" w:hAnsi="Times New Roman" w:cs="Times New Roman"/>
      <w:sz w:val="24"/>
      <w:szCs w:val="24"/>
    </w:rPr>
  </w:style>
  <w:style w:type="character" w:customStyle="1" w:styleId="af0">
    <w:name w:val="表格 字符"/>
    <w:basedOn w:val="a3"/>
    <w:link w:val="af"/>
    <w:rsid w:val="005172B8"/>
    <w:rPr>
      <w:rFonts w:ascii="Times New Roman" w:eastAsia="宋体" w:hAnsi="Times New Roman" w:cs="Times New Roman"/>
      <w:sz w:val="24"/>
    </w:rPr>
  </w:style>
  <w:style w:type="paragraph" w:styleId="af4">
    <w:name w:val="Balloon Text"/>
    <w:basedOn w:val="a2"/>
    <w:link w:val="af5"/>
    <w:uiPriority w:val="99"/>
    <w:semiHidden/>
    <w:unhideWhenUsed/>
    <w:rsid w:val="001162F9"/>
    <w:rPr>
      <w:sz w:val="18"/>
      <w:szCs w:val="18"/>
    </w:rPr>
  </w:style>
  <w:style w:type="character" w:customStyle="1" w:styleId="af5">
    <w:name w:val="批注框文本 字符"/>
    <w:basedOn w:val="a3"/>
    <w:link w:val="af4"/>
    <w:uiPriority w:val="99"/>
    <w:semiHidden/>
    <w:rsid w:val="001162F9"/>
    <w:rPr>
      <w:rFonts w:ascii="等线" w:eastAsia="等线" w:hAnsi="等线" w:cs="Times New Roman"/>
      <w:sz w:val="18"/>
      <w:szCs w:val="18"/>
    </w:rPr>
  </w:style>
  <w:style w:type="paragraph" w:customStyle="1" w:styleId="af6">
    <w:name w:val="表格正文文本"/>
    <w:basedOn w:val="a2"/>
    <w:qFormat/>
    <w:rsid w:val="00F967A3"/>
    <w:pPr>
      <w:widowControl/>
      <w:jc w:val="center"/>
    </w:pPr>
    <w:rPr>
      <w:rFonts w:ascii="Tahoma" w:eastAsia="宋体" w:hAnsi="Tahoma"/>
      <w:kern w:val="0"/>
      <w:sz w:val="18"/>
      <w:szCs w:val="20"/>
    </w:rPr>
  </w:style>
  <w:style w:type="paragraph" w:customStyle="1" w:styleId="af7">
    <w:name w:val="调查项目"/>
    <w:basedOn w:val="a2"/>
    <w:qFormat/>
    <w:rsid w:val="00F967A3"/>
    <w:pPr>
      <w:widowControl/>
      <w:jc w:val="left"/>
      <w:outlineLvl w:val="1"/>
    </w:pPr>
    <w:rPr>
      <w:rFonts w:ascii="Tahoma" w:eastAsia="黑体" w:hAnsi="Tahoma"/>
      <w:bCs/>
      <w:color w:val="333399"/>
      <w:kern w:val="0"/>
      <w:sz w:val="18"/>
      <w:szCs w:val="18"/>
    </w:rPr>
  </w:style>
  <w:style w:type="paragraph" w:customStyle="1" w:styleId="af8">
    <w:name w:val="列标题"/>
    <w:basedOn w:val="2"/>
    <w:qFormat/>
    <w:rsid w:val="00F967A3"/>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character" w:customStyle="1" w:styleId="20">
    <w:name w:val="标题 2 字符"/>
    <w:basedOn w:val="a3"/>
    <w:link w:val="2"/>
    <w:uiPriority w:val="9"/>
    <w:semiHidden/>
    <w:rsid w:val="00F967A3"/>
    <w:rPr>
      <w:rFonts w:asciiTheme="majorHAnsi" w:eastAsiaTheme="majorEastAsia" w:hAnsiTheme="majorHAnsi" w:cstheme="majorBidi"/>
      <w:b/>
      <w:bCs/>
      <w:sz w:val="32"/>
      <w:szCs w:val="32"/>
    </w:rPr>
  </w:style>
  <w:style w:type="character" w:styleId="af9">
    <w:name w:val="line number"/>
    <w:basedOn w:val="a3"/>
    <w:uiPriority w:val="99"/>
    <w:semiHidden/>
    <w:unhideWhenUsed/>
    <w:rsid w:val="00AB740F"/>
  </w:style>
  <w:style w:type="character" w:styleId="afa">
    <w:name w:val="annotation reference"/>
    <w:basedOn w:val="a3"/>
    <w:uiPriority w:val="99"/>
    <w:semiHidden/>
    <w:unhideWhenUsed/>
    <w:rsid w:val="000879FB"/>
    <w:rPr>
      <w:sz w:val="21"/>
      <w:szCs w:val="21"/>
    </w:rPr>
  </w:style>
  <w:style w:type="paragraph" w:styleId="afb">
    <w:name w:val="annotation text"/>
    <w:basedOn w:val="a2"/>
    <w:link w:val="afc"/>
    <w:uiPriority w:val="99"/>
    <w:semiHidden/>
    <w:unhideWhenUsed/>
    <w:rsid w:val="000879FB"/>
    <w:pPr>
      <w:jc w:val="left"/>
    </w:pPr>
  </w:style>
  <w:style w:type="character" w:customStyle="1" w:styleId="afc">
    <w:name w:val="批注文字 字符"/>
    <w:basedOn w:val="a3"/>
    <w:link w:val="afb"/>
    <w:uiPriority w:val="99"/>
    <w:semiHidden/>
    <w:rsid w:val="000879FB"/>
    <w:rPr>
      <w:rFonts w:ascii="等线" w:eastAsia="等线" w:hAnsi="等线" w:cs="Times New Roman"/>
    </w:rPr>
  </w:style>
  <w:style w:type="paragraph" w:styleId="afd">
    <w:name w:val="annotation subject"/>
    <w:basedOn w:val="afb"/>
    <w:next w:val="afb"/>
    <w:link w:val="afe"/>
    <w:uiPriority w:val="99"/>
    <w:semiHidden/>
    <w:unhideWhenUsed/>
    <w:rsid w:val="000879FB"/>
    <w:rPr>
      <w:b/>
      <w:bCs/>
    </w:rPr>
  </w:style>
  <w:style w:type="character" w:customStyle="1" w:styleId="afe">
    <w:name w:val="批注主题 字符"/>
    <w:basedOn w:val="afc"/>
    <w:link w:val="afd"/>
    <w:uiPriority w:val="99"/>
    <w:semiHidden/>
    <w:rsid w:val="000879FB"/>
    <w:rPr>
      <w:rFonts w:ascii="等线" w:eastAsia="等线" w:hAnsi="等线"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194096">
      <w:bodyDiv w:val="1"/>
      <w:marLeft w:val="120"/>
      <w:marRight w:val="120"/>
      <w:marTop w:val="120"/>
      <w:marBottom w:val="120"/>
      <w:divBdr>
        <w:top w:val="none" w:sz="0" w:space="0" w:color="auto"/>
        <w:left w:val="none" w:sz="0" w:space="0" w:color="auto"/>
        <w:bottom w:val="none" w:sz="0" w:space="0" w:color="auto"/>
        <w:right w:val="none" w:sz="0" w:space="0" w:color="auto"/>
      </w:divBdr>
    </w:div>
    <w:div w:id="1073048799">
      <w:bodyDiv w:val="1"/>
      <w:marLeft w:val="120"/>
      <w:marRight w:val="120"/>
      <w:marTop w:val="120"/>
      <w:marBottom w:val="12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1104</TotalTime>
  <Pages>23</Pages>
  <Words>1561</Words>
  <Characters>8904</Characters>
  <Application>Microsoft Office Word</Application>
  <DocSecurity>0</DocSecurity>
  <Lines>74</Lines>
  <Paragraphs>20</Paragraphs>
  <ScaleCrop>false</ScaleCrop>
  <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QHTF</dc:creator>
  <cp:keywords/>
  <dc:description/>
  <cp:lastModifiedBy>高田</cp:lastModifiedBy>
  <cp:revision>343</cp:revision>
  <dcterms:created xsi:type="dcterms:W3CDTF">2024-04-09T03:09:00Z</dcterms:created>
  <dcterms:modified xsi:type="dcterms:W3CDTF">2026-03-16T02:51:00Z</dcterms:modified>
</cp:coreProperties>
</file>