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2BA77" w14:textId="77777777" w:rsidR="003B2BA4" w:rsidRDefault="00240221">
      <w:pPr>
        <w:spacing w:line="600" w:lineRule="exact"/>
        <w:jc w:val="center"/>
        <w:rPr>
          <w:rFonts w:eastAsia="方正小标宋简体"/>
          <w:sz w:val="44"/>
          <w:szCs w:val="44"/>
        </w:rPr>
      </w:pPr>
      <w:r w:rsidRPr="00C866B8">
        <w:rPr>
          <w:rFonts w:eastAsia="方正小标宋简体"/>
          <w:sz w:val="44"/>
          <w:szCs w:val="44"/>
        </w:rPr>
        <w:t>肺炎链球菌</w:t>
      </w:r>
      <w:r w:rsidRPr="00C866B8">
        <w:rPr>
          <w:rFonts w:eastAsia="方正小标宋简体"/>
          <w:sz w:val="44"/>
          <w:szCs w:val="44"/>
        </w:rPr>
        <w:t>/</w:t>
      </w:r>
      <w:r w:rsidRPr="00C866B8">
        <w:rPr>
          <w:rFonts w:eastAsia="方正小标宋简体"/>
          <w:sz w:val="44"/>
          <w:szCs w:val="44"/>
        </w:rPr>
        <w:t>肺炎支原体</w:t>
      </w:r>
      <w:r w:rsidRPr="00C866B8">
        <w:rPr>
          <w:rFonts w:eastAsia="方正小标宋简体"/>
          <w:sz w:val="44"/>
          <w:szCs w:val="44"/>
        </w:rPr>
        <w:t>/</w:t>
      </w:r>
      <w:r w:rsidRPr="00C866B8">
        <w:rPr>
          <w:rFonts w:eastAsia="方正小标宋简体"/>
          <w:sz w:val="44"/>
          <w:szCs w:val="44"/>
        </w:rPr>
        <w:t>流感嗜血杆菌核酸</w:t>
      </w:r>
    </w:p>
    <w:p w14:paraId="50F8DB9E" w14:textId="77777777" w:rsidR="003B2BA4" w:rsidRDefault="00240221">
      <w:pPr>
        <w:spacing w:line="600" w:lineRule="exact"/>
        <w:jc w:val="center"/>
        <w:rPr>
          <w:rFonts w:eastAsia="方正小标宋简体"/>
          <w:sz w:val="44"/>
          <w:szCs w:val="44"/>
        </w:rPr>
      </w:pPr>
      <w:r w:rsidRPr="003B2BA4">
        <w:rPr>
          <w:rFonts w:eastAsia="方正小标宋简体"/>
          <w:sz w:val="44"/>
          <w:szCs w:val="44"/>
        </w:rPr>
        <w:t>联合</w:t>
      </w:r>
      <w:r w:rsidRPr="00C866B8">
        <w:rPr>
          <w:rFonts w:eastAsia="方正小标宋简体"/>
          <w:sz w:val="44"/>
          <w:szCs w:val="44"/>
        </w:rPr>
        <w:t>检测试剂盒临床试验技术审评要点</w:t>
      </w:r>
    </w:p>
    <w:p w14:paraId="5A61828E" w14:textId="1A34A743" w:rsidR="00F955A8" w:rsidRDefault="00FD33AF">
      <w:pPr>
        <w:spacing w:line="600" w:lineRule="exact"/>
        <w:jc w:val="center"/>
        <w:rPr>
          <w:rFonts w:eastAsia="方正小标宋简体"/>
          <w:sz w:val="44"/>
          <w:szCs w:val="44"/>
        </w:rPr>
      </w:pPr>
      <w:r w:rsidRPr="00C866B8">
        <w:rPr>
          <w:rFonts w:eastAsia="方正小标宋简体"/>
          <w:sz w:val="44"/>
          <w:szCs w:val="44"/>
        </w:rPr>
        <w:t>（征求意见稿）</w:t>
      </w:r>
    </w:p>
    <w:p w14:paraId="71016FA2" w14:textId="77777777" w:rsidR="00462EEC" w:rsidRPr="00C866B8" w:rsidRDefault="00462EEC">
      <w:pPr>
        <w:spacing w:line="600" w:lineRule="exact"/>
        <w:jc w:val="center"/>
        <w:rPr>
          <w:rFonts w:eastAsia="方正小标宋简体" w:hint="eastAsia"/>
          <w:sz w:val="44"/>
          <w:szCs w:val="44"/>
        </w:rPr>
      </w:pPr>
    </w:p>
    <w:p w14:paraId="1B5A2DA3" w14:textId="000F2970" w:rsidR="00114DB9" w:rsidRDefault="00114DB9" w:rsidP="00A37495">
      <w:pPr>
        <w:snapToGrid w:val="0"/>
        <w:spacing w:line="520" w:lineRule="exact"/>
        <w:ind w:firstLineChars="200" w:firstLine="640"/>
        <w:rPr>
          <w:rFonts w:eastAsia="仿宋_GB2312"/>
          <w:sz w:val="32"/>
          <w:szCs w:val="32"/>
        </w:rPr>
      </w:pPr>
      <w:r w:rsidRPr="00114DB9">
        <w:rPr>
          <w:rFonts w:eastAsia="仿宋_GB2312" w:hint="eastAsia"/>
          <w:sz w:val="32"/>
          <w:szCs w:val="32"/>
        </w:rPr>
        <w:t>本审评要点是</w:t>
      </w:r>
      <w:r w:rsidR="00A37495" w:rsidRPr="00A37495">
        <w:rPr>
          <w:rFonts w:eastAsia="仿宋_GB2312" w:hint="eastAsia"/>
          <w:sz w:val="32"/>
          <w:szCs w:val="32"/>
        </w:rPr>
        <w:t>肺炎链球菌</w:t>
      </w:r>
      <w:r w:rsidR="00A37495" w:rsidRPr="00A37495">
        <w:rPr>
          <w:rFonts w:eastAsia="仿宋_GB2312" w:hint="eastAsia"/>
          <w:sz w:val="32"/>
          <w:szCs w:val="32"/>
        </w:rPr>
        <w:t>/</w:t>
      </w:r>
      <w:r w:rsidR="00A37495" w:rsidRPr="00A37495">
        <w:rPr>
          <w:rFonts w:eastAsia="仿宋_GB2312" w:hint="eastAsia"/>
          <w:sz w:val="32"/>
          <w:szCs w:val="32"/>
        </w:rPr>
        <w:t>肺炎支原体</w:t>
      </w:r>
      <w:r w:rsidR="00A37495" w:rsidRPr="00A37495">
        <w:rPr>
          <w:rFonts w:eastAsia="仿宋_GB2312" w:hint="eastAsia"/>
          <w:sz w:val="32"/>
          <w:szCs w:val="32"/>
        </w:rPr>
        <w:t>/</w:t>
      </w:r>
      <w:r w:rsidR="00A37495" w:rsidRPr="00A37495">
        <w:rPr>
          <w:rFonts w:eastAsia="仿宋_GB2312" w:hint="eastAsia"/>
          <w:sz w:val="32"/>
          <w:szCs w:val="32"/>
        </w:rPr>
        <w:t>流感嗜血杆菌核酸联合检测试剂盒</w:t>
      </w:r>
      <w:r w:rsidRPr="00114DB9">
        <w:rPr>
          <w:rFonts w:eastAsia="仿宋_GB2312" w:hint="eastAsia"/>
          <w:sz w:val="32"/>
          <w:szCs w:val="32"/>
        </w:rPr>
        <w:t>安全性、有效性和质量控制方面有重要影响的技术要求</w:t>
      </w:r>
      <w:r w:rsidRPr="00114DB9">
        <w:rPr>
          <w:rFonts w:eastAsia="仿宋_GB2312" w:hint="eastAsia"/>
          <w:sz w:val="32"/>
          <w:szCs w:val="32"/>
        </w:rPr>
        <w:t>/</w:t>
      </w:r>
      <w:r w:rsidRPr="00114DB9">
        <w:rPr>
          <w:rFonts w:eastAsia="仿宋_GB2312" w:hint="eastAsia"/>
          <w:sz w:val="32"/>
          <w:szCs w:val="32"/>
        </w:rPr>
        <w:t>审评共识的文件，通过综合分析</w:t>
      </w:r>
      <w:r w:rsidR="00E53C41" w:rsidRPr="00A37495">
        <w:rPr>
          <w:rFonts w:eastAsia="仿宋_GB2312" w:hint="eastAsia"/>
          <w:sz w:val="32"/>
          <w:szCs w:val="32"/>
        </w:rPr>
        <w:t>肺炎链球菌</w:t>
      </w:r>
      <w:r w:rsidR="00E53C41" w:rsidRPr="00A37495">
        <w:rPr>
          <w:rFonts w:eastAsia="仿宋_GB2312" w:hint="eastAsia"/>
          <w:sz w:val="32"/>
          <w:szCs w:val="32"/>
        </w:rPr>
        <w:t>/</w:t>
      </w:r>
      <w:r w:rsidR="00E53C41" w:rsidRPr="00A37495">
        <w:rPr>
          <w:rFonts w:eastAsia="仿宋_GB2312" w:hint="eastAsia"/>
          <w:sz w:val="32"/>
          <w:szCs w:val="32"/>
        </w:rPr>
        <w:t>肺炎支原体</w:t>
      </w:r>
      <w:r w:rsidR="00E53C41" w:rsidRPr="00A37495">
        <w:rPr>
          <w:rFonts w:eastAsia="仿宋_GB2312" w:hint="eastAsia"/>
          <w:sz w:val="32"/>
          <w:szCs w:val="32"/>
        </w:rPr>
        <w:t>/</w:t>
      </w:r>
      <w:r w:rsidR="00E53C41" w:rsidRPr="00A37495">
        <w:rPr>
          <w:rFonts w:eastAsia="仿宋_GB2312" w:hint="eastAsia"/>
          <w:sz w:val="32"/>
          <w:szCs w:val="32"/>
        </w:rPr>
        <w:t>流感嗜血杆菌核酸联合检测试剂盒</w:t>
      </w:r>
      <w:r w:rsidR="00E53C41">
        <w:rPr>
          <w:rFonts w:eastAsia="仿宋_GB2312" w:hint="eastAsia"/>
          <w:sz w:val="32"/>
          <w:szCs w:val="32"/>
        </w:rPr>
        <w:t>临床</w:t>
      </w:r>
      <w:r w:rsidR="00E53C41">
        <w:rPr>
          <w:rFonts w:eastAsia="仿宋_GB2312"/>
          <w:sz w:val="32"/>
          <w:szCs w:val="32"/>
        </w:rPr>
        <w:t>应用</w:t>
      </w:r>
      <w:r w:rsidRPr="00114DB9">
        <w:rPr>
          <w:rFonts w:eastAsia="仿宋_GB2312" w:hint="eastAsia"/>
          <w:sz w:val="32"/>
          <w:szCs w:val="32"/>
        </w:rPr>
        <w:t>的风险和受益信息和</w:t>
      </w:r>
      <w:r w:rsidR="00737BC1">
        <w:rPr>
          <w:rFonts w:eastAsia="仿宋_GB2312" w:hint="eastAsia"/>
          <w:sz w:val="32"/>
          <w:szCs w:val="32"/>
        </w:rPr>
        <w:t>呼吸道</w:t>
      </w:r>
      <w:r w:rsidR="00737BC1">
        <w:rPr>
          <w:rFonts w:eastAsia="仿宋_GB2312"/>
          <w:sz w:val="32"/>
          <w:szCs w:val="32"/>
        </w:rPr>
        <w:t>感染病原体检测</w:t>
      </w:r>
      <w:r w:rsidRPr="00114DB9">
        <w:rPr>
          <w:rFonts w:eastAsia="仿宋_GB2312" w:hint="eastAsia"/>
          <w:sz w:val="32"/>
          <w:szCs w:val="32"/>
        </w:rPr>
        <w:t>领域的科学研究，提炼汇总为本文件，用于规范技术审评工作，统一技术审评尺度。</w:t>
      </w:r>
    </w:p>
    <w:p w14:paraId="60B5600A" w14:textId="7E91061C" w:rsidR="00700233" w:rsidRDefault="00700233" w:rsidP="00A37495">
      <w:pPr>
        <w:snapToGrid w:val="0"/>
        <w:spacing w:line="520" w:lineRule="exact"/>
        <w:ind w:firstLineChars="200" w:firstLine="640"/>
        <w:rPr>
          <w:rFonts w:eastAsia="仿宋_GB2312"/>
          <w:sz w:val="32"/>
          <w:szCs w:val="32"/>
        </w:rPr>
      </w:pPr>
      <w:r w:rsidRPr="00700233">
        <w:rPr>
          <w:rFonts w:eastAsia="仿宋_GB2312" w:hint="eastAsia"/>
          <w:sz w:val="32"/>
          <w:szCs w:val="32"/>
        </w:rPr>
        <w:t>本审评要点是对</w:t>
      </w:r>
      <w:r w:rsidR="00012E8D" w:rsidRPr="00A37495">
        <w:rPr>
          <w:rFonts w:eastAsia="仿宋_GB2312" w:hint="eastAsia"/>
          <w:sz w:val="32"/>
          <w:szCs w:val="32"/>
        </w:rPr>
        <w:t>肺炎链球菌</w:t>
      </w:r>
      <w:r w:rsidR="00012E8D" w:rsidRPr="00A37495">
        <w:rPr>
          <w:rFonts w:eastAsia="仿宋_GB2312" w:hint="eastAsia"/>
          <w:sz w:val="32"/>
          <w:szCs w:val="32"/>
        </w:rPr>
        <w:t>/</w:t>
      </w:r>
      <w:r w:rsidR="00012E8D" w:rsidRPr="00A37495">
        <w:rPr>
          <w:rFonts w:eastAsia="仿宋_GB2312" w:hint="eastAsia"/>
          <w:sz w:val="32"/>
          <w:szCs w:val="32"/>
        </w:rPr>
        <w:t>肺炎支原体</w:t>
      </w:r>
      <w:r w:rsidR="00012E8D" w:rsidRPr="00A37495">
        <w:rPr>
          <w:rFonts w:eastAsia="仿宋_GB2312" w:hint="eastAsia"/>
          <w:sz w:val="32"/>
          <w:szCs w:val="32"/>
        </w:rPr>
        <w:t>/</w:t>
      </w:r>
      <w:r w:rsidR="00012E8D" w:rsidRPr="00A37495">
        <w:rPr>
          <w:rFonts w:eastAsia="仿宋_GB2312" w:hint="eastAsia"/>
          <w:sz w:val="32"/>
          <w:szCs w:val="32"/>
        </w:rPr>
        <w:t>流感嗜血杆菌核酸联合检测试剂盒</w:t>
      </w:r>
      <w:r w:rsidRPr="00700233">
        <w:rPr>
          <w:rFonts w:eastAsia="仿宋_GB2312" w:hint="eastAsia"/>
          <w:sz w:val="32"/>
          <w:szCs w:val="32"/>
        </w:rPr>
        <w:t>预期能达到安全和性能指标的验证</w:t>
      </w:r>
      <w:r w:rsidRPr="00700233">
        <w:rPr>
          <w:rFonts w:eastAsia="仿宋_GB2312" w:hint="eastAsia"/>
          <w:sz w:val="32"/>
          <w:szCs w:val="32"/>
        </w:rPr>
        <w:t>/</w:t>
      </w:r>
      <w:r w:rsidRPr="00700233">
        <w:rPr>
          <w:rFonts w:eastAsia="仿宋_GB2312" w:hint="eastAsia"/>
          <w:sz w:val="32"/>
          <w:szCs w:val="32"/>
        </w:rPr>
        <w:t>确认要求，</w:t>
      </w:r>
      <w:proofErr w:type="gramStart"/>
      <w:r w:rsidRPr="00700233">
        <w:rPr>
          <w:rFonts w:eastAsia="仿宋_GB2312" w:hint="eastAsia"/>
          <w:sz w:val="32"/>
          <w:szCs w:val="32"/>
        </w:rPr>
        <w:t>供注册</w:t>
      </w:r>
      <w:proofErr w:type="gramEnd"/>
      <w:r w:rsidRPr="00700233">
        <w:rPr>
          <w:rFonts w:eastAsia="仿宋_GB2312" w:hint="eastAsia"/>
          <w:sz w:val="32"/>
          <w:szCs w:val="32"/>
        </w:rPr>
        <w:t>申请人准备注册申报资料的指导性文件，但不包括注册审批所涉及的行政事项，亦不作为法规强制执行，需在遵循法律规章、规范性文件和强制性医疗器械标准的前提下，结合产品的具体特性，使用本审评要点。</w:t>
      </w:r>
    </w:p>
    <w:p w14:paraId="1CA45D4E" w14:textId="2C0A17D1" w:rsidR="00012E8D" w:rsidRPr="00114DB9" w:rsidRDefault="00012E8D" w:rsidP="00A37495">
      <w:pPr>
        <w:snapToGrid w:val="0"/>
        <w:spacing w:line="520" w:lineRule="exact"/>
        <w:ind w:firstLineChars="200" w:firstLine="640"/>
        <w:rPr>
          <w:rFonts w:eastAsia="仿宋_GB2312"/>
          <w:sz w:val="32"/>
          <w:szCs w:val="32"/>
        </w:rPr>
      </w:pPr>
      <w:r w:rsidRPr="00012E8D">
        <w:rPr>
          <w:rFonts w:eastAsia="仿宋_GB2312" w:hint="eastAsia"/>
          <w:sz w:val="32"/>
          <w:szCs w:val="32"/>
        </w:rPr>
        <w:t>本审评要点是在当前认知水平下制定的。随着技术审评经验的积累和科学技术的不断发展，本审评要点的相关内容也将适时地调整或及时转化为注册审查指导原则。</w:t>
      </w:r>
    </w:p>
    <w:p w14:paraId="1ACFC231" w14:textId="77777777" w:rsidR="00F955A8" w:rsidRPr="00C866B8" w:rsidRDefault="00240221">
      <w:pPr>
        <w:snapToGrid w:val="0"/>
        <w:spacing w:line="520" w:lineRule="exact"/>
        <w:ind w:firstLine="636"/>
        <w:rPr>
          <w:rFonts w:eastAsia="仿宋_GB2312"/>
          <w:sz w:val="32"/>
          <w:szCs w:val="32"/>
        </w:rPr>
      </w:pPr>
      <w:r w:rsidRPr="00C866B8">
        <w:rPr>
          <w:rFonts w:eastAsia="黑体"/>
          <w:sz w:val="32"/>
          <w:szCs w:val="32"/>
        </w:rPr>
        <w:t>一、适用范围</w:t>
      </w:r>
    </w:p>
    <w:p w14:paraId="2F598F3E" w14:textId="77777777" w:rsidR="00F955A8" w:rsidRPr="00C866B8" w:rsidRDefault="00240221">
      <w:pPr>
        <w:spacing w:line="520" w:lineRule="exact"/>
        <w:ind w:firstLine="636"/>
        <w:jc w:val="left"/>
        <w:rPr>
          <w:rFonts w:eastAsia="仿宋_GB2312"/>
          <w:sz w:val="32"/>
          <w:szCs w:val="32"/>
        </w:rPr>
      </w:pPr>
      <w:r w:rsidRPr="00C866B8">
        <w:rPr>
          <w:rFonts w:eastAsia="仿宋_GB2312"/>
          <w:sz w:val="32"/>
          <w:szCs w:val="32"/>
        </w:rPr>
        <w:t>本审评要点所指肺炎链球菌</w:t>
      </w:r>
      <w:r w:rsidRPr="00C866B8">
        <w:rPr>
          <w:rFonts w:eastAsia="仿宋_GB2312"/>
          <w:sz w:val="32"/>
          <w:szCs w:val="32"/>
        </w:rPr>
        <w:t>/</w:t>
      </w:r>
      <w:r w:rsidRPr="00C866B8">
        <w:rPr>
          <w:rFonts w:eastAsia="仿宋_GB2312"/>
          <w:sz w:val="32"/>
          <w:szCs w:val="32"/>
        </w:rPr>
        <w:t>肺炎支原体</w:t>
      </w:r>
      <w:r w:rsidRPr="00C866B8">
        <w:rPr>
          <w:rFonts w:eastAsia="仿宋_GB2312"/>
          <w:sz w:val="32"/>
          <w:szCs w:val="32"/>
        </w:rPr>
        <w:t>/</w:t>
      </w:r>
      <w:r w:rsidRPr="00C866B8">
        <w:rPr>
          <w:rFonts w:eastAsia="仿宋_GB2312"/>
          <w:sz w:val="32"/>
          <w:szCs w:val="32"/>
        </w:rPr>
        <w:t>流感嗜血杆菌核酸联合检测试剂盒是指用于体外定性检测人痰液样本中肺炎链球菌（</w:t>
      </w:r>
      <w:r w:rsidRPr="00C866B8">
        <w:rPr>
          <w:rFonts w:eastAsia="仿宋_GB2312"/>
          <w:sz w:val="32"/>
          <w:szCs w:val="32"/>
        </w:rPr>
        <w:t>SP</w:t>
      </w:r>
      <w:r w:rsidRPr="00C866B8">
        <w:rPr>
          <w:rFonts w:eastAsia="仿宋_GB2312"/>
          <w:sz w:val="32"/>
          <w:szCs w:val="32"/>
        </w:rPr>
        <w:t>）、肺炎支原体（</w:t>
      </w:r>
      <w:r w:rsidRPr="00C866B8">
        <w:rPr>
          <w:rFonts w:eastAsia="仿宋_GB2312"/>
          <w:sz w:val="32"/>
          <w:szCs w:val="32"/>
        </w:rPr>
        <w:t>MP</w:t>
      </w:r>
      <w:r w:rsidRPr="00C866B8">
        <w:rPr>
          <w:rFonts w:eastAsia="仿宋_GB2312"/>
          <w:sz w:val="32"/>
          <w:szCs w:val="32"/>
        </w:rPr>
        <w:t>）和流感嗜血杆菌（</w:t>
      </w:r>
      <w:r w:rsidRPr="00C866B8">
        <w:rPr>
          <w:rFonts w:eastAsia="仿宋_GB2312"/>
          <w:sz w:val="32"/>
          <w:szCs w:val="32"/>
        </w:rPr>
        <w:t>HI</w:t>
      </w:r>
      <w:r w:rsidRPr="00C866B8">
        <w:rPr>
          <w:rFonts w:eastAsia="仿宋_GB2312"/>
          <w:sz w:val="32"/>
          <w:szCs w:val="32"/>
        </w:rPr>
        <w:t>）脱氧核糖核酸（</w:t>
      </w:r>
      <w:r w:rsidRPr="00C866B8">
        <w:rPr>
          <w:rFonts w:eastAsia="仿宋_GB2312"/>
          <w:sz w:val="32"/>
          <w:szCs w:val="32"/>
        </w:rPr>
        <w:t>DNA</w:t>
      </w:r>
      <w:r w:rsidRPr="00C866B8">
        <w:rPr>
          <w:rFonts w:eastAsia="仿宋_GB2312"/>
          <w:sz w:val="32"/>
          <w:szCs w:val="32"/>
        </w:rPr>
        <w:t>）的体外诊断试剂。适用于</w:t>
      </w:r>
      <w:r w:rsidR="00BD5A27" w:rsidRPr="00C866B8">
        <w:rPr>
          <w:rFonts w:eastAsia="仿宋_GB2312"/>
          <w:sz w:val="32"/>
          <w:szCs w:val="32"/>
        </w:rPr>
        <w:t>疑似</w:t>
      </w:r>
      <w:r w:rsidRPr="00C866B8">
        <w:rPr>
          <w:rFonts w:eastAsia="仿宋_GB2312"/>
          <w:sz w:val="32"/>
          <w:szCs w:val="32"/>
        </w:rPr>
        <w:t>下呼吸道感染患者的肺炎链球菌、肺炎支原体和流感嗜血杆菌病原体感染的辅</w:t>
      </w:r>
      <w:r w:rsidRPr="00C866B8">
        <w:rPr>
          <w:rFonts w:eastAsia="仿宋_GB2312"/>
          <w:sz w:val="32"/>
          <w:szCs w:val="32"/>
        </w:rPr>
        <w:lastRenderedPageBreak/>
        <w:t>助诊断。</w:t>
      </w:r>
    </w:p>
    <w:p w14:paraId="19D91544"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本审评要点是对基于</w:t>
      </w:r>
      <w:r w:rsidRPr="00C866B8">
        <w:rPr>
          <w:rFonts w:eastAsia="仿宋_GB2312"/>
          <w:sz w:val="32"/>
          <w:szCs w:val="32"/>
        </w:rPr>
        <w:t>PCR-</w:t>
      </w:r>
      <w:r w:rsidRPr="00C866B8">
        <w:rPr>
          <w:rFonts w:eastAsia="仿宋_GB2312"/>
          <w:sz w:val="32"/>
          <w:szCs w:val="32"/>
        </w:rPr>
        <w:t>荧光探针法的肺炎链球菌</w:t>
      </w:r>
      <w:r w:rsidRPr="00C866B8">
        <w:rPr>
          <w:rFonts w:eastAsia="仿宋_GB2312"/>
          <w:sz w:val="32"/>
          <w:szCs w:val="32"/>
        </w:rPr>
        <w:t>/</w:t>
      </w:r>
      <w:r w:rsidRPr="00C866B8">
        <w:rPr>
          <w:rFonts w:eastAsia="仿宋_GB2312"/>
          <w:sz w:val="32"/>
          <w:szCs w:val="32"/>
        </w:rPr>
        <w:t>肺炎支原体</w:t>
      </w:r>
      <w:r w:rsidRPr="00C866B8">
        <w:rPr>
          <w:rFonts w:eastAsia="仿宋_GB2312"/>
          <w:sz w:val="32"/>
          <w:szCs w:val="32"/>
        </w:rPr>
        <w:t>/</w:t>
      </w:r>
      <w:r w:rsidRPr="00C866B8">
        <w:rPr>
          <w:rFonts w:eastAsia="仿宋_GB2312"/>
          <w:sz w:val="32"/>
          <w:szCs w:val="32"/>
        </w:rPr>
        <w:t>流感嗜血杆菌核酸联合检测试剂的一般要求，对于基于其他分子生物学方法的产品，可能部分要求不完全适用或本文所述内容不够全面，申请人可以参照本审评要点，根据产品特性对适用部分进行评价，并补充其他的评价资料进行相应验证。</w:t>
      </w:r>
    </w:p>
    <w:p w14:paraId="3811A014"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本审评要点适用于进行产品注册和变更注册申报的产品。</w:t>
      </w:r>
    </w:p>
    <w:p w14:paraId="1736F8F5"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黑体"/>
          <w:sz w:val="32"/>
          <w:szCs w:val="32"/>
        </w:rPr>
        <w:t>二、注册审查要点</w:t>
      </w:r>
    </w:p>
    <w:p w14:paraId="32F992BD"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（一）临床试验机构选择要求</w:t>
      </w:r>
    </w:p>
    <w:p w14:paraId="2B7F3E4B"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选择不少于</w:t>
      </w:r>
      <w:r w:rsidRPr="00C866B8">
        <w:rPr>
          <w:rFonts w:eastAsia="仿宋_GB2312"/>
          <w:sz w:val="32"/>
          <w:szCs w:val="32"/>
        </w:rPr>
        <w:t>3</w:t>
      </w:r>
      <w:r w:rsidRPr="00C866B8">
        <w:rPr>
          <w:rFonts w:eastAsia="仿宋_GB2312"/>
          <w:sz w:val="32"/>
          <w:szCs w:val="32"/>
        </w:rPr>
        <w:t>家具备相应条件</w:t>
      </w:r>
      <w:proofErr w:type="gramStart"/>
      <w:r w:rsidRPr="00C866B8">
        <w:rPr>
          <w:rFonts w:eastAsia="仿宋_GB2312"/>
          <w:sz w:val="32"/>
          <w:szCs w:val="32"/>
        </w:rPr>
        <w:t>且按照</w:t>
      </w:r>
      <w:proofErr w:type="gramEnd"/>
      <w:r w:rsidRPr="00C866B8">
        <w:rPr>
          <w:rFonts w:eastAsia="仿宋_GB2312"/>
          <w:sz w:val="32"/>
          <w:szCs w:val="32"/>
        </w:rPr>
        <w:t>规定备案的医疗器械临床试验机构开展临床试验。</w:t>
      </w:r>
    </w:p>
    <w:p w14:paraId="4B8590B9"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（二）临床试验设计类型</w:t>
      </w:r>
    </w:p>
    <w:p w14:paraId="5E0DDC00"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此类产品临床试验设计为与已上市同类产品进行比较研究，以证明试验体外诊断试剂检测结果与已上市同类产品之间的一致性。</w:t>
      </w:r>
    </w:p>
    <w:p w14:paraId="54BDE130"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（三）对比方法的选择</w:t>
      </w:r>
    </w:p>
    <w:p w14:paraId="1374CB94"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选择境内已批准上市的同类产品作为对比试剂，选择时应关注样本类型、性能指标等方面应与试验体外诊断试剂具有良好的可比性。试验体外诊断试剂检测范围包括三个病原体，如需要对比方法可以选择多个已上市同类产品共同作为对比试剂，对试验体外诊断试剂检测范围内的病原体进行临床性能评价。</w:t>
      </w:r>
    </w:p>
    <w:p w14:paraId="02B297C7"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（四）</w:t>
      </w:r>
      <w:proofErr w:type="gramStart"/>
      <w:r w:rsidRPr="00C866B8">
        <w:rPr>
          <w:rFonts w:eastAsia="楷体_GB2312"/>
          <w:sz w:val="32"/>
          <w:szCs w:val="32"/>
        </w:rPr>
        <w:t>病例入排标准</w:t>
      </w:r>
      <w:proofErr w:type="gramEnd"/>
    </w:p>
    <w:p w14:paraId="18756AD0"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根据目前对于该类产品的临床应用，临床试验入组病例主要为确诊或疑似下呼吸道感染患者，如：肺炎、气管炎、支气管炎、支气管扩张等，具有咽痛、咳嗽、发热、呕吐等症状。临床</w:t>
      </w:r>
      <w:r w:rsidRPr="00C866B8">
        <w:rPr>
          <w:rFonts w:eastAsia="仿宋_GB2312"/>
          <w:sz w:val="32"/>
          <w:szCs w:val="32"/>
        </w:rPr>
        <w:lastRenderedPageBreak/>
        <w:t>试验还应入组部分其他病原体感染患者。</w:t>
      </w:r>
    </w:p>
    <w:p w14:paraId="6B8F65E9"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（五）入组病例数要求</w:t>
      </w:r>
    </w:p>
    <w:p w14:paraId="77457CE6"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临床试验应针对每个病原体进行样本量估算。各病原体阳性样本和阴性样本数量应分别满足统计学要求。可采用目标值法公式分别估算最低阳性和阴性样本例数。</w:t>
      </w:r>
    </w:p>
    <w:p w14:paraId="3FD57B11" w14:textId="77777777" w:rsidR="00F955A8" w:rsidRPr="00C866B8" w:rsidRDefault="00240221">
      <w:pPr>
        <w:spacing w:line="520" w:lineRule="exact"/>
        <w:ind w:firstLineChars="200" w:firstLine="640"/>
        <w:contextualSpacing/>
        <w:rPr>
          <w:rFonts w:eastAsia="仿宋_GB2312"/>
          <w:sz w:val="32"/>
          <w:szCs w:val="32"/>
        </w:rPr>
      </w:pPr>
      <w:r w:rsidRPr="00C866B8">
        <w:rPr>
          <w:rFonts w:eastAsia="仿宋_GB2312"/>
          <w:sz w:val="32"/>
          <w:szCs w:val="32"/>
        </w:rPr>
        <w:t>样本量估算公式如下，</w:t>
      </w:r>
    </w:p>
    <w:p w14:paraId="7BDF0A39" w14:textId="77777777" w:rsidR="00F955A8" w:rsidRPr="00C866B8" w:rsidRDefault="00240221">
      <w:pPr>
        <w:tabs>
          <w:tab w:val="left" w:pos="1259"/>
        </w:tabs>
        <w:spacing w:line="520" w:lineRule="exact"/>
        <w:jc w:val="left"/>
        <w:rPr>
          <w:rFonts w:eastAsia="仿宋_GB2312"/>
          <w:sz w:val="32"/>
          <w:szCs w:val="32"/>
        </w:rPr>
      </w:pPr>
      <w:r w:rsidRPr="00C866B8">
        <w:rPr>
          <w:noProof/>
        </w:rPr>
        <w:drawing>
          <wp:anchor distT="0" distB="0" distL="114300" distR="114300" simplePos="0" relativeHeight="251659264" behindDoc="0" locked="0" layoutInCell="1" allowOverlap="1" wp14:anchorId="57E02A48" wp14:editId="4DC2EBC4">
            <wp:simplePos x="0" y="0"/>
            <wp:positionH relativeFrom="column">
              <wp:posOffset>1172845</wp:posOffset>
            </wp:positionH>
            <wp:positionV relativeFrom="paragraph">
              <wp:posOffset>116205</wp:posOffset>
            </wp:positionV>
            <wp:extent cx="3486150" cy="790575"/>
            <wp:effectExtent l="0" t="0" r="0" b="0"/>
            <wp:wrapSquare wrapText="bothSides"/>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86150" cy="790575"/>
                    </a:xfrm>
                    <a:prstGeom prst="rect">
                      <a:avLst/>
                    </a:prstGeom>
                    <a:noFill/>
                    <a:ln>
                      <a:noFill/>
                    </a:ln>
                  </pic:spPr>
                </pic:pic>
              </a:graphicData>
            </a:graphic>
          </wp:anchor>
        </w:drawing>
      </w:r>
    </w:p>
    <w:p w14:paraId="36981EC0" w14:textId="77777777" w:rsidR="00F955A8" w:rsidRPr="00C866B8" w:rsidRDefault="00F955A8">
      <w:pPr>
        <w:spacing w:line="520" w:lineRule="exact"/>
        <w:jc w:val="left"/>
        <w:rPr>
          <w:rFonts w:eastAsia="仿宋_GB2312"/>
          <w:sz w:val="32"/>
          <w:szCs w:val="32"/>
        </w:rPr>
      </w:pPr>
    </w:p>
    <w:p w14:paraId="04E070EA" w14:textId="77777777" w:rsidR="00F955A8" w:rsidRPr="00C866B8" w:rsidRDefault="00F955A8">
      <w:pPr>
        <w:spacing w:line="520" w:lineRule="exact"/>
        <w:jc w:val="left"/>
        <w:rPr>
          <w:rFonts w:eastAsia="仿宋_GB2312"/>
          <w:sz w:val="32"/>
          <w:szCs w:val="32"/>
        </w:rPr>
      </w:pPr>
    </w:p>
    <w:p w14:paraId="31586739" w14:textId="77777777" w:rsidR="00F955A8" w:rsidRPr="00C866B8" w:rsidRDefault="00240221">
      <w:pPr>
        <w:spacing w:line="520" w:lineRule="exact"/>
        <w:ind w:firstLineChars="200" w:firstLine="640"/>
        <w:jc w:val="left"/>
        <w:rPr>
          <w:rFonts w:eastAsia="仿宋_GB2312"/>
          <w:sz w:val="32"/>
          <w:szCs w:val="32"/>
        </w:rPr>
      </w:pPr>
      <w:r w:rsidRPr="00C866B8">
        <w:rPr>
          <w:rFonts w:eastAsia="仿宋_GB2312"/>
          <w:sz w:val="32"/>
          <w:szCs w:val="32"/>
        </w:rPr>
        <w:t>公式中，</w:t>
      </w:r>
      <w:r w:rsidRPr="00560C52">
        <w:rPr>
          <w:rFonts w:eastAsia="仿宋_GB2312"/>
          <w:i/>
          <w:sz w:val="32"/>
          <w:szCs w:val="32"/>
        </w:rPr>
        <w:t>n</w:t>
      </w:r>
      <w:r w:rsidRPr="00C866B8">
        <w:rPr>
          <w:rFonts w:eastAsia="仿宋_GB2312"/>
          <w:sz w:val="32"/>
          <w:szCs w:val="32"/>
        </w:rPr>
        <w:t>为样本量；</w:t>
      </w:r>
      <w:r w:rsidRPr="00531186">
        <w:rPr>
          <w:rFonts w:eastAsia="仿宋_GB2312"/>
          <w:i/>
          <w:sz w:val="32"/>
          <w:szCs w:val="32"/>
        </w:rPr>
        <w:t>Z</w:t>
      </w:r>
      <w:r w:rsidRPr="003B2BA4">
        <w:rPr>
          <w:rFonts w:eastAsia="仿宋_GB2312"/>
          <w:i/>
          <w:sz w:val="32"/>
          <w:szCs w:val="32"/>
          <w:vertAlign w:val="subscript"/>
        </w:rPr>
        <w:t>1-α/2</w:t>
      </w:r>
      <w:r w:rsidRPr="00531186">
        <w:rPr>
          <w:rFonts w:eastAsia="仿宋_GB2312"/>
          <w:sz w:val="32"/>
          <w:szCs w:val="32"/>
        </w:rPr>
        <w:t>、</w:t>
      </w:r>
      <w:r w:rsidRPr="00531186">
        <w:rPr>
          <w:rFonts w:eastAsia="仿宋_GB2312"/>
          <w:i/>
          <w:sz w:val="32"/>
          <w:szCs w:val="32"/>
        </w:rPr>
        <w:t>Z</w:t>
      </w:r>
      <w:r w:rsidRPr="003B2BA4">
        <w:rPr>
          <w:rFonts w:eastAsia="仿宋_GB2312"/>
          <w:i/>
          <w:sz w:val="32"/>
          <w:szCs w:val="32"/>
          <w:vertAlign w:val="subscript"/>
        </w:rPr>
        <w:t>1-β</w:t>
      </w:r>
      <w:r w:rsidRPr="00531186">
        <w:rPr>
          <w:rFonts w:eastAsia="仿宋_GB2312"/>
          <w:sz w:val="32"/>
          <w:szCs w:val="32"/>
        </w:rPr>
        <w:t>为</w:t>
      </w:r>
      <w:r w:rsidRPr="00C866B8">
        <w:rPr>
          <w:rFonts w:eastAsia="仿宋_GB2312"/>
          <w:sz w:val="32"/>
          <w:szCs w:val="32"/>
        </w:rPr>
        <w:t>显著性水平和把握度的标准正态分布的分数位，</w:t>
      </w:r>
      <w:r w:rsidRPr="00560C52">
        <w:rPr>
          <w:rFonts w:eastAsia="仿宋_GB2312"/>
          <w:i/>
          <w:sz w:val="32"/>
          <w:szCs w:val="32"/>
        </w:rPr>
        <w:t>P</w:t>
      </w:r>
      <w:r w:rsidRPr="00560C52">
        <w:rPr>
          <w:rFonts w:eastAsia="仿宋_GB2312"/>
          <w:i/>
          <w:sz w:val="32"/>
          <w:szCs w:val="32"/>
          <w:vertAlign w:val="subscript"/>
        </w:rPr>
        <w:t>0</w:t>
      </w:r>
      <w:r w:rsidRPr="00C866B8">
        <w:rPr>
          <w:rFonts w:eastAsia="仿宋_GB2312"/>
          <w:sz w:val="32"/>
          <w:szCs w:val="32"/>
        </w:rPr>
        <w:t>为评价指标的临床可接受标准，</w:t>
      </w:r>
      <w:r w:rsidRPr="00560C52">
        <w:rPr>
          <w:rFonts w:eastAsia="仿宋_GB2312"/>
          <w:i/>
          <w:sz w:val="32"/>
          <w:szCs w:val="32"/>
        </w:rPr>
        <w:t>P</w:t>
      </w:r>
      <w:r w:rsidRPr="00560C52">
        <w:rPr>
          <w:rFonts w:eastAsia="仿宋_GB2312"/>
          <w:i/>
          <w:sz w:val="32"/>
          <w:szCs w:val="32"/>
          <w:vertAlign w:val="subscript"/>
        </w:rPr>
        <w:t>T</w:t>
      </w:r>
      <w:r w:rsidRPr="00C866B8">
        <w:rPr>
          <w:rFonts w:eastAsia="仿宋_GB2312"/>
          <w:sz w:val="32"/>
          <w:szCs w:val="32"/>
        </w:rPr>
        <w:t>为申报产品评价指</w:t>
      </w:r>
      <w:bookmarkStart w:id="0" w:name="_GoBack"/>
      <w:bookmarkEnd w:id="0"/>
      <w:r w:rsidRPr="00C866B8">
        <w:rPr>
          <w:rFonts w:eastAsia="仿宋_GB2312"/>
          <w:sz w:val="32"/>
          <w:szCs w:val="32"/>
        </w:rPr>
        <w:t>标预期值。</w:t>
      </w:r>
    </w:p>
    <w:p w14:paraId="277CC19C" w14:textId="77777777" w:rsidR="00F955A8" w:rsidRPr="00C866B8" w:rsidRDefault="00240221">
      <w:pPr>
        <w:spacing w:line="520" w:lineRule="exact"/>
        <w:ind w:firstLineChars="200" w:firstLine="640"/>
        <w:jc w:val="left"/>
        <w:rPr>
          <w:rFonts w:eastAsia="仿宋_GB2312"/>
          <w:sz w:val="32"/>
          <w:szCs w:val="32"/>
        </w:rPr>
      </w:pPr>
      <w:r w:rsidRPr="00C866B8">
        <w:rPr>
          <w:rFonts w:eastAsia="仿宋_GB2312"/>
          <w:sz w:val="32"/>
          <w:szCs w:val="32"/>
        </w:rPr>
        <w:t>其中阳性符合率和阴性符合率的临床可接受标准（</w:t>
      </w:r>
      <w:r w:rsidRPr="00560C52">
        <w:rPr>
          <w:rFonts w:eastAsia="仿宋_GB2312"/>
          <w:i/>
          <w:sz w:val="32"/>
          <w:szCs w:val="32"/>
        </w:rPr>
        <w:t>P</w:t>
      </w:r>
      <w:r w:rsidRPr="00560C52">
        <w:rPr>
          <w:rFonts w:eastAsia="仿宋_GB2312"/>
          <w:i/>
          <w:sz w:val="32"/>
          <w:szCs w:val="32"/>
          <w:vertAlign w:val="subscript"/>
        </w:rPr>
        <w:t>0</w:t>
      </w:r>
      <w:r w:rsidRPr="00C866B8">
        <w:rPr>
          <w:rFonts w:eastAsia="仿宋_GB2312"/>
          <w:sz w:val="32"/>
          <w:szCs w:val="32"/>
        </w:rPr>
        <w:t>）建议不低于</w:t>
      </w:r>
      <w:r w:rsidRPr="00C866B8">
        <w:rPr>
          <w:rFonts w:eastAsia="仿宋_GB2312"/>
          <w:sz w:val="32"/>
          <w:szCs w:val="32"/>
        </w:rPr>
        <w:t>90%</w:t>
      </w:r>
      <w:r w:rsidRPr="00C866B8">
        <w:rPr>
          <w:rFonts w:eastAsia="仿宋_GB2312"/>
          <w:sz w:val="32"/>
          <w:szCs w:val="32"/>
        </w:rPr>
        <w:t>。当评价指标</w:t>
      </w:r>
      <w:r w:rsidRPr="00560C52">
        <w:rPr>
          <w:rFonts w:eastAsia="仿宋_GB2312"/>
          <w:i/>
          <w:sz w:val="32"/>
          <w:szCs w:val="32"/>
        </w:rPr>
        <w:t>P</w:t>
      </w:r>
      <w:r w:rsidRPr="00C866B8">
        <w:rPr>
          <w:rFonts w:eastAsia="仿宋_GB2312"/>
          <w:sz w:val="32"/>
          <w:szCs w:val="32"/>
        </w:rPr>
        <w:t>接近</w:t>
      </w:r>
      <w:r w:rsidRPr="00C866B8">
        <w:rPr>
          <w:rFonts w:eastAsia="仿宋_GB2312"/>
          <w:sz w:val="32"/>
          <w:szCs w:val="32"/>
        </w:rPr>
        <w:t>100%</w:t>
      </w:r>
      <w:r w:rsidRPr="00C866B8">
        <w:rPr>
          <w:rFonts w:eastAsia="仿宋_GB2312"/>
          <w:sz w:val="32"/>
          <w:szCs w:val="32"/>
        </w:rPr>
        <w:t>时，上述样本量估算方法可能不适用，应考虑选择更加适宜的方法进行样本量估算和统计学分析，如精确概率法等。</w:t>
      </w:r>
    </w:p>
    <w:p w14:paraId="781C5795" w14:textId="77777777" w:rsidR="00F955A8" w:rsidRPr="00C866B8" w:rsidRDefault="00240221">
      <w:pPr>
        <w:spacing w:line="520" w:lineRule="exact"/>
        <w:ind w:firstLineChars="200" w:firstLine="640"/>
        <w:contextualSpacing/>
        <w:rPr>
          <w:rFonts w:eastAsia="楷体_GB2312"/>
          <w:sz w:val="32"/>
          <w:szCs w:val="32"/>
        </w:rPr>
      </w:pPr>
      <w:r w:rsidRPr="00C866B8">
        <w:rPr>
          <w:rFonts w:eastAsia="楷体_GB2312"/>
          <w:sz w:val="32"/>
          <w:szCs w:val="32"/>
        </w:rPr>
        <w:t>（六）临床评价指标和统计学分析</w:t>
      </w:r>
    </w:p>
    <w:p w14:paraId="7258EE21" w14:textId="77777777" w:rsidR="00F955A8" w:rsidRPr="00C866B8" w:rsidRDefault="00240221">
      <w:pPr>
        <w:spacing w:line="520" w:lineRule="exact"/>
        <w:ind w:firstLineChars="200" w:firstLine="640"/>
        <w:jc w:val="left"/>
        <w:rPr>
          <w:rFonts w:eastAsia="仿宋_GB2312"/>
          <w:sz w:val="32"/>
          <w:szCs w:val="32"/>
        </w:rPr>
      </w:pPr>
      <w:r w:rsidRPr="00C866B8">
        <w:rPr>
          <w:rFonts w:eastAsia="仿宋_GB2312"/>
          <w:sz w:val="32"/>
          <w:szCs w:val="32"/>
        </w:rPr>
        <w:t>选择</w:t>
      </w:r>
      <w:proofErr w:type="gramStart"/>
      <w:r w:rsidRPr="00C866B8">
        <w:rPr>
          <w:rFonts w:eastAsia="仿宋_GB2312"/>
          <w:sz w:val="32"/>
          <w:szCs w:val="32"/>
        </w:rPr>
        <w:t>交叉四</w:t>
      </w:r>
      <w:proofErr w:type="gramEnd"/>
      <w:r w:rsidRPr="00C866B8">
        <w:rPr>
          <w:rFonts w:eastAsia="仿宋_GB2312"/>
          <w:sz w:val="32"/>
          <w:szCs w:val="32"/>
        </w:rPr>
        <w:t>格表的形式总结两种方法的定性检测结果，计算阳性符合率、阴性符合率、总符合率及其</w:t>
      </w:r>
      <w:r w:rsidRPr="00C866B8">
        <w:rPr>
          <w:rFonts w:eastAsia="仿宋_GB2312"/>
          <w:sz w:val="32"/>
          <w:szCs w:val="32"/>
        </w:rPr>
        <w:t>95%</w:t>
      </w:r>
      <w:r w:rsidRPr="00C866B8">
        <w:rPr>
          <w:rFonts w:eastAsia="仿宋_GB2312"/>
          <w:sz w:val="32"/>
          <w:szCs w:val="32"/>
        </w:rPr>
        <w:t>置信区间。</w:t>
      </w:r>
    </w:p>
    <w:p w14:paraId="58B463B2" w14:textId="77777777" w:rsidR="00F955A8" w:rsidRPr="00C866B8" w:rsidRDefault="00240221">
      <w:pPr>
        <w:spacing w:line="520" w:lineRule="exact"/>
        <w:ind w:firstLineChars="200" w:firstLine="640"/>
        <w:jc w:val="left"/>
        <w:rPr>
          <w:rFonts w:eastAsia="仿宋_GB2312"/>
          <w:sz w:val="32"/>
          <w:szCs w:val="32"/>
        </w:rPr>
      </w:pPr>
      <w:r w:rsidRPr="00C866B8">
        <w:rPr>
          <w:rFonts w:eastAsia="仿宋_GB2312"/>
          <w:sz w:val="32"/>
          <w:szCs w:val="32"/>
        </w:rPr>
        <w:t>依据已有的研究数据，试验体外诊断试剂与已上市同类产品比较的阳性符合率</w:t>
      </w:r>
      <w:r w:rsidRPr="00C866B8">
        <w:rPr>
          <w:rFonts w:eastAsia="仿宋_GB2312"/>
          <w:sz w:val="32"/>
          <w:szCs w:val="32"/>
        </w:rPr>
        <w:t>95%</w:t>
      </w:r>
      <w:r w:rsidRPr="00C866B8">
        <w:rPr>
          <w:rFonts w:eastAsia="仿宋_GB2312"/>
          <w:sz w:val="32"/>
          <w:szCs w:val="32"/>
        </w:rPr>
        <w:t>置信区间下限建议不低于</w:t>
      </w:r>
      <w:r w:rsidRPr="00C866B8">
        <w:rPr>
          <w:rFonts w:eastAsia="仿宋_GB2312"/>
          <w:sz w:val="32"/>
          <w:szCs w:val="32"/>
        </w:rPr>
        <w:t>90%</w:t>
      </w:r>
      <w:r w:rsidRPr="00C866B8">
        <w:rPr>
          <w:rFonts w:eastAsia="仿宋_GB2312"/>
          <w:sz w:val="32"/>
          <w:szCs w:val="32"/>
        </w:rPr>
        <w:t>，阴性符合率</w:t>
      </w:r>
      <w:r w:rsidRPr="00C866B8">
        <w:rPr>
          <w:rFonts w:eastAsia="仿宋_GB2312"/>
          <w:sz w:val="32"/>
          <w:szCs w:val="32"/>
        </w:rPr>
        <w:t>95%</w:t>
      </w:r>
      <w:r w:rsidRPr="00C866B8">
        <w:rPr>
          <w:rFonts w:eastAsia="仿宋_GB2312"/>
          <w:sz w:val="32"/>
          <w:szCs w:val="32"/>
        </w:rPr>
        <w:t>置信区间下限建议不低于</w:t>
      </w:r>
      <w:r w:rsidRPr="00C866B8">
        <w:rPr>
          <w:rFonts w:eastAsia="仿宋_GB2312"/>
          <w:sz w:val="32"/>
          <w:szCs w:val="32"/>
        </w:rPr>
        <w:t>90%</w:t>
      </w:r>
      <w:r w:rsidRPr="00C866B8">
        <w:rPr>
          <w:rFonts w:eastAsia="仿宋_GB2312"/>
          <w:sz w:val="32"/>
          <w:szCs w:val="32"/>
        </w:rPr>
        <w:t>。</w:t>
      </w:r>
    </w:p>
    <w:p w14:paraId="667DCECD" w14:textId="7395E62B" w:rsidR="00531186" w:rsidRPr="00531186" w:rsidRDefault="00240221" w:rsidP="00B66AEA">
      <w:pPr>
        <w:spacing w:line="520" w:lineRule="exact"/>
        <w:ind w:firstLineChars="200" w:firstLine="640"/>
        <w:jc w:val="left"/>
        <w:rPr>
          <w:rFonts w:eastAsia="仿宋_GB2312"/>
          <w:sz w:val="32"/>
          <w:szCs w:val="32"/>
        </w:rPr>
      </w:pPr>
      <w:r w:rsidRPr="00C866B8">
        <w:rPr>
          <w:rFonts w:eastAsia="仿宋_GB2312"/>
          <w:sz w:val="32"/>
          <w:szCs w:val="32"/>
        </w:rPr>
        <w:t>申请人应依据具体产品的研究数据和临床需求合理设定评价指标的可接受标准。</w:t>
      </w:r>
    </w:p>
    <w:sectPr w:rsidR="00531186" w:rsidRPr="00531186" w:rsidSect="00A61D17">
      <w:headerReference w:type="even" r:id="rId9"/>
      <w:headerReference w:type="default" r:id="rId10"/>
      <w:footerReference w:type="even" r:id="rId11"/>
      <w:footerReference w:type="default" r:id="rId12"/>
      <w:type w:val="continuous"/>
      <w:pgSz w:w="11906" w:h="16838" w:code="9"/>
      <w:pgMar w:top="1701" w:right="1588" w:bottom="1701" w:left="1588" w:header="851" w:footer="1191" w:gutter="0"/>
      <w:lnNumType w:countBy="1" w:restart="continuous"/>
      <w:pgNumType w:start="1" w:chapStyle="1" w:chapSep="em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0AD03" w14:textId="77777777" w:rsidR="00083304" w:rsidRDefault="00083304">
      <w:r>
        <w:separator/>
      </w:r>
    </w:p>
  </w:endnote>
  <w:endnote w:type="continuationSeparator" w:id="0">
    <w:p w14:paraId="6A04C4FD" w14:textId="77777777" w:rsidR="00083304" w:rsidRDefault="0008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dobe 仿宋 Std R">
    <w:altName w:val="仿宋"/>
    <w:charset w:val="86"/>
    <w:family w:val="roman"/>
    <w:pitch w:val="default"/>
    <w:sig w:usb0="00000000" w:usb1="00000000" w:usb2="00000016" w:usb3="00000000" w:csb0="00060007" w:csb1="00000000"/>
  </w:font>
  <w:font w:name="Calibri">
    <w:panose1 w:val="020F0502020204030204"/>
    <w:charset w:val="00"/>
    <w:family w:val="swiss"/>
    <w:pitch w:val="variable"/>
    <w:sig w:usb0="E0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52DEF" w14:textId="76601F94" w:rsidR="00F955A8" w:rsidRDefault="00083304">
    <w:pPr>
      <w:pStyle w:val="af"/>
      <w:numPr>
        <w:ilvl w:val="0"/>
        <w:numId w:val="2"/>
      </w:numPr>
      <w:rPr>
        <w:rFonts w:ascii="Times New Roman" w:hAnsi="Times New Roman" w:cs="Times New Roman"/>
        <w:sz w:val="28"/>
        <w:szCs w:val="28"/>
      </w:rPr>
    </w:pPr>
    <w:sdt>
      <w:sdtPr>
        <w:id w:val="237143137"/>
        <w:docPartObj>
          <w:docPartGallery w:val="AutoText"/>
        </w:docPartObj>
      </w:sdtPr>
      <w:sdtEndPr>
        <w:rPr>
          <w:rFonts w:ascii="Times New Roman" w:hAnsi="Times New Roman" w:cs="Times New Roman"/>
          <w:sz w:val="28"/>
          <w:szCs w:val="28"/>
        </w:rPr>
      </w:sdtEndPr>
      <w:sdtContent>
        <w:r w:rsidR="00240221">
          <w:rPr>
            <w:rFonts w:ascii="Times New Roman" w:hAnsi="Times New Roman" w:cs="Times New Roman"/>
            <w:sz w:val="28"/>
            <w:szCs w:val="28"/>
          </w:rPr>
          <w:fldChar w:fldCharType="begin"/>
        </w:r>
        <w:r w:rsidR="00240221">
          <w:rPr>
            <w:rFonts w:ascii="Times New Roman" w:hAnsi="Times New Roman" w:cs="Times New Roman"/>
            <w:sz w:val="28"/>
            <w:szCs w:val="28"/>
          </w:rPr>
          <w:instrText>PAGE   \* MERGEFORMAT</w:instrText>
        </w:r>
        <w:r w:rsidR="00240221">
          <w:rPr>
            <w:rFonts w:ascii="Times New Roman" w:hAnsi="Times New Roman" w:cs="Times New Roman"/>
            <w:sz w:val="28"/>
            <w:szCs w:val="28"/>
          </w:rPr>
          <w:fldChar w:fldCharType="separate"/>
        </w:r>
        <w:r w:rsidR="00462EEC" w:rsidRPr="00462EEC">
          <w:rPr>
            <w:rFonts w:ascii="Times New Roman" w:hAnsi="Times New Roman" w:cs="Times New Roman"/>
            <w:noProof/>
            <w:sz w:val="28"/>
            <w:szCs w:val="28"/>
            <w:lang w:val="zh-CN"/>
          </w:rPr>
          <w:t>2</w:t>
        </w:r>
        <w:r w:rsidR="00240221">
          <w:rPr>
            <w:rFonts w:ascii="Times New Roman" w:hAnsi="Times New Roman" w:cs="Times New Roman"/>
            <w:sz w:val="28"/>
            <w:szCs w:val="28"/>
          </w:rPr>
          <w:fldChar w:fldCharType="end"/>
        </w:r>
        <w:r w:rsidR="00240221">
          <w:rPr>
            <w:rFonts w:ascii="Times New Roman" w:hAnsi="Times New Roman" w:cs="Times New Roman"/>
            <w:sz w:val="28"/>
            <w:szCs w:val="28"/>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54091"/>
      <w:docPartObj>
        <w:docPartGallery w:val="AutoText"/>
      </w:docPartObj>
    </w:sdtPr>
    <w:sdtEndPr>
      <w:rPr>
        <w:rFonts w:ascii="Times New Roman" w:hAnsi="Times New Roman" w:cs="Times New Roman"/>
        <w:sz w:val="28"/>
        <w:szCs w:val="28"/>
      </w:rPr>
    </w:sdtEndPr>
    <w:sdtContent>
      <w:p w14:paraId="37ABAF38" w14:textId="1866A5D7" w:rsidR="00F955A8" w:rsidRDefault="00240221">
        <w:pPr>
          <w:pStyle w:val="af"/>
          <w:numPr>
            <w:ilvl w:val="0"/>
            <w:numId w:val="1"/>
          </w:numPr>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462EEC" w:rsidRPr="00462EEC">
          <w:rPr>
            <w:rFonts w:ascii="Times New Roman" w:hAnsi="Times New Roman" w:cs="Times New Roman"/>
            <w:noProof/>
            <w:sz w:val="28"/>
            <w:szCs w:val="28"/>
            <w:lang w:val="zh-CN"/>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7FC97" w14:textId="77777777" w:rsidR="00083304" w:rsidRDefault="00083304">
      <w:r>
        <w:separator/>
      </w:r>
    </w:p>
  </w:footnote>
  <w:footnote w:type="continuationSeparator" w:id="0">
    <w:p w14:paraId="758E1E71" w14:textId="77777777" w:rsidR="00083304" w:rsidRDefault="0008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67F07" w14:textId="77777777" w:rsidR="00F955A8" w:rsidRDefault="00F955A8">
    <w:pPr>
      <w:pStyle w:val="af1"/>
      <w:pBdr>
        <w:bottom w:val="none" w:sz="0" w:space="0" w:color="auto"/>
      </w:pBdr>
    </w:pPr>
  </w:p>
  <w:p w14:paraId="6CC4106C" w14:textId="77777777" w:rsidR="00F955A8" w:rsidRDefault="00F955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6268A" w14:textId="77777777" w:rsidR="00F955A8" w:rsidRDefault="00F955A8">
    <w:pPr>
      <w:pStyle w:val="af1"/>
      <w:pBdr>
        <w:bottom w:val="none" w:sz="0" w:space="0" w:color="auto"/>
      </w:pBdr>
      <w:rPr>
        <w:rFonts w:ascii="Times New Roman" w:hAnsi="Times New Roman" w:cs="Times New Roman"/>
        <w:sz w:val="28"/>
        <w:szCs w:val="28"/>
      </w:rPr>
    </w:pPr>
  </w:p>
  <w:p w14:paraId="27216D93" w14:textId="77777777" w:rsidR="00F955A8" w:rsidRDefault="00F955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A00A7"/>
    <w:multiLevelType w:val="multilevel"/>
    <w:tmpl w:val="1A2A00A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13E5064"/>
    <w:multiLevelType w:val="multilevel"/>
    <w:tmpl w:val="313E5064"/>
    <w:lvl w:ilvl="0">
      <w:start w:val="8"/>
      <w:numFmt w:val="bullet"/>
      <w:lvlText w:val="—"/>
      <w:lvlJc w:val="left"/>
      <w:pPr>
        <w:ind w:left="360" w:hanging="360"/>
      </w:pPr>
      <w:rPr>
        <w:rFonts w:ascii="Times New Roman" w:eastAsia="等线" w:hAnsi="Times New Roman" w:cs="Times New Roman"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123"/>
    <w:rsid w:val="00002AAD"/>
    <w:rsid w:val="00012E8D"/>
    <w:rsid w:val="000146D7"/>
    <w:rsid w:val="000329DA"/>
    <w:rsid w:val="00056A7E"/>
    <w:rsid w:val="00083304"/>
    <w:rsid w:val="000A63C1"/>
    <w:rsid w:val="000D32E0"/>
    <w:rsid w:val="000D4E34"/>
    <w:rsid w:val="00104F4A"/>
    <w:rsid w:val="00106A9D"/>
    <w:rsid w:val="00114DB9"/>
    <w:rsid w:val="00114E64"/>
    <w:rsid w:val="00120332"/>
    <w:rsid w:val="00122FBD"/>
    <w:rsid w:val="00134ED0"/>
    <w:rsid w:val="0013532C"/>
    <w:rsid w:val="00137012"/>
    <w:rsid w:val="00141273"/>
    <w:rsid w:val="00150E66"/>
    <w:rsid w:val="00151932"/>
    <w:rsid w:val="001769B8"/>
    <w:rsid w:val="00184973"/>
    <w:rsid w:val="00191F7A"/>
    <w:rsid w:val="001A4F78"/>
    <w:rsid w:val="001A50C4"/>
    <w:rsid w:val="001A70F6"/>
    <w:rsid w:val="001B78C4"/>
    <w:rsid w:val="001C0EC8"/>
    <w:rsid w:val="001C1997"/>
    <w:rsid w:val="001C4F2E"/>
    <w:rsid w:val="001D018D"/>
    <w:rsid w:val="001D11D9"/>
    <w:rsid w:val="001D1A12"/>
    <w:rsid w:val="001D2140"/>
    <w:rsid w:val="001F0DF0"/>
    <w:rsid w:val="001F1046"/>
    <w:rsid w:val="001F4A81"/>
    <w:rsid w:val="001F7FD6"/>
    <w:rsid w:val="00201F93"/>
    <w:rsid w:val="002062EA"/>
    <w:rsid w:val="0021123F"/>
    <w:rsid w:val="00217E23"/>
    <w:rsid w:val="00217F03"/>
    <w:rsid w:val="00222BB7"/>
    <w:rsid w:val="00230AE5"/>
    <w:rsid w:val="002363D7"/>
    <w:rsid w:val="00240221"/>
    <w:rsid w:val="00244D02"/>
    <w:rsid w:val="00252094"/>
    <w:rsid w:val="00252B40"/>
    <w:rsid w:val="002548F3"/>
    <w:rsid w:val="00255331"/>
    <w:rsid w:val="00267D26"/>
    <w:rsid w:val="00294F3C"/>
    <w:rsid w:val="00295409"/>
    <w:rsid w:val="00295F3E"/>
    <w:rsid w:val="002B2CA7"/>
    <w:rsid w:val="002B32AD"/>
    <w:rsid w:val="002D5575"/>
    <w:rsid w:val="002F062A"/>
    <w:rsid w:val="002F557C"/>
    <w:rsid w:val="003079E8"/>
    <w:rsid w:val="003100D4"/>
    <w:rsid w:val="0033174F"/>
    <w:rsid w:val="003438E9"/>
    <w:rsid w:val="0035732D"/>
    <w:rsid w:val="0036717C"/>
    <w:rsid w:val="003832CA"/>
    <w:rsid w:val="00386FA0"/>
    <w:rsid w:val="00390CE2"/>
    <w:rsid w:val="00393EFB"/>
    <w:rsid w:val="003953C8"/>
    <w:rsid w:val="003B2BA4"/>
    <w:rsid w:val="003B4591"/>
    <w:rsid w:val="003B7510"/>
    <w:rsid w:val="003C0B59"/>
    <w:rsid w:val="003F0E18"/>
    <w:rsid w:val="004067A3"/>
    <w:rsid w:val="00412EF1"/>
    <w:rsid w:val="004150EE"/>
    <w:rsid w:val="0041585F"/>
    <w:rsid w:val="00417976"/>
    <w:rsid w:val="0042131A"/>
    <w:rsid w:val="004214A4"/>
    <w:rsid w:val="004246F2"/>
    <w:rsid w:val="00436D1B"/>
    <w:rsid w:val="004627AE"/>
    <w:rsid w:val="00462EEC"/>
    <w:rsid w:val="00477CB0"/>
    <w:rsid w:val="00480C25"/>
    <w:rsid w:val="00482972"/>
    <w:rsid w:val="00483ECD"/>
    <w:rsid w:val="004871DF"/>
    <w:rsid w:val="00494D22"/>
    <w:rsid w:val="004A31E1"/>
    <w:rsid w:val="004A429D"/>
    <w:rsid w:val="004B1017"/>
    <w:rsid w:val="004C22C9"/>
    <w:rsid w:val="004C30B3"/>
    <w:rsid w:val="004F2884"/>
    <w:rsid w:val="004F486F"/>
    <w:rsid w:val="005040E6"/>
    <w:rsid w:val="00510DB3"/>
    <w:rsid w:val="00531186"/>
    <w:rsid w:val="00546216"/>
    <w:rsid w:val="00560C52"/>
    <w:rsid w:val="005650EA"/>
    <w:rsid w:val="00580051"/>
    <w:rsid w:val="00597934"/>
    <w:rsid w:val="005B259D"/>
    <w:rsid w:val="005C6177"/>
    <w:rsid w:val="005D5360"/>
    <w:rsid w:val="005D5874"/>
    <w:rsid w:val="005D71E7"/>
    <w:rsid w:val="005E31E6"/>
    <w:rsid w:val="0060513F"/>
    <w:rsid w:val="0060713A"/>
    <w:rsid w:val="00615B40"/>
    <w:rsid w:val="0061625D"/>
    <w:rsid w:val="00616661"/>
    <w:rsid w:val="00617194"/>
    <w:rsid w:val="00622382"/>
    <w:rsid w:val="0063084F"/>
    <w:rsid w:val="00631AA9"/>
    <w:rsid w:val="00633683"/>
    <w:rsid w:val="00635BFE"/>
    <w:rsid w:val="006376F5"/>
    <w:rsid w:val="00637BD2"/>
    <w:rsid w:val="00640B84"/>
    <w:rsid w:val="00641D70"/>
    <w:rsid w:val="006515C5"/>
    <w:rsid w:val="00651DCB"/>
    <w:rsid w:val="00660FC1"/>
    <w:rsid w:val="00664817"/>
    <w:rsid w:val="0066775D"/>
    <w:rsid w:val="00690E61"/>
    <w:rsid w:val="006C0F4B"/>
    <w:rsid w:val="006D0CD9"/>
    <w:rsid w:val="006E452F"/>
    <w:rsid w:val="006E697B"/>
    <w:rsid w:val="00700233"/>
    <w:rsid w:val="00710650"/>
    <w:rsid w:val="00737BC1"/>
    <w:rsid w:val="007459D2"/>
    <w:rsid w:val="00745B62"/>
    <w:rsid w:val="00773903"/>
    <w:rsid w:val="00775790"/>
    <w:rsid w:val="0078788F"/>
    <w:rsid w:val="0079132E"/>
    <w:rsid w:val="0079267F"/>
    <w:rsid w:val="00793B82"/>
    <w:rsid w:val="00796D2D"/>
    <w:rsid w:val="007A3E85"/>
    <w:rsid w:val="007A5573"/>
    <w:rsid w:val="007A7B0C"/>
    <w:rsid w:val="007B226A"/>
    <w:rsid w:val="007B3DE1"/>
    <w:rsid w:val="007C04D9"/>
    <w:rsid w:val="007F1F67"/>
    <w:rsid w:val="00807022"/>
    <w:rsid w:val="00814D41"/>
    <w:rsid w:val="00821123"/>
    <w:rsid w:val="00822C26"/>
    <w:rsid w:val="00822C68"/>
    <w:rsid w:val="00827ED2"/>
    <w:rsid w:val="00831214"/>
    <w:rsid w:val="00844620"/>
    <w:rsid w:val="00857E8D"/>
    <w:rsid w:val="00860D78"/>
    <w:rsid w:val="00866BF0"/>
    <w:rsid w:val="00875AE8"/>
    <w:rsid w:val="00894CA1"/>
    <w:rsid w:val="008A50D5"/>
    <w:rsid w:val="008A7314"/>
    <w:rsid w:val="008C6961"/>
    <w:rsid w:val="008C7889"/>
    <w:rsid w:val="008D589E"/>
    <w:rsid w:val="008E64B6"/>
    <w:rsid w:val="00905D0F"/>
    <w:rsid w:val="00951639"/>
    <w:rsid w:val="00962F71"/>
    <w:rsid w:val="00977246"/>
    <w:rsid w:val="0099578F"/>
    <w:rsid w:val="009C0679"/>
    <w:rsid w:val="009C7F16"/>
    <w:rsid w:val="009C7F29"/>
    <w:rsid w:val="009D2C2D"/>
    <w:rsid w:val="009D751B"/>
    <w:rsid w:val="009E0C86"/>
    <w:rsid w:val="009F46C1"/>
    <w:rsid w:val="00A16C43"/>
    <w:rsid w:val="00A21DA8"/>
    <w:rsid w:val="00A346B7"/>
    <w:rsid w:val="00A37495"/>
    <w:rsid w:val="00A61D17"/>
    <w:rsid w:val="00A650B1"/>
    <w:rsid w:val="00A81F0C"/>
    <w:rsid w:val="00A87B69"/>
    <w:rsid w:val="00AA7E86"/>
    <w:rsid w:val="00AF37DC"/>
    <w:rsid w:val="00B2671F"/>
    <w:rsid w:val="00B2724F"/>
    <w:rsid w:val="00B27B9C"/>
    <w:rsid w:val="00B35B77"/>
    <w:rsid w:val="00B52670"/>
    <w:rsid w:val="00B539BD"/>
    <w:rsid w:val="00B61E5F"/>
    <w:rsid w:val="00B66AEA"/>
    <w:rsid w:val="00B7255B"/>
    <w:rsid w:val="00BB0A1D"/>
    <w:rsid w:val="00BB26D7"/>
    <w:rsid w:val="00BD3433"/>
    <w:rsid w:val="00BD5A27"/>
    <w:rsid w:val="00BD5BB8"/>
    <w:rsid w:val="00BE2E5C"/>
    <w:rsid w:val="00BE6AAA"/>
    <w:rsid w:val="00BF33A6"/>
    <w:rsid w:val="00C01F62"/>
    <w:rsid w:val="00C10FD2"/>
    <w:rsid w:val="00C25443"/>
    <w:rsid w:val="00C421D8"/>
    <w:rsid w:val="00C70F1C"/>
    <w:rsid w:val="00C77C14"/>
    <w:rsid w:val="00C84B7E"/>
    <w:rsid w:val="00C866B8"/>
    <w:rsid w:val="00C92144"/>
    <w:rsid w:val="00CA15D0"/>
    <w:rsid w:val="00CB40F3"/>
    <w:rsid w:val="00CC15CF"/>
    <w:rsid w:val="00CC256E"/>
    <w:rsid w:val="00CC7810"/>
    <w:rsid w:val="00CD7359"/>
    <w:rsid w:val="00CE7716"/>
    <w:rsid w:val="00CF3E07"/>
    <w:rsid w:val="00D0654B"/>
    <w:rsid w:val="00D2114A"/>
    <w:rsid w:val="00D22218"/>
    <w:rsid w:val="00D31360"/>
    <w:rsid w:val="00D364F7"/>
    <w:rsid w:val="00D57B53"/>
    <w:rsid w:val="00D6787E"/>
    <w:rsid w:val="00D9244F"/>
    <w:rsid w:val="00D941BF"/>
    <w:rsid w:val="00D96564"/>
    <w:rsid w:val="00DA3197"/>
    <w:rsid w:val="00DB285C"/>
    <w:rsid w:val="00DB548D"/>
    <w:rsid w:val="00DB63E0"/>
    <w:rsid w:val="00DC2A13"/>
    <w:rsid w:val="00DD271F"/>
    <w:rsid w:val="00DE4529"/>
    <w:rsid w:val="00DE4F4E"/>
    <w:rsid w:val="00DF1104"/>
    <w:rsid w:val="00DF487B"/>
    <w:rsid w:val="00DF6A15"/>
    <w:rsid w:val="00E07A18"/>
    <w:rsid w:val="00E12576"/>
    <w:rsid w:val="00E1589F"/>
    <w:rsid w:val="00E2148D"/>
    <w:rsid w:val="00E33870"/>
    <w:rsid w:val="00E42413"/>
    <w:rsid w:val="00E46B44"/>
    <w:rsid w:val="00E53C41"/>
    <w:rsid w:val="00E5434B"/>
    <w:rsid w:val="00E84CB3"/>
    <w:rsid w:val="00E8533D"/>
    <w:rsid w:val="00E917E5"/>
    <w:rsid w:val="00E92B18"/>
    <w:rsid w:val="00EB47A2"/>
    <w:rsid w:val="00EC43AF"/>
    <w:rsid w:val="00EC5105"/>
    <w:rsid w:val="00F017EC"/>
    <w:rsid w:val="00F1084F"/>
    <w:rsid w:val="00F30FB1"/>
    <w:rsid w:val="00F319CA"/>
    <w:rsid w:val="00F31C51"/>
    <w:rsid w:val="00F32980"/>
    <w:rsid w:val="00F44E8C"/>
    <w:rsid w:val="00F82827"/>
    <w:rsid w:val="00F83687"/>
    <w:rsid w:val="00F83D79"/>
    <w:rsid w:val="00F91F4F"/>
    <w:rsid w:val="00F955A8"/>
    <w:rsid w:val="00FA53B8"/>
    <w:rsid w:val="00FA576D"/>
    <w:rsid w:val="00FD33AF"/>
    <w:rsid w:val="00FE498C"/>
    <w:rsid w:val="00FE4E41"/>
    <w:rsid w:val="00FF31AA"/>
    <w:rsid w:val="00FF6DAE"/>
    <w:rsid w:val="4B10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F6BB057"/>
  <w15:docId w15:val="{F7D00B14-E04B-4829-8A97-DED5D955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qFormat/>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
    <w:name w:val="heading 2"/>
    <w:basedOn w:val="a"/>
    <w:next w:val="a"/>
    <w:link w:val="20"/>
    <w:unhideWhenUsed/>
    <w:qFormat/>
    <w:pPr>
      <w:keepNext/>
      <w:keepLines/>
      <w:spacing w:line="360" w:lineRule="auto"/>
      <w:ind w:firstLineChars="200" w:firstLine="200"/>
      <w:outlineLvl w:val="1"/>
    </w:pPr>
    <w:rPr>
      <w:rFonts w:asciiTheme="majorHAnsi" w:eastAsia="黑体" w:hAnsiTheme="majorHAnsi" w:cstheme="majorBidi"/>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libri Light" w:hAnsi="Calibri Light"/>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Calibri Light" w:hAnsi="Calibri Light"/>
      <w:sz w:val="24"/>
    </w:rPr>
  </w:style>
  <w:style w:type="paragraph" w:styleId="9">
    <w:name w:val="heading 9"/>
    <w:basedOn w:val="a"/>
    <w:next w:val="a"/>
    <w:link w:val="90"/>
    <w:unhideWhenUsed/>
    <w:qFormat/>
    <w:pPr>
      <w:keepNext/>
      <w:keepLines/>
      <w:spacing w:before="240" w:after="64" w:line="320" w:lineRule="auto"/>
      <w:outlineLvl w:val="8"/>
    </w:pPr>
    <w:rPr>
      <w:rFonts w:ascii="等线 Light" w:eastAsia="等线 Light" w:hAnsi="等线 Light"/>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pPr>
      <w:shd w:val="clear" w:color="auto" w:fill="000080"/>
    </w:pPr>
  </w:style>
  <w:style w:type="paragraph" w:styleId="a5">
    <w:name w:val="annotation text"/>
    <w:basedOn w:val="a"/>
    <w:link w:val="a6"/>
    <w:uiPriority w:val="99"/>
    <w:unhideWhenUsed/>
    <w:qFormat/>
    <w:pPr>
      <w:jc w:val="left"/>
    </w:pPr>
    <w:rPr>
      <w:rFonts w:ascii="宋体" w:hAnsi="宋体" w:cs="宋体"/>
      <w:sz w:val="24"/>
    </w:rPr>
  </w:style>
  <w:style w:type="paragraph" w:styleId="a7">
    <w:name w:val="Body Text"/>
    <w:basedOn w:val="a"/>
    <w:link w:val="a8"/>
    <w:qFormat/>
    <w:pPr>
      <w:spacing w:after="120"/>
    </w:pPr>
    <w:rPr>
      <w:rFonts w:eastAsiaTheme="minorEastAsia" w:cstheme="minorBidi"/>
    </w:rPr>
  </w:style>
  <w:style w:type="paragraph" w:styleId="a9">
    <w:name w:val="Plain Text"/>
    <w:basedOn w:val="a"/>
    <w:link w:val="aa"/>
    <w:uiPriority w:val="99"/>
    <w:unhideWhenUsed/>
    <w:qFormat/>
    <w:rPr>
      <w:rFonts w:ascii="宋体" w:hAnsi="Courier New" w:cs="Courier New"/>
      <w:szCs w:val="21"/>
    </w:rPr>
  </w:style>
  <w:style w:type="paragraph" w:styleId="ab">
    <w:name w:val="Date"/>
    <w:basedOn w:val="a"/>
    <w:next w:val="a"/>
    <w:link w:val="ac"/>
    <w:qFormat/>
    <w:pPr>
      <w:ind w:leftChars="2500" w:left="100"/>
    </w:pPr>
    <w:rPr>
      <w:rFonts w:asciiTheme="minorHAnsi" w:eastAsiaTheme="minorEastAsia" w:hAnsiTheme="minorHAnsi" w:cstheme="minorBidi"/>
    </w:rPr>
  </w:style>
  <w:style w:type="paragraph" w:styleId="ad">
    <w:name w:val="Balloon Text"/>
    <w:basedOn w:val="a"/>
    <w:link w:val="ae"/>
    <w:semiHidden/>
    <w:unhideWhenUsed/>
    <w:qFormat/>
    <w:rPr>
      <w:sz w:val="18"/>
      <w:szCs w:val="18"/>
    </w:rPr>
  </w:style>
  <w:style w:type="paragraph" w:styleId="af">
    <w:name w:val="footer"/>
    <w:basedOn w:val="a"/>
    <w:link w:val="af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3">
    <w:name w:val="footnote text"/>
    <w:basedOn w:val="a"/>
    <w:link w:val="af4"/>
    <w:unhideWhenUsed/>
    <w:qFormat/>
    <w:pPr>
      <w:snapToGrid w:val="0"/>
      <w:jc w:val="left"/>
    </w:pPr>
    <w:rPr>
      <w:rFonts w:eastAsia="Adobe 仿宋 Std R"/>
      <w:sz w:val="18"/>
      <w:szCs w:val="18"/>
    </w:rPr>
  </w:style>
  <w:style w:type="paragraph" w:styleId="af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6">
    <w:name w:val="annotation subject"/>
    <w:basedOn w:val="a5"/>
    <w:next w:val="a5"/>
    <w:link w:val="af7"/>
    <w:qFormat/>
    <w:rPr>
      <w:rFonts w:asciiTheme="minorHAnsi" w:eastAsiaTheme="minorEastAsia" w:hAnsiTheme="minorHAnsi" w:cstheme="minorBidi"/>
      <w:b/>
      <w:bCs/>
      <w:sz w:val="21"/>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line number"/>
    <w:qFormat/>
  </w:style>
  <w:style w:type="character" w:styleId="afb">
    <w:name w:val="Hyperlink"/>
    <w:basedOn w:val="a0"/>
    <w:qFormat/>
    <w:rPr>
      <w:color w:val="0000FF"/>
      <w:u w:val="single"/>
    </w:rPr>
  </w:style>
  <w:style w:type="character" w:styleId="afc">
    <w:name w:val="annotation reference"/>
    <w:uiPriority w:val="99"/>
    <w:qFormat/>
    <w:rPr>
      <w:sz w:val="21"/>
      <w:szCs w:val="21"/>
    </w:rPr>
  </w:style>
  <w:style w:type="character" w:styleId="afd">
    <w:name w:val="footnote reference"/>
    <w:unhideWhenUsed/>
    <w:qFormat/>
    <w:rPr>
      <w:vertAlign w:val="superscript"/>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Theme="majorHAnsi" w:eastAsia="黑体" w:hAnsiTheme="majorHAnsi" w:cstheme="majorBidi"/>
      <w:bCs/>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40">
    <w:name w:val="标题 4 字符"/>
    <w:basedOn w:val="a0"/>
    <w:link w:val="4"/>
    <w:rPr>
      <w:rFonts w:ascii="Calibri Light" w:eastAsia="宋体" w:hAnsi="Calibri Light" w:cs="Times New Roman"/>
      <w:b/>
      <w:bCs/>
      <w:sz w:val="28"/>
      <w:szCs w:val="28"/>
    </w:rPr>
  </w:style>
  <w:style w:type="character" w:customStyle="1" w:styleId="50">
    <w:name w:val="标题 5 字符"/>
    <w:basedOn w:val="a0"/>
    <w:link w:val="5"/>
    <w:rPr>
      <w:rFonts w:ascii="Times New Roman" w:eastAsia="宋体" w:hAnsi="Times New Roman" w:cs="Times New Roman"/>
      <w:b/>
      <w:bCs/>
      <w:sz w:val="28"/>
      <w:szCs w:val="28"/>
    </w:rPr>
  </w:style>
  <w:style w:type="character" w:customStyle="1" w:styleId="60">
    <w:name w:val="标题 6 字符"/>
    <w:basedOn w:val="a0"/>
    <w:link w:val="6"/>
    <w:qFormat/>
    <w:rPr>
      <w:rFonts w:ascii="Calibri Light" w:eastAsia="宋体" w:hAnsi="Calibri Light" w:cs="Times New Roman"/>
      <w:b/>
      <w:bCs/>
      <w:sz w:val="24"/>
      <w:szCs w:val="24"/>
    </w:rPr>
  </w:style>
  <w:style w:type="character" w:customStyle="1" w:styleId="70">
    <w:name w:val="标题 7 字符"/>
    <w:basedOn w:val="a0"/>
    <w:link w:val="7"/>
    <w:qFormat/>
    <w:rPr>
      <w:rFonts w:ascii="Times New Roman" w:eastAsia="宋体" w:hAnsi="Times New Roman" w:cs="Times New Roman"/>
      <w:b/>
      <w:bCs/>
      <w:sz w:val="24"/>
      <w:szCs w:val="24"/>
    </w:rPr>
  </w:style>
  <w:style w:type="character" w:customStyle="1" w:styleId="80">
    <w:name w:val="标题 8 字符"/>
    <w:basedOn w:val="a0"/>
    <w:link w:val="8"/>
    <w:qFormat/>
    <w:rPr>
      <w:rFonts w:ascii="Calibri Light" w:eastAsia="宋体" w:hAnsi="Calibri Light" w:cs="Times New Roman"/>
      <w:sz w:val="24"/>
      <w:szCs w:val="24"/>
    </w:rPr>
  </w:style>
  <w:style w:type="character" w:customStyle="1" w:styleId="90">
    <w:name w:val="标题 9 字符"/>
    <w:basedOn w:val="a0"/>
    <w:link w:val="9"/>
    <w:rPr>
      <w:rFonts w:ascii="等线 Light" w:eastAsia="等线 Light" w:hAnsi="等线 Light" w:cs="Times New Roman"/>
      <w:szCs w:val="21"/>
    </w:rPr>
  </w:style>
  <w:style w:type="character" w:customStyle="1" w:styleId="af2">
    <w:name w:val="页眉 字符"/>
    <w:basedOn w:val="a0"/>
    <w:link w:val="af1"/>
    <w:uiPriority w:val="99"/>
    <w:rPr>
      <w:sz w:val="18"/>
      <w:szCs w:val="18"/>
    </w:rPr>
  </w:style>
  <w:style w:type="character" w:customStyle="1" w:styleId="af0">
    <w:name w:val="页脚 字符"/>
    <w:basedOn w:val="a0"/>
    <w:link w:val="af"/>
    <w:uiPriority w:val="99"/>
    <w:qFormat/>
    <w:rPr>
      <w:sz w:val="18"/>
      <w:szCs w:val="18"/>
    </w:rPr>
  </w:style>
  <w:style w:type="character" w:customStyle="1" w:styleId="aa">
    <w:name w:val="纯文本 字符"/>
    <w:basedOn w:val="a0"/>
    <w:link w:val="a9"/>
    <w:uiPriority w:val="99"/>
    <w:qFormat/>
    <w:rPr>
      <w:rFonts w:ascii="宋体" w:eastAsia="宋体" w:hAnsi="Courier New" w:cs="Courier New"/>
      <w:szCs w:val="21"/>
    </w:rPr>
  </w:style>
  <w:style w:type="character" w:customStyle="1" w:styleId="FontStyle47">
    <w:name w:val="Font Style47"/>
    <w:autoRedefine/>
    <w:qFormat/>
    <w:rPr>
      <w:rFonts w:ascii="Times New Roman" w:hAnsi="Times New Roman" w:cs="Times New Roman"/>
      <w:sz w:val="22"/>
      <w:szCs w:val="22"/>
    </w:rPr>
  </w:style>
  <w:style w:type="paragraph" w:styleId="afe">
    <w:name w:val="List Paragraph"/>
    <w:basedOn w:val="a"/>
    <w:autoRedefine/>
    <w:uiPriority w:val="99"/>
    <w:qFormat/>
    <w:pPr>
      <w:ind w:firstLineChars="200" w:firstLine="420"/>
    </w:pPr>
    <w:rPr>
      <w:rFonts w:asciiTheme="minorHAnsi" w:eastAsiaTheme="minorEastAsia" w:hAnsiTheme="minorHAnsi" w:cstheme="minorBidi"/>
      <w:szCs w:val="22"/>
    </w:rPr>
  </w:style>
  <w:style w:type="character" w:customStyle="1" w:styleId="ae">
    <w:name w:val="批注框文本 字符"/>
    <w:basedOn w:val="a0"/>
    <w:link w:val="ad"/>
    <w:uiPriority w:val="99"/>
    <w:semiHidden/>
    <w:rPr>
      <w:rFonts w:ascii="Times New Roman" w:eastAsia="宋体" w:hAnsi="Times New Roman" w:cs="Times New Roman"/>
      <w:sz w:val="18"/>
      <w:szCs w:val="18"/>
    </w:rPr>
  </w:style>
  <w:style w:type="paragraph" w:styleId="aff">
    <w:name w:val="No Spacing"/>
    <w:qFormat/>
    <w:pPr>
      <w:widowControl w:val="0"/>
      <w:jc w:val="both"/>
    </w:pPr>
    <w:rPr>
      <w:rFonts w:ascii="Times New Roman" w:eastAsia="宋体" w:hAnsi="Times New Roman" w:cs="Times New Roman"/>
      <w:kern w:val="2"/>
      <w:sz w:val="21"/>
      <w:szCs w:val="24"/>
    </w:rPr>
  </w:style>
  <w:style w:type="paragraph" w:customStyle="1" w:styleId="21">
    <w:name w:val="列出段落2"/>
    <w:basedOn w:val="a"/>
    <w:qFormat/>
    <w:pPr>
      <w:widowControl/>
      <w:ind w:firstLineChars="200" w:firstLine="420"/>
      <w:jc w:val="left"/>
    </w:pPr>
    <w:rPr>
      <w:rFonts w:ascii="宋体" w:hAnsi="宋体" w:cs="宋体"/>
      <w:kern w:val="0"/>
      <w:sz w:val="24"/>
    </w:rPr>
  </w:style>
  <w:style w:type="character" w:customStyle="1" w:styleId="a6">
    <w:name w:val="批注文字 字符"/>
    <w:basedOn w:val="a0"/>
    <w:link w:val="a5"/>
    <w:qFormat/>
    <w:rPr>
      <w:rFonts w:ascii="宋体" w:eastAsia="宋体" w:hAnsi="宋体" w:cs="宋体"/>
      <w:sz w:val="24"/>
      <w:szCs w:val="24"/>
    </w:rPr>
  </w:style>
  <w:style w:type="paragraph" w:customStyle="1" w:styleId="11">
    <w:name w:val="列出段落1"/>
    <w:basedOn w:val="a"/>
    <w:qFormat/>
    <w:pPr>
      <w:ind w:firstLineChars="200" w:firstLine="420"/>
    </w:pPr>
    <w:rPr>
      <w:rFonts w:ascii="Calibri" w:hAnsi="Calibri" w:cs="黑体"/>
      <w:szCs w:val="22"/>
    </w:rPr>
  </w:style>
  <w:style w:type="character" w:customStyle="1" w:styleId="ac">
    <w:name w:val="日期 字符"/>
    <w:link w:val="ab"/>
    <w:qFormat/>
    <w:rPr>
      <w:szCs w:val="24"/>
    </w:rPr>
  </w:style>
  <w:style w:type="character" w:customStyle="1" w:styleId="af7">
    <w:name w:val="批注主题 字符"/>
    <w:link w:val="af6"/>
    <w:qFormat/>
    <w:rPr>
      <w:b/>
      <w:bCs/>
      <w:szCs w:val="24"/>
    </w:rPr>
  </w:style>
  <w:style w:type="character" w:customStyle="1" w:styleId="a8">
    <w:name w:val="正文文本 字符"/>
    <w:link w:val="a7"/>
    <w:qFormat/>
    <w:rPr>
      <w:rFonts w:ascii="Times New Roman" w:hAnsi="Times New Roman"/>
      <w:szCs w:val="24"/>
    </w:rPr>
  </w:style>
  <w:style w:type="character" w:customStyle="1" w:styleId="a4">
    <w:name w:val="文档结构图 字符"/>
    <w:basedOn w:val="a0"/>
    <w:link w:val="a3"/>
    <w:semiHidden/>
    <w:rPr>
      <w:rFonts w:ascii="Times New Roman" w:eastAsia="宋体" w:hAnsi="Times New Roman" w:cs="Times New Roman"/>
      <w:szCs w:val="24"/>
      <w:shd w:val="clear" w:color="auto" w:fill="000080"/>
    </w:rPr>
  </w:style>
  <w:style w:type="character" w:customStyle="1" w:styleId="12">
    <w:name w:val="日期 字符1"/>
    <w:basedOn w:val="a0"/>
    <w:uiPriority w:val="99"/>
    <w:semiHidden/>
    <w:rPr>
      <w:rFonts w:ascii="Times New Roman" w:eastAsia="宋体" w:hAnsi="Times New Roman" w:cs="Times New Roman"/>
      <w:szCs w:val="24"/>
    </w:rPr>
  </w:style>
  <w:style w:type="character" w:customStyle="1" w:styleId="13">
    <w:name w:val="正文文本 字符1"/>
    <w:basedOn w:val="a0"/>
    <w:uiPriority w:val="99"/>
    <w:semiHidden/>
    <w:rPr>
      <w:rFonts w:ascii="Times New Roman" w:eastAsia="宋体" w:hAnsi="Times New Roman" w:cs="Times New Roman"/>
      <w:szCs w:val="24"/>
    </w:rPr>
  </w:style>
  <w:style w:type="character" w:customStyle="1" w:styleId="14">
    <w:name w:val="批注主题 字符1"/>
    <w:basedOn w:val="a6"/>
    <w:uiPriority w:val="99"/>
    <w:semiHidden/>
    <w:rPr>
      <w:rFonts w:ascii="Times New Roman" w:eastAsia="宋体" w:hAnsi="Times New Roman" w:cs="Times New Roman"/>
      <w:b/>
      <w:bCs/>
      <w:sz w:val="24"/>
      <w:szCs w:val="24"/>
    </w:rPr>
  </w:style>
  <w:style w:type="paragraph" w:customStyle="1" w:styleId="15">
    <w:name w:val="修订1"/>
    <w:hidden/>
    <w:uiPriority w:val="99"/>
    <w:unhideWhenUsed/>
    <w:rPr>
      <w:rFonts w:ascii="Times New Roman" w:eastAsia="宋体" w:hAnsi="Times New Roman" w:cs="Times New Roman"/>
      <w:kern w:val="2"/>
      <w:sz w:val="21"/>
      <w:szCs w:val="24"/>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paragraph" w:customStyle="1" w:styleId="Web">
    <w:name w:val="普通(Web)"/>
    <w:basedOn w:val="a"/>
    <w:qFormat/>
    <w:pPr>
      <w:widowControl/>
      <w:spacing w:before="100" w:beforeAutospacing="1" w:after="100" w:afterAutospacing="1"/>
      <w:jc w:val="left"/>
    </w:pPr>
    <w:rPr>
      <w:rFonts w:ascii="宋体" w:hAnsi="宋体"/>
      <w:color w:val="000000"/>
      <w:kern w:val="0"/>
      <w:sz w:val="24"/>
    </w:rPr>
  </w:style>
  <w:style w:type="character" w:customStyle="1" w:styleId="af4">
    <w:name w:val="脚注文本 字符"/>
    <w:basedOn w:val="a0"/>
    <w:link w:val="af3"/>
    <w:uiPriority w:val="99"/>
    <w:semiHidden/>
    <w:rPr>
      <w:rFonts w:ascii="Times New Roman" w:eastAsia="Adobe 仿宋 Std R" w:hAnsi="Times New Roman" w:cs="Times New Roman"/>
      <w:sz w:val="18"/>
      <w:szCs w:val="18"/>
    </w:rPr>
  </w:style>
  <w:style w:type="character" w:customStyle="1" w:styleId="Char">
    <w:name w:val="批注文字 Char"/>
    <w:uiPriority w:val="99"/>
    <w:rPr>
      <w:rFonts w:ascii="Times New Roman" w:hAnsi="Times New Roman"/>
      <w:kern w:val="2"/>
      <w:sz w:val="21"/>
      <w:szCs w:val="24"/>
    </w:rPr>
  </w:style>
  <w:style w:type="character" w:customStyle="1" w:styleId="aff0">
    <w:name w:val="无"/>
  </w:style>
  <w:style w:type="character" w:styleId="aff1">
    <w:name w:val="Placeholder Text"/>
    <w:basedOn w:val="a0"/>
    <w:uiPriority w:val="99"/>
    <w:semiHidden/>
    <w:rsid w:val="00560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3285-2C38-4E00-B8D7-D90F73A3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1350</Characters>
  <Application>Microsoft Office Word</Application>
  <DocSecurity>0</DocSecurity>
  <Lines>11</Lines>
  <Paragraphs>3</Paragraphs>
  <ScaleCrop>false</ScaleCrop>
  <Company>神州网信技术有限公司</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dc:creator>
  <cp:lastModifiedBy>高田</cp:lastModifiedBy>
  <cp:revision>4</cp:revision>
  <cp:lastPrinted>2025-11-03T02:49:00Z</cp:lastPrinted>
  <dcterms:created xsi:type="dcterms:W3CDTF">2026-03-04T00:43:00Z</dcterms:created>
  <dcterms:modified xsi:type="dcterms:W3CDTF">2026-03-09T01:10:00Z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eyJoZGlkIjoiYzBiNDNhNGQyZTY2YjQ1ZjA4NTA4MTFkOTkzZmI3ZmUifQ==</vt:lpwstr>
  </property>
  <property fmtid="{D5CDD505-2E9C-101B-9397-08002B2CF9AE}" pid="3" name="KSOProductBuildVer">
    <vt:lpwstr>2052-12.1.0.23125</vt:lpwstr>
  </property>
  <property fmtid="{D5CDD505-2E9C-101B-9397-08002B2CF9AE}" pid="4" name="ICV">
    <vt:lpwstr>1FCE2895B7C64DBAB8685E558E435CC0_13</vt:lpwstr>
  </property>
</Properties>
</file>