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961CC" w14:textId="77777777" w:rsidR="00AA29E2" w:rsidRDefault="00434E16">
      <w:pPr>
        <w:snapToGrid w:val="0"/>
        <w:jc w:val="center"/>
        <w:rPr>
          <w:rFonts w:ascii="Times New Roman" w:eastAsia="方正小标宋简体" w:hAnsi="Times New Roman"/>
          <w:color w:val="000000"/>
          <w:sz w:val="44"/>
          <w:szCs w:val="44"/>
        </w:rPr>
      </w:pPr>
      <w:proofErr w:type="gramStart"/>
      <w:r>
        <w:rPr>
          <w:rFonts w:ascii="Times New Roman" w:eastAsia="方正小标宋简体" w:hAnsi="Times New Roman"/>
          <w:color w:val="000000"/>
          <w:sz w:val="44"/>
          <w:szCs w:val="44"/>
        </w:rPr>
        <w:t>增材制造</w:t>
      </w:r>
      <w:proofErr w:type="gramEnd"/>
      <w:r>
        <w:rPr>
          <w:rFonts w:ascii="Times New Roman" w:eastAsia="方正小标宋简体" w:hAnsi="Times New Roman"/>
          <w:color w:val="000000"/>
          <w:sz w:val="44"/>
          <w:szCs w:val="44"/>
        </w:rPr>
        <w:t>生物陶瓷骨填充材料</w:t>
      </w:r>
    </w:p>
    <w:p w14:paraId="633CA9D0" w14:textId="10068118" w:rsidR="00E55395" w:rsidRDefault="004A441A">
      <w:pPr>
        <w:snapToGrid w:val="0"/>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技术</w:t>
      </w:r>
      <w:r w:rsidR="00434E16">
        <w:rPr>
          <w:rFonts w:ascii="Times New Roman" w:eastAsia="方正小标宋简体" w:hAnsi="Times New Roman"/>
          <w:color w:val="000000"/>
          <w:sz w:val="44"/>
          <w:szCs w:val="44"/>
        </w:rPr>
        <w:t>审评要点</w:t>
      </w:r>
    </w:p>
    <w:p w14:paraId="294B8AC6" w14:textId="6126EAF2" w:rsidR="00E55395" w:rsidRDefault="00434E16">
      <w:pPr>
        <w:snapToGrid w:val="0"/>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（征求意见稿）</w:t>
      </w:r>
    </w:p>
    <w:p w14:paraId="2D102693" w14:textId="77777777" w:rsidR="004A441A" w:rsidRDefault="004A441A">
      <w:pPr>
        <w:snapToGrid w:val="0"/>
        <w:jc w:val="center"/>
        <w:rPr>
          <w:rFonts w:ascii="Times New Roman" w:eastAsia="方正小标宋简体" w:hAnsi="Times New Roman" w:hint="eastAsia"/>
          <w:color w:val="000000"/>
          <w:sz w:val="44"/>
          <w:szCs w:val="44"/>
        </w:rPr>
      </w:pPr>
    </w:p>
    <w:p w14:paraId="24997E90" w14:textId="59B3E703" w:rsidR="00AA29E2" w:rsidRDefault="00AA29E2" w:rsidP="004A441A">
      <w:pPr>
        <w:snapToGrid w:val="0"/>
        <w:spacing w:line="520" w:lineRule="exact"/>
        <w:ind w:firstLineChars="200" w:firstLine="640"/>
        <w:rPr>
          <w:rFonts w:ascii="Times New Roman" w:eastAsia="仿宋_GB2312" w:hAnsi="Times New Roman"/>
          <w:kern w:val="0"/>
          <w:sz w:val="32"/>
          <w:szCs w:val="32"/>
        </w:rPr>
      </w:pPr>
      <w:r w:rsidRPr="00E916C7">
        <w:rPr>
          <w:rFonts w:ascii="Times New Roman" w:eastAsia="仿宋_GB2312" w:hAnsi="Times New Roman" w:hint="eastAsia"/>
          <w:kern w:val="0"/>
          <w:sz w:val="32"/>
          <w:szCs w:val="32"/>
        </w:rPr>
        <w:t>本审评</w:t>
      </w:r>
      <w:r w:rsidRPr="007F5C08">
        <w:rPr>
          <w:rFonts w:ascii="Times New Roman" w:eastAsia="仿宋_GB2312" w:hAnsi="Times New Roman" w:hint="eastAsia"/>
          <w:kern w:val="0"/>
          <w:sz w:val="32"/>
          <w:szCs w:val="32"/>
        </w:rPr>
        <w:t>要点</w:t>
      </w:r>
      <w:proofErr w:type="gramStart"/>
      <w:r w:rsidRPr="007F5C08">
        <w:rPr>
          <w:rFonts w:ascii="Times New Roman" w:eastAsia="仿宋_GB2312" w:hAnsi="Times New Roman" w:hint="eastAsia"/>
          <w:kern w:val="0"/>
          <w:sz w:val="32"/>
          <w:szCs w:val="32"/>
        </w:rPr>
        <w:t>是</w:t>
      </w:r>
      <w:r w:rsidRPr="00AA29E2">
        <w:rPr>
          <w:rFonts w:ascii="Times New Roman" w:eastAsia="仿宋_GB2312" w:hAnsi="Times New Roman"/>
          <w:kern w:val="0"/>
          <w:sz w:val="32"/>
          <w:szCs w:val="32"/>
        </w:rPr>
        <w:t>增材制造</w:t>
      </w:r>
      <w:proofErr w:type="gramEnd"/>
      <w:r w:rsidRPr="00AA29E2">
        <w:rPr>
          <w:rFonts w:ascii="Times New Roman" w:eastAsia="仿宋_GB2312" w:hAnsi="Times New Roman"/>
          <w:kern w:val="0"/>
          <w:sz w:val="32"/>
          <w:szCs w:val="32"/>
        </w:rPr>
        <w:t>生物陶瓷骨填充材料</w:t>
      </w:r>
      <w:r w:rsidRPr="00AA29E2">
        <w:rPr>
          <w:rFonts w:ascii="Times New Roman" w:eastAsia="仿宋_GB2312" w:hAnsi="Times New Roman" w:hint="eastAsia"/>
          <w:kern w:val="0"/>
          <w:sz w:val="32"/>
          <w:szCs w:val="32"/>
        </w:rPr>
        <w:t>安全性、有效性</w:t>
      </w:r>
      <w:r w:rsidRPr="00AA29E2">
        <w:rPr>
          <w:rFonts w:ascii="Times New Roman" w:eastAsia="仿宋_GB2312" w:hAnsi="Times New Roman"/>
          <w:kern w:val="0"/>
          <w:sz w:val="32"/>
          <w:szCs w:val="32"/>
        </w:rPr>
        <w:t>和质量控制方面有重要影响的技术要求</w:t>
      </w:r>
      <w:r w:rsidRPr="00AA29E2">
        <w:rPr>
          <w:rFonts w:ascii="Times New Roman" w:eastAsia="仿宋_GB2312" w:hAnsi="Times New Roman" w:hint="eastAsia"/>
          <w:kern w:val="0"/>
          <w:sz w:val="32"/>
          <w:szCs w:val="32"/>
        </w:rPr>
        <w:t>/</w:t>
      </w:r>
      <w:r w:rsidRPr="00AA29E2">
        <w:rPr>
          <w:rFonts w:ascii="Times New Roman" w:eastAsia="仿宋_GB2312" w:hAnsi="Times New Roman" w:hint="eastAsia"/>
          <w:kern w:val="0"/>
          <w:sz w:val="32"/>
          <w:szCs w:val="32"/>
        </w:rPr>
        <w:t>审评</w:t>
      </w:r>
      <w:r w:rsidRPr="00AA29E2">
        <w:rPr>
          <w:rFonts w:ascii="Times New Roman" w:eastAsia="仿宋_GB2312" w:hAnsi="Times New Roman"/>
          <w:kern w:val="0"/>
          <w:sz w:val="32"/>
          <w:szCs w:val="32"/>
        </w:rPr>
        <w:t>共识</w:t>
      </w:r>
      <w:r w:rsidRPr="00AA29E2">
        <w:rPr>
          <w:rFonts w:ascii="Times New Roman" w:eastAsia="仿宋_GB2312" w:hAnsi="Times New Roman" w:hint="eastAsia"/>
          <w:kern w:val="0"/>
          <w:sz w:val="32"/>
          <w:szCs w:val="32"/>
        </w:rPr>
        <w:t>的</w:t>
      </w:r>
      <w:r w:rsidRPr="00AA29E2">
        <w:rPr>
          <w:rFonts w:ascii="Times New Roman" w:eastAsia="仿宋_GB2312" w:hAnsi="Times New Roman"/>
          <w:kern w:val="0"/>
          <w:sz w:val="32"/>
          <w:szCs w:val="32"/>
        </w:rPr>
        <w:t>文件</w:t>
      </w:r>
      <w:r w:rsidRPr="00AA29E2">
        <w:rPr>
          <w:rFonts w:ascii="Times New Roman" w:eastAsia="仿宋_GB2312" w:hAnsi="Times New Roman" w:hint="eastAsia"/>
          <w:kern w:val="0"/>
          <w:sz w:val="32"/>
          <w:szCs w:val="32"/>
        </w:rPr>
        <w:t>，</w:t>
      </w:r>
      <w:r w:rsidRPr="00AA29E2">
        <w:rPr>
          <w:rFonts w:ascii="Times New Roman" w:eastAsia="仿宋_GB2312" w:hAnsi="Times New Roman"/>
          <w:kern w:val="0"/>
          <w:sz w:val="32"/>
          <w:szCs w:val="32"/>
        </w:rPr>
        <w:t>通</w:t>
      </w:r>
      <w:r w:rsidRPr="007F5C08">
        <w:rPr>
          <w:rFonts w:ascii="Times New Roman" w:eastAsia="仿宋_GB2312" w:hAnsi="Times New Roman"/>
          <w:sz w:val="32"/>
        </w:rPr>
        <w:t>过</w:t>
      </w:r>
      <w:r>
        <w:rPr>
          <w:rFonts w:ascii="Times New Roman" w:eastAsia="仿宋_GB2312" w:hAnsi="Times New Roman" w:hint="eastAsia"/>
          <w:sz w:val="32"/>
        </w:rPr>
        <w:t>综合</w:t>
      </w:r>
      <w:proofErr w:type="gramStart"/>
      <w:r>
        <w:rPr>
          <w:rFonts w:ascii="Times New Roman" w:eastAsia="仿宋_GB2312" w:hAnsi="Times New Roman" w:hint="eastAsia"/>
          <w:sz w:val="32"/>
        </w:rPr>
        <w:t>分析</w:t>
      </w:r>
      <w:r w:rsidRPr="00AA29E2">
        <w:rPr>
          <w:rFonts w:ascii="Times New Roman" w:eastAsia="仿宋_GB2312" w:hAnsi="Times New Roman"/>
          <w:sz w:val="32"/>
        </w:rPr>
        <w:t>增材制造</w:t>
      </w:r>
      <w:proofErr w:type="gramEnd"/>
      <w:r w:rsidRPr="00AA29E2">
        <w:rPr>
          <w:rFonts w:ascii="Times New Roman" w:eastAsia="仿宋_GB2312" w:hAnsi="Times New Roman"/>
          <w:sz w:val="32"/>
        </w:rPr>
        <w:t>生物陶瓷骨填充材料</w:t>
      </w:r>
      <w:r w:rsidRPr="00AA29E2">
        <w:rPr>
          <w:rFonts w:ascii="Times New Roman" w:eastAsia="仿宋_GB2312" w:hAnsi="Times New Roman" w:hint="eastAsia"/>
          <w:sz w:val="32"/>
        </w:rPr>
        <w:t>的风险和受益</w:t>
      </w:r>
      <w:r w:rsidRPr="007F5C08">
        <w:rPr>
          <w:rFonts w:ascii="Times New Roman" w:eastAsia="仿宋_GB2312" w:hAnsi="Times New Roman"/>
          <w:sz w:val="32"/>
        </w:rPr>
        <w:t>信息和</w:t>
      </w:r>
      <w:r>
        <w:rPr>
          <w:rFonts w:ascii="Times New Roman" w:eastAsia="仿宋_GB2312" w:hAnsi="Times New Roman" w:hint="eastAsia"/>
          <w:sz w:val="32"/>
        </w:rPr>
        <w:t>相关</w:t>
      </w:r>
      <w:r w:rsidRPr="007F5C08">
        <w:rPr>
          <w:rFonts w:ascii="Times New Roman" w:eastAsia="仿宋_GB2312" w:hAnsi="Times New Roman"/>
          <w:sz w:val="32"/>
        </w:rPr>
        <w:t>领域</w:t>
      </w:r>
      <w:r>
        <w:rPr>
          <w:rFonts w:ascii="Times New Roman" w:eastAsia="仿宋_GB2312" w:hAnsi="Times New Roman" w:hint="eastAsia"/>
          <w:sz w:val="32"/>
        </w:rPr>
        <w:t>的科学研究</w:t>
      </w:r>
      <w:r w:rsidRPr="007F5C08">
        <w:rPr>
          <w:rFonts w:ascii="Times New Roman" w:eastAsia="仿宋_GB2312" w:hAnsi="Times New Roman"/>
          <w:sz w:val="32"/>
        </w:rPr>
        <w:t>，提炼</w:t>
      </w:r>
      <w:r>
        <w:rPr>
          <w:rFonts w:ascii="Times New Roman" w:eastAsia="仿宋_GB2312" w:hAnsi="Times New Roman" w:hint="eastAsia"/>
          <w:sz w:val="32"/>
        </w:rPr>
        <w:t>汇总为本文件，</w:t>
      </w:r>
      <w:r w:rsidRPr="000576DD">
        <w:rPr>
          <w:rFonts w:ascii="Times New Roman" w:eastAsia="仿宋_GB2312" w:hAnsi="Times New Roman"/>
          <w:sz w:val="32"/>
        </w:rPr>
        <w:t>用于规范技术审评工作</w:t>
      </w:r>
      <w:r>
        <w:rPr>
          <w:rFonts w:ascii="Times New Roman" w:eastAsia="仿宋_GB2312" w:hAnsi="Times New Roman" w:hint="eastAsia"/>
          <w:sz w:val="32"/>
        </w:rPr>
        <w:t>，统一技术审评尺度</w:t>
      </w:r>
      <w:r w:rsidRPr="000576DD">
        <w:rPr>
          <w:rFonts w:ascii="Times New Roman" w:eastAsia="仿宋_GB2312" w:hAnsi="Times New Roman"/>
          <w:sz w:val="32"/>
        </w:rPr>
        <w:t>。</w:t>
      </w:r>
    </w:p>
    <w:p w14:paraId="2F991163" w14:textId="4E4822FA" w:rsidR="00AA29E2" w:rsidRDefault="00AA29E2" w:rsidP="004A441A">
      <w:pPr>
        <w:spacing w:line="520" w:lineRule="exact"/>
        <w:ind w:firstLineChars="200" w:firstLine="640"/>
        <w:rPr>
          <w:rFonts w:ascii="Times New Roman" w:eastAsia="仿宋_GB2312" w:hAnsi="Times New Roman"/>
          <w:sz w:val="32"/>
        </w:rPr>
      </w:pPr>
      <w:r w:rsidRPr="00E916C7">
        <w:rPr>
          <w:rFonts w:ascii="Times New Roman" w:eastAsia="仿宋_GB2312" w:hAnsi="Times New Roman" w:hint="eastAsia"/>
          <w:kern w:val="0"/>
          <w:sz w:val="32"/>
          <w:szCs w:val="32"/>
        </w:rPr>
        <w:t>本审评</w:t>
      </w:r>
      <w:r w:rsidRPr="007F5C08">
        <w:rPr>
          <w:rFonts w:ascii="Times New Roman" w:eastAsia="仿宋_GB2312" w:hAnsi="Times New Roman" w:hint="eastAsia"/>
          <w:kern w:val="0"/>
          <w:sz w:val="32"/>
          <w:szCs w:val="32"/>
        </w:rPr>
        <w:t>要点</w:t>
      </w:r>
      <w:r>
        <w:rPr>
          <w:rFonts w:ascii="Times New Roman" w:eastAsia="仿宋_GB2312" w:hAnsi="Times New Roman" w:hint="eastAsia"/>
          <w:kern w:val="0"/>
          <w:sz w:val="32"/>
          <w:szCs w:val="32"/>
        </w:rPr>
        <w:t>是</w:t>
      </w:r>
      <w:proofErr w:type="gramStart"/>
      <w:r>
        <w:rPr>
          <w:rFonts w:ascii="Times New Roman" w:eastAsia="仿宋_GB2312" w:hAnsi="Times New Roman" w:hint="eastAsia"/>
          <w:kern w:val="0"/>
          <w:sz w:val="32"/>
          <w:szCs w:val="32"/>
        </w:rPr>
        <w:t>对</w:t>
      </w:r>
      <w:r w:rsidRPr="00AA29E2">
        <w:rPr>
          <w:rFonts w:ascii="Times New Roman" w:eastAsia="仿宋_GB2312" w:hAnsi="Times New Roman"/>
          <w:kern w:val="0"/>
          <w:sz w:val="32"/>
          <w:szCs w:val="32"/>
        </w:rPr>
        <w:t>增材制造</w:t>
      </w:r>
      <w:proofErr w:type="gramEnd"/>
      <w:r w:rsidRPr="00AA29E2">
        <w:rPr>
          <w:rFonts w:ascii="Times New Roman" w:eastAsia="仿宋_GB2312" w:hAnsi="Times New Roman"/>
          <w:kern w:val="0"/>
          <w:sz w:val="32"/>
          <w:szCs w:val="32"/>
        </w:rPr>
        <w:t>生物陶瓷骨填充材料</w:t>
      </w:r>
      <w:r>
        <w:rPr>
          <w:rFonts w:ascii="Times New Roman" w:eastAsia="仿宋_GB2312" w:hAnsi="Times New Roman" w:hint="eastAsia"/>
          <w:kern w:val="0"/>
          <w:sz w:val="32"/>
          <w:szCs w:val="32"/>
        </w:rPr>
        <w:t>预期能达到安全和性能指标的验证</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确认要求，</w:t>
      </w:r>
      <w:proofErr w:type="gramStart"/>
      <w:r>
        <w:rPr>
          <w:rFonts w:ascii="Times New Roman" w:eastAsia="仿宋_GB2312" w:hAnsi="Times New Roman" w:hint="eastAsia"/>
          <w:kern w:val="0"/>
          <w:sz w:val="32"/>
          <w:szCs w:val="32"/>
        </w:rPr>
        <w:t>供注册</w:t>
      </w:r>
      <w:proofErr w:type="gramEnd"/>
      <w:r>
        <w:rPr>
          <w:rFonts w:ascii="Times New Roman" w:eastAsia="仿宋_GB2312" w:hAnsi="Times New Roman" w:hint="eastAsia"/>
          <w:kern w:val="0"/>
          <w:sz w:val="32"/>
          <w:szCs w:val="32"/>
        </w:rPr>
        <w:t>申请人准备注册申报资料的指导性文件，但不包括注册审批所涉及的行政事项，亦不作为法规强制执行，需在遵循</w:t>
      </w:r>
      <w:r w:rsidRPr="000576DD">
        <w:rPr>
          <w:rFonts w:ascii="Times New Roman" w:eastAsia="仿宋_GB2312" w:hAnsi="Times New Roman" w:hint="eastAsia"/>
          <w:sz w:val="32"/>
        </w:rPr>
        <w:t>法律规章</w:t>
      </w:r>
      <w:r>
        <w:rPr>
          <w:rFonts w:ascii="Times New Roman" w:eastAsia="仿宋_GB2312" w:hAnsi="Times New Roman" w:hint="eastAsia"/>
          <w:sz w:val="32"/>
        </w:rPr>
        <w:t>、</w:t>
      </w:r>
      <w:r w:rsidRPr="000576DD">
        <w:rPr>
          <w:rFonts w:ascii="Times New Roman" w:eastAsia="仿宋_GB2312" w:hAnsi="Times New Roman" w:hint="eastAsia"/>
          <w:sz w:val="32"/>
        </w:rPr>
        <w:t>规范性文件</w:t>
      </w:r>
      <w:r>
        <w:rPr>
          <w:rFonts w:ascii="Times New Roman" w:eastAsia="仿宋_GB2312" w:hAnsi="Times New Roman" w:hint="eastAsia"/>
          <w:sz w:val="32"/>
        </w:rPr>
        <w:t>和强制性医疗器械标准的前提下，结合产品的具体特性，使用本审评要点。</w:t>
      </w:r>
    </w:p>
    <w:p w14:paraId="52178B38" w14:textId="7D9B623D" w:rsidR="00E55395" w:rsidRPr="00AA29E2" w:rsidRDefault="00AA29E2" w:rsidP="004A441A">
      <w:pPr>
        <w:spacing w:line="520" w:lineRule="exact"/>
        <w:ind w:firstLineChars="200" w:firstLine="640"/>
        <w:rPr>
          <w:rFonts w:ascii="Times New Roman" w:eastAsia="仿宋_GB2312" w:hAnsi="Times New Roman"/>
          <w:sz w:val="32"/>
        </w:rPr>
      </w:pPr>
      <w:r>
        <w:rPr>
          <w:rFonts w:ascii="Times New Roman" w:eastAsia="仿宋_GB2312" w:hAnsi="Times New Roman" w:hint="eastAsia"/>
          <w:sz w:val="32"/>
        </w:rPr>
        <w:t>本审评要点是在当前认知水平下制定的。随着技术审评经验的积累和科学技术的不断发展，本审评要点的相关内容也将适时地调整或及时转化为注册审查指导原则。</w:t>
      </w:r>
    </w:p>
    <w:p w14:paraId="6C44D382" w14:textId="77777777" w:rsidR="00E55395" w:rsidRDefault="00434E16">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一、适用范围</w:t>
      </w:r>
    </w:p>
    <w:p w14:paraId="27731F35"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该要点</w:t>
      </w:r>
      <w:proofErr w:type="gramStart"/>
      <w:r>
        <w:rPr>
          <w:rFonts w:ascii="Times New Roman" w:eastAsia="仿宋_GB2312" w:hAnsi="Times New Roman"/>
          <w:color w:val="000000"/>
          <w:sz w:val="32"/>
          <w:szCs w:val="32"/>
        </w:rPr>
        <w:t>适用于增材制造</w:t>
      </w:r>
      <w:proofErr w:type="gramEnd"/>
      <w:r>
        <w:rPr>
          <w:rFonts w:ascii="Times New Roman" w:eastAsia="仿宋_GB2312" w:hAnsi="Times New Roman"/>
          <w:color w:val="000000"/>
          <w:sz w:val="32"/>
          <w:szCs w:val="32"/>
        </w:rPr>
        <w:t>生物陶瓷骨填充材料。适用于骨科创伤以及手术引起的非承力部位的骨缺损的填充。根据《医疗器械分类目录》，分类编码为</w:t>
      </w:r>
      <w:r>
        <w:rPr>
          <w:rFonts w:ascii="Times New Roman" w:eastAsia="仿宋_GB2312" w:hAnsi="Times New Roman"/>
          <w:color w:val="000000"/>
          <w:sz w:val="32"/>
          <w:szCs w:val="32"/>
        </w:rPr>
        <w:t>13-05-02</w:t>
      </w:r>
      <w:r>
        <w:rPr>
          <w:rFonts w:ascii="Times New Roman" w:eastAsia="仿宋_GB2312" w:hAnsi="Times New Roman"/>
          <w:color w:val="000000"/>
          <w:sz w:val="32"/>
          <w:szCs w:val="32"/>
        </w:rPr>
        <w:t>，管理类别为</w:t>
      </w:r>
      <w:r>
        <w:rPr>
          <w:rFonts w:ascii="Times New Roman" w:eastAsia="仿宋_GB2312" w:hAnsi="Times New Roman" w:hint="eastAsia"/>
          <w:color w:val="000000"/>
          <w:sz w:val="32"/>
          <w:szCs w:val="32"/>
        </w:rPr>
        <w:t>Ⅲ</w:t>
      </w:r>
      <w:r>
        <w:rPr>
          <w:rFonts w:ascii="Times New Roman" w:eastAsia="仿宋_GB2312" w:hAnsi="Times New Roman"/>
          <w:color w:val="000000"/>
          <w:sz w:val="32"/>
          <w:szCs w:val="32"/>
        </w:rPr>
        <w:t>类。</w:t>
      </w:r>
    </w:p>
    <w:p w14:paraId="06810D33"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该要点中的生物陶瓷材料为人工合成的磷酸钙类生物陶瓷（如羟基磷灰石、</w:t>
      </w:r>
      <w:r>
        <w:rPr>
          <w:rFonts w:ascii="Times New Roman" w:eastAsia="仿宋_GB2312" w:hAnsi="Times New Roman"/>
          <w:color w:val="000000"/>
          <w:sz w:val="32"/>
          <w:szCs w:val="32"/>
        </w:rPr>
        <w:t>β-</w:t>
      </w:r>
      <w:r>
        <w:rPr>
          <w:rFonts w:ascii="Times New Roman" w:eastAsia="仿宋_GB2312" w:hAnsi="Times New Roman"/>
          <w:color w:val="000000"/>
          <w:sz w:val="32"/>
          <w:szCs w:val="32"/>
        </w:rPr>
        <w:t>磷酸三钙等），采用的成型方式</w:t>
      </w:r>
      <w:proofErr w:type="gramStart"/>
      <w:r>
        <w:rPr>
          <w:rFonts w:ascii="Times New Roman" w:eastAsia="仿宋_GB2312" w:hAnsi="Times New Roman"/>
          <w:color w:val="000000"/>
          <w:sz w:val="32"/>
          <w:szCs w:val="32"/>
        </w:rPr>
        <w:t>为增</w:t>
      </w:r>
      <w:r>
        <w:rPr>
          <w:rFonts w:ascii="Times New Roman" w:eastAsia="仿宋_GB2312" w:hAnsi="Times New Roman"/>
          <w:color w:val="000000"/>
          <w:sz w:val="32"/>
          <w:szCs w:val="32"/>
        </w:rPr>
        <w:lastRenderedPageBreak/>
        <w:t>材制造</w:t>
      </w:r>
      <w:proofErr w:type="gramEnd"/>
      <w:r>
        <w:rPr>
          <w:rFonts w:ascii="Times New Roman" w:eastAsia="仿宋_GB2312" w:hAnsi="Times New Roman"/>
          <w:color w:val="000000"/>
          <w:sz w:val="32"/>
          <w:szCs w:val="32"/>
        </w:rPr>
        <w:t>，如非熔融挤出打印（低温沉积打印、常温挤出式打印）等，不包括含有药物成分、细胞、组织等生物活性物质的生物活性骨填充材料。</w:t>
      </w:r>
    </w:p>
    <w:p w14:paraId="1FE401F2" w14:textId="77777777" w:rsidR="00E55395" w:rsidRDefault="00434E16">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二、产品简介</w:t>
      </w:r>
    </w:p>
    <w:p w14:paraId="092B5F09"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产品以羟基磷灰石或</w:t>
      </w:r>
      <w:r>
        <w:rPr>
          <w:rFonts w:ascii="Times New Roman" w:eastAsia="仿宋_GB2312" w:hAnsi="Times New Roman"/>
          <w:color w:val="000000"/>
          <w:sz w:val="32"/>
          <w:szCs w:val="32"/>
        </w:rPr>
        <w:t>β-</w:t>
      </w:r>
      <w:r>
        <w:rPr>
          <w:rFonts w:ascii="Times New Roman" w:eastAsia="仿宋_GB2312" w:hAnsi="Times New Roman"/>
          <w:color w:val="000000"/>
          <w:sz w:val="32"/>
          <w:szCs w:val="32"/>
        </w:rPr>
        <w:t>磷酸三钙或二者复合材料为主要材料，</w:t>
      </w:r>
      <w:proofErr w:type="gramStart"/>
      <w:r>
        <w:rPr>
          <w:rFonts w:ascii="Times New Roman" w:eastAsia="仿宋_GB2312" w:hAnsi="Times New Roman"/>
          <w:color w:val="000000"/>
          <w:sz w:val="32"/>
          <w:szCs w:val="32"/>
        </w:rPr>
        <w:t>通过增材制造</w:t>
      </w:r>
      <w:proofErr w:type="gramEnd"/>
      <w:r>
        <w:rPr>
          <w:rFonts w:ascii="Times New Roman" w:eastAsia="仿宋_GB2312" w:hAnsi="Times New Roman"/>
          <w:color w:val="000000"/>
          <w:sz w:val="32"/>
          <w:szCs w:val="32"/>
        </w:rPr>
        <w:t>技术制成。产品通过多孔结构实现骨传导，为骨缺损周围的细胞生长提供支撑。在植入部位，成骨潜能细胞可黏附在产品上，逐渐成熟分化，并矿化成骨，最终完成对骨缺损的修复。</w:t>
      </w:r>
    </w:p>
    <w:p w14:paraId="5FE97FA2" w14:textId="77777777" w:rsidR="00E55395" w:rsidRDefault="00434E16">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三、参考文件</w:t>
      </w:r>
    </w:p>
    <w:p w14:paraId="1BD25FDE" w14:textId="77777777" w:rsidR="00E55395" w:rsidRDefault="00434E16">
      <w:pPr>
        <w:spacing w:line="520" w:lineRule="exact"/>
        <w:ind w:firstLineChars="200" w:firstLine="640"/>
        <w:rPr>
          <w:rFonts w:ascii="Times New Roman" w:eastAsia="仿宋_GB2312" w:hAnsi="Times New Roman"/>
          <w:bCs/>
          <w:color w:val="000000"/>
          <w:sz w:val="32"/>
          <w:szCs w:val="32"/>
        </w:rPr>
      </w:pPr>
      <w:r>
        <w:rPr>
          <w:rFonts w:ascii="Times New Roman" w:eastAsia="仿宋_GB2312" w:hAnsi="Times New Roman"/>
          <w:color w:val="000000"/>
          <w:sz w:val="32"/>
          <w:szCs w:val="32"/>
        </w:rPr>
        <w:t>该产品需按照《国家食品药品监督管理总局关于公布医疗器械注册申报资料要求和批准证明文件格式的公告》（</w:t>
      </w:r>
      <w:r>
        <w:rPr>
          <w:rFonts w:ascii="Times New Roman" w:eastAsia="仿宋_GB2312" w:hAnsi="Times New Roman"/>
          <w:color w:val="000000"/>
          <w:sz w:val="32"/>
          <w:szCs w:val="32"/>
        </w:rPr>
        <w:t>2021</w:t>
      </w:r>
      <w:r>
        <w:rPr>
          <w:rFonts w:ascii="Times New Roman" w:eastAsia="仿宋_GB2312" w:hAnsi="Times New Roman"/>
          <w:color w:val="000000"/>
          <w:sz w:val="32"/>
          <w:szCs w:val="32"/>
        </w:rPr>
        <w:t>年第</w:t>
      </w:r>
      <w:r>
        <w:rPr>
          <w:rFonts w:ascii="Times New Roman" w:eastAsia="仿宋_GB2312" w:hAnsi="Times New Roman"/>
          <w:color w:val="000000"/>
          <w:sz w:val="32"/>
          <w:szCs w:val="32"/>
        </w:rPr>
        <w:t>121</w:t>
      </w:r>
      <w:r>
        <w:rPr>
          <w:rFonts w:ascii="Times New Roman" w:eastAsia="仿宋_GB2312" w:hAnsi="Times New Roman"/>
          <w:color w:val="000000"/>
          <w:sz w:val="32"/>
          <w:szCs w:val="32"/>
        </w:rPr>
        <w:t>号）要求提供注册申报资料。该产品是以羟基磷灰石或</w:t>
      </w:r>
      <w:r>
        <w:rPr>
          <w:rFonts w:ascii="Times New Roman" w:eastAsia="仿宋_GB2312" w:hAnsi="Times New Roman"/>
          <w:color w:val="000000"/>
          <w:sz w:val="32"/>
          <w:szCs w:val="32"/>
        </w:rPr>
        <w:t>β-</w:t>
      </w:r>
      <w:r>
        <w:rPr>
          <w:rFonts w:ascii="Times New Roman" w:eastAsia="仿宋_GB2312" w:hAnsi="Times New Roman"/>
          <w:color w:val="000000"/>
          <w:sz w:val="32"/>
          <w:szCs w:val="32"/>
        </w:rPr>
        <w:t>磷酸三钙为主体的生物活性陶瓷类材料</w:t>
      </w:r>
      <w:proofErr w:type="gramStart"/>
      <w:r>
        <w:rPr>
          <w:rFonts w:ascii="Times New Roman" w:eastAsia="仿宋_GB2312" w:hAnsi="Times New Roman"/>
          <w:color w:val="000000"/>
          <w:sz w:val="32"/>
          <w:szCs w:val="32"/>
        </w:rPr>
        <w:t>经增材</w:t>
      </w:r>
      <w:proofErr w:type="gramEnd"/>
      <w:r>
        <w:rPr>
          <w:rFonts w:ascii="Times New Roman" w:eastAsia="仿宋_GB2312" w:hAnsi="Times New Roman"/>
          <w:color w:val="000000"/>
          <w:sz w:val="32"/>
          <w:szCs w:val="32"/>
        </w:rPr>
        <w:t>制造工艺制成的植入产品，可参考《钙磷</w:t>
      </w:r>
      <w:r>
        <w:rPr>
          <w:rFonts w:ascii="Times New Roman" w:eastAsia="仿宋_GB2312" w:hAnsi="Times New Roman"/>
          <w:color w:val="000000"/>
          <w:sz w:val="32"/>
          <w:szCs w:val="32"/>
        </w:rPr>
        <w:t>/</w:t>
      </w:r>
      <w:r>
        <w:rPr>
          <w:rFonts w:ascii="Times New Roman" w:eastAsia="仿宋_GB2312" w:hAnsi="Times New Roman"/>
          <w:color w:val="000000"/>
          <w:sz w:val="32"/>
          <w:szCs w:val="32"/>
        </w:rPr>
        <w:t>硅类骨填充材料注册技术审查指导原则》、《无源植入性骨、关节及口腔硬组织个性化增材制造医疗器械注册技术审查指导原则》等文件的适用部分。</w:t>
      </w:r>
    </w:p>
    <w:p w14:paraId="70B47E58" w14:textId="77777777" w:rsidR="00E55395" w:rsidRDefault="00434E16">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四、审评主要关注点</w:t>
      </w:r>
    </w:p>
    <w:p w14:paraId="6BD060F9" w14:textId="7FEC7E90" w:rsidR="00AA29E2" w:rsidRPr="00AE1A39" w:rsidRDefault="00AE1A39" w:rsidP="00AE1A39">
      <w:pPr>
        <w:snapToGrid w:val="0"/>
        <w:spacing w:line="520" w:lineRule="exact"/>
        <w:ind w:firstLineChars="200" w:firstLine="640"/>
        <w:rPr>
          <w:rFonts w:ascii="Times New Roman" w:eastAsia="仿宋_GB2312" w:hAnsi="Times New Roman"/>
          <w:color w:val="000000"/>
          <w:sz w:val="32"/>
          <w:szCs w:val="32"/>
        </w:rPr>
      </w:pPr>
      <w:r w:rsidRPr="0006202D">
        <w:rPr>
          <w:rFonts w:ascii="Times New Roman" w:eastAsia="仿宋_GB2312" w:hAnsi="Times New Roman" w:hint="eastAsia"/>
          <w:color w:val="000000"/>
          <w:sz w:val="32"/>
          <w:szCs w:val="32"/>
        </w:rPr>
        <w:t>基于监管科学研究和既往产品审评经验，对照《医疗器械安全和性能基本原则清单》</w:t>
      </w:r>
      <w:r>
        <w:rPr>
          <w:rFonts w:ascii="Times New Roman" w:eastAsia="仿宋_GB2312" w:hAnsi="Times New Roman" w:hint="eastAsia"/>
          <w:color w:val="000000"/>
          <w:sz w:val="32"/>
          <w:szCs w:val="32"/>
        </w:rPr>
        <w:t>，列明</w:t>
      </w:r>
      <w:r w:rsidRPr="0006202D">
        <w:rPr>
          <w:rFonts w:ascii="Times New Roman" w:eastAsia="仿宋_GB2312" w:hAnsi="Times New Roman" w:hint="eastAsia"/>
          <w:color w:val="000000"/>
          <w:sz w:val="32"/>
          <w:szCs w:val="32"/>
        </w:rPr>
        <w:t>证明符合基本要求的方法</w:t>
      </w:r>
      <w:r>
        <w:rPr>
          <w:rFonts w:eastAsia="仿宋_GB2312" w:hint="eastAsia"/>
          <w:color w:val="000000"/>
          <w:sz w:val="32"/>
          <w:szCs w:val="32"/>
        </w:rPr>
        <w:t>，提出</w:t>
      </w:r>
      <w:r>
        <w:rPr>
          <w:rFonts w:ascii="Times New Roman" w:eastAsia="仿宋_GB2312" w:hAnsi="Times New Roman"/>
          <w:color w:val="000000"/>
          <w:sz w:val="32"/>
          <w:szCs w:val="32"/>
        </w:rPr>
        <w:t>下列</w:t>
      </w:r>
      <w:r w:rsidRPr="0006202D">
        <w:rPr>
          <w:rFonts w:ascii="Times New Roman" w:eastAsia="仿宋_GB2312" w:hAnsi="Times New Roman" w:hint="eastAsia"/>
          <w:color w:val="000000"/>
          <w:sz w:val="32"/>
          <w:szCs w:val="32"/>
        </w:rPr>
        <w:t>重点关注内容</w:t>
      </w:r>
      <w:r>
        <w:rPr>
          <w:rFonts w:ascii="Times New Roman" w:eastAsia="仿宋_GB2312" w:hAnsi="Times New Roman" w:hint="eastAsia"/>
          <w:color w:val="000000"/>
          <w:sz w:val="32"/>
          <w:szCs w:val="32"/>
        </w:rPr>
        <w:t>。</w:t>
      </w:r>
    </w:p>
    <w:p w14:paraId="1523A260" w14:textId="77777777" w:rsidR="00E55395" w:rsidRDefault="00434E16">
      <w:pPr>
        <w:pStyle w:val="aa"/>
        <w:numPr>
          <w:ilvl w:val="0"/>
          <w:numId w:val="1"/>
        </w:numPr>
        <w:snapToGrid w:val="0"/>
        <w:spacing w:line="520" w:lineRule="exact"/>
        <w:ind w:firstLineChars="0"/>
        <w:rPr>
          <w:rFonts w:ascii="Times New Roman" w:eastAsia="楷体_GB2312" w:hAnsi="Times New Roman"/>
          <w:color w:val="000000"/>
          <w:sz w:val="32"/>
          <w:szCs w:val="32"/>
        </w:rPr>
      </w:pPr>
      <w:r>
        <w:rPr>
          <w:rFonts w:ascii="Times New Roman" w:eastAsia="楷体_GB2312" w:hAnsi="Times New Roman"/>
          <w:color w:val="000000"/>
          <w:sz w:val="32"/>
          <w:szCs w:val="32"/>
        </w:rPr>
        <w:t>综述资料</w:t>
      </w:r>
    </w:p>
    <w:p w14:paraId="1318FBD1" w14:textId="77777777" w:rsidR="00E55395" w:rsidRDefault="00434E16">
      <w:pPr>
        <w:tabs>
          <w:tab w:val="left" w:pos="6098"/>
          <w:tab w:val="right" w:pos="8306"/>
        </w:tabs>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产品描述</w:t>
      </w:r>
    </w:p>
    <w:p w14:paraId="40814A95" w14:textId="77777777" w:rsidR="00E55395" w:rsidRDefault="00434E16">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color w:val="000000"/>
          <w:sz w:val="32"/>
          <w:szCs w:val="32"/>
        </w:rPr>
        <w:t>需结合申报产品的特性，明确</w:t>
      </w:r>
      <w:proofErr w:type="gramStart"/>
      <w:r>
        <w:rPr>
          <w:rFonts w:ascii="Times New Roman" w:eastAsia="仿宋_GB2312" w:hAnsi="Times New Roman"/>
          <w:color w:val="000000"/>
          <w:sz w:val="32"/>
          <w:szCs w:val="32"/>
        </w:rPr>
        <w:t>产品增材制造</w:t>
      </w:r>
      <w:proofErr w:type="gramEnd"/>
      <w:r>
        <w:rPr>
          <w:rFonts w:ascii="Times New Roman" w:eastAsia="仿宋_GB2312" w:hAnsi="Times New Roman"/>
          <w:color w:val="000000"/>
          <w:sz w:val="32"/>
          <w:szCs w:val="32"/>
        </w:rPr>
        <w:t>工艺、材料组分及含量、产品结构设计特征（孔结构特征，</w:t>
      </w:r>
      <w:r>
        <w:rPr>
          <w:rFonts w:ascii="Times New Roman" w:eastAsia="仿宋_GB2312" w:hAnsi="Times New Roman"/>
          <w:sz w:val="32"/>
          <w:szCs w:val="32"/>
        </w:rPr>
        <w:t>提供三维模</w:t>
      </w:r>
      <w:r>
        <w:rPr>
          <w:rFonts w:ascii="Times New Roman" w:eastAsia="仿宋_GB2312" w:hAnsi="Times New Roman"/>
          <w:sz w:val="32"/>
          <w:szCs w:val="32"/>
        </w:rPr>
        <w:lastRenderedPageBreak/>
        <w:t>型图片和相关的特征参数</w:t>
      </w:r>
      <w:r>
        <w:rPr>
          <w:rFonts w:ascii="Times New Roman" w:eastAsia="仿宋_GB2312" w:hAnsi="Times New Roman"/>
          <w:color w:val="000000"/>
          <w:sz w:val="32"/>
          <w:szCs w:val="32"/>
        </w:rPr>
        <w:t>）、尺寸、应用部位、交付状态、灭菌包装、产品有效期等信息。</w:t>
      </w:r>
    </w:p>
    <w:p w14:paraId="3B16FECF" w14:textId="77777777" w:rsidR="00E55395" w:rsidRDefault="00434E16">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型号规格</w:t>
      </w:r>
    </w:p>
    <w:p w14:paraId="7C3A2C61" w14:textId="77777777" w:rsidR="00E55395" w:rsidRDefault="00434E16">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color w:val="000000"/>
          <w:sz w:val="32"/>
          <w:szCs w:val="32"/>
        </w:rPr>
        <w:t>对于存在多种型号规格的产品，需明确各型号规格的区别，采用对比表及带有说明性文字的图片、图表，对各种型号规格的结构组成、产品特征、性能指标、功能等方面加以描述。需描述产品各型号的关键尺寸公差，如长度、宽度、高度、孔径、丝径、孔隙率等。提供产品各型号规格的划分原则。</w:t>
      </w:r>
    </w:p>
    <w:p w14:paraId="5EC575A1" w14:textId="77777777" w:rsidR="00E55395" w:rsidRDefault="00434E16">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包装说明</w:t>
      </w:r>
    </w:p>
    <w:p w14:paraId="583E8D02" w14:textId="77777777" w:rsidR="00E55395" w:rsidRDefault="00434E16">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color w:val="000000"/>
          <w:sz w:val="32"/>
          <w:szCs w:val="32"/>
        </w:rPr>
        <w:t>需以图片和文字相结合的方式明示申报产品的包装信息，以列表形式说明所有包装内容物。提供包装材料的信息，评价包装材料对材料储存过程的影响</w:t>
      </w:r>
      <w:r>
        <w:rPr>
          <w:rFonts w:ascii="Times New Roman" w:eastAsia="仿宋_GB2312" w:hAnsi="Times New Roman"/>
          <w:sz w:val="32"/>
          <w:szCs w:val="32"/>
        </w:rPr>
        <w:t>。</w:t>
      </w:r>
    </w:p>
    <w:p w14:paraId="72B478AA"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与同类和</w:t>
      </w:r>
      <w:r>
        <w:rPr>
          <w:rFonts w:ascii="Times New Roman" w:eastAsia="仿宋_GB2312" w:hAnsi="Times New Roman"/>
          <w:color w:val="000000"/>
          <w:sz w:val="32"/>
          <w:szCs w:val="32"/>
        </w:rPr>
        <w:t>/</w:t>
      </w:r>
      <w:r>
        <w:rPr>
          <w:rFonts w:ascii="Times New Roman" w:eastAsia="仿宋_GB2312" w:hAnsi="Times New Roman"/>
          <w:color w:val="000000"/>
          <w:sz w:val="32"/>
          <w:szCs w:val="32"/>
        </w:rPr>
        <w:t>或前代产品的参考和比较</w:t>
      </w:r>
    </w:p>
    <w:p w14:paraId="10860407"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需提供同类产品（国内外已上市）或前代产品（如有）的信息，阐述申请注册产品的研发背景和目的。对于同类产品，需说明选择其作为研发参考的原因。</w:t>
      </w:r>
    </w:p>
    <w:p w14:paraId="0055342C"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综述同类产品国内外研究、临床使用现状及发展趋势。同时列表比较说明申报产品与参考产品（同类产品或前代产品）在工作原理、原材料、制造工艺、表面处理、结构特征、关键尺寸、适用范围及产品性能指标等方面的异同。</w:t>
      </w:r>
    </w:p>
    <w:p w14:paraId="5FBF353A"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适用范围和禁忌证</w:t>
      </w:r>
    </w:p>
    <w:p w14:paraId="4569E995"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产品的适用范围、适用人群、禁忌证需与申报产品的性能、功能相符，并需与临床评价资料结论一致。</w:t>
      </w:r>
    </w:p>
    <w:p w14:paraId="0B32D67E"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5.1</w:t>
      </w:r>
      <w:r>
        <w:rPr>
          <w:rFonts w:ascii="Times New Roman" w:eastAsia="仿宋_GB2312" w:hAnsi="Times New Roman"/>
          <w:color w:val="000000"/>
          <w:sz w:val="32"/>
          <w:szCs w:val="32"/>
        </w:rPr>
        <w:t>适用范围：适用范围的表述需客观、清晰，使用有明确定义或行业公认的术语或名词。例如：</w:t>
      </w:r>
      <w:r>
        <w:rPr>
          <w:rFonts w:ascii="Times New Roman" w:eastAsia="仿宋_GB2312" w:hAnsi="Times New Roman"/>
          <w:bCs/>
          <w:sz w:val="32"/>
          <w:szCs w:val="32"/>
        </w:rPr>
        <w:t>适用于骨科创伤以</w:t>
      </w:r>
      <w:r>
        <w:rPr>
          <w:rFonts w:ascii="Times New Roman" w:eastAsia="仿宋_GB2312" w:hAnsi="Times New Roman"/>
          <w:bCs/>
          <w:sz w:val="32"/>
          <w:szCs w:val="32"/>
        </w:rPr>
        <w:lastRenderedPageBreak/>
        <w:t>及手术引起的非承力部位的骨缺损的填充</w:t>
      </w:r>
      <w:r>
        <w:rPr>
          <w:rFonts w:ascii="Times New Roman" w:eastAsia="仿宋_GB2312" w:hAnsi="Times New Roman"/>
          <w:color w:val="000000"/>
          <w:sz w:val="32"/>
          <w:szCs w:val="32"/>
        </w:rPr>
        <w:t>。</w:t>
      </w:r>
    </w:p>
    <w:p w14:paraId="385B5FB0"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5.2</w:t>
      </w:r>
      <w:r>
        <w:rPr>
          <w:rFonts w:ascii="Times New Roman" w:eastAsia="仿宋_GB2312" w:hAnsi="Times New Roman"/>
          <w:color w:val="000000"/>
          <w:sz w:val="32"/>
          <w:szCs w:val="32"/>
        </w:rPr>
        <w:t>预期使用环境：明确预期使用的地点（如医疗机构），说明可能影响其安全性和有效性的环境条件。</w:t>
      </w:r>
    </w:p>
    <w:p w14:paraId="2472BA75"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5.3</w:t>
      </w:r>
      <w:r>
        <w:rPr>
          <w:rFonts w:ascii="Times New Roman" w:eastAsia="仿宋_GB2312" w:hAnsi="Times New Roman"/>
          <w:color w:val="000000"/>
          <w:sz w:val="32"/>
          <w:szCs w:val="32"/>
        </w:rPr>
        <w:t>适用人群：说明该器械目标患者人群信息，以及不适宜应用的某些疾病、情况或特定人群（如适用）。</w:t>
      </w:r>
    </w:p>
    <w:p w14:paraId="6067D3F9"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5.4</w:t>
      </w:r>
      <w:r>
        <w:rPr>
          <w:rFonts w:ascii="Times New Roman" w:eastAsia="仿宋_GB2312" w:hAnsi="Times New Roman"/>
          <w:color w:val="000000"/>
          <w:sz w:val="32"/>
          <w:szCs w:val="32"/>
        </w:rPr>
        <w:t>禁忌证（如适用）。</w:t>
      </w:r>
    </w:p>
    <w:p w14:paraId="0A3BDD83"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6.</w:t>
      </w:r>
      <w:r>
        <w:rPr>
          <w:rFonts w:ascii="Times New Roman" w:eastAsia="仿宋_GB2312" w:hAnsi="Times New Roman"/>
          <w:color w:val="000000"/>
          <w:sz w:val="32"/>
          <w:szCs w:val="32"/>
        </w:rPr>
        <w:t>申报产品上市历史</w:t>
      </w:r>
    </w:p>
    <w:p w14:paraId="35ADAD34" w14:textId="77777777" w:rsidR="00E55395" w:rsidRDefault="00434E16">
      <w:pPr>
        <w:snapToGrid w:val="0"/>
        <w:spacing w:line="520" w:lineRule="exact"/>
        <w:ind w:firstLineChars="200" w:firstLine="640"/>
        <w:rPr>
          <w:rFonts w:ascii="Times New Roman" w:eastAsia="楷体_GB2312" w:hAnsi="Times New Roman"/>
          <w:color w:val="000000"/>
          <w:sz w:val="32"/>
          <w:szCs w:val="32"/>
        </w:rPr>
      </w:pPr>
      <w:r>
        <w:rPr>
          <w:rFonts w:ascii="Times New Roman" w:eastAsia="仿宋_GB2312" w:hAnsi="Times New Roman"/>
          <w:color w:val="000000"/>
          <w:sz w:val="32"/>
          <w:szCs w:val="32"/>
        </w:rPr>
        <w:t>如适用，提交申报产品在各国家或地区的上市批准时间、销售情况。如有不良事件和召回，分别对申报产品上市后发生的不良事件、召回的发生时间、申请人采取的处理和解决方案、相关部门的调查处理情况等进行描述。</w:t>
      </w:r>
    </w:p>
    <w:p w14:paraId="62DA69B9" w14:textId="77777777" w:rsidR="00E55395" w:rsidRDefault="00434E16">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（二）非临床资料</w:t>
      </w:r>
    </w:p>
    <w:p w14:paraId="7016C322"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产品风险管理资料</w:t>
      </w:r>
    </w:p>
    <w:p w14:paraId="3448E2E4"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注册申请人需对产品全生命周期实施风险管理，提交风险管理资料（参照</w:t>
      </w:r>
      <w:r>
        <w:rPr>
          <w:rFonts w:ascii="Times New Roman" w:eastAsia="仿宋_GB2312" w:hAnsi="Times New Roman"/>
          <w:color w:val="000000"/>
          <w:sz w:val="32"/>
          <w:szCs w:val="32"/>
        </w:rPr>
        <w:t>GB/T 42062</w:t>
      </w:r>
      <w:r>
        <w:rPr>
          <w:rFonts w:ascii="Times New Roman" w:eastAsia="仿宋_GB2312" w:hAnsi="Times New Roman"/>
          <w:color w:val="000000"/>
          <w:sz w:val="32"/>
          <w:szCs w:val="32"/>
        </w:rPr>
        <w:t>《医疗器械</w:t>
      </w:r>
      <w:r>
        <w:rPr>
          <w:rFonts w:ascii="Times New Roman" w:eastAsia="仿宋_GB2312" w:hAnsi="Times New Roman"/>
          <w:color w:val="000000"/>
          <w:sz w:val="32"/>
          <w:szCs w:val="32"/>
        </w:rPr>
        <w:t xml:space="preserve"> </w:t>
      </w:r>
      <w:r>
        <w:rPr>
          <w:rFonts w:ascii="Times New Roman" w:eastAsia="仿宋_GB2312" w:hAnsi="Times New Roman"/>
          <w:color w:val="000000"/>
          <w:sz w:val="32"/>
          <w:szCs w:val="32"/>
        </w:rPr>
        <w:t>风险管理对医疗器械的应用》），充分识别产品的设计、原材料采购、生产加工过程、表面处理、后处理、产品包装、灭菌、运输、贮存、使用等产品生命周期内各个环节的安全特征，从生物学危险（源）、环境危险（源）、有关植入过程的危险（源）、由功能失效</w:t>
      </w:r>
      <w:r>
        <w:rPr>
          <w:rFonts w:ascii="Times New Roman" w:eastAsia="仿宋_GB2312" w:hAnsi="Times New Roman"/>
          <w:color w:val="000000"/>
          <w:sz w:val="32"/>
          <w:szCs w:val="32"/>
        </w:rPr>
        <w:t>/</w:t>
      </w:r>
      <w:r>
        <w:rPr>
          <w:rFonts w:ascii="Times New Roman" w:eastAsia="仿宋_GB2312" w:hAnsi="Times New Roman"/>
          <w:color w:val="000000"/>
          <w:sz w:val="32"/>
          <w:szCs w:val="32"/>
        </w:rPr>
        <w:t>疲劳所引起的危险（源）等方面，对产品进行全面的风险分析，并详述所采取的风险控制措施。</w:t>
      </w:r>
    </w:p>
    <w:p w14:paraId="6B352243"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风险管理报告</w:t>
      </w:r>
      <w:proofErr w:type="gramStart"/>
      <w:r>
        <w:rPr>
          <w:rFonts w:ascii="Times New Roman" w:eastAsia="仿宋_GB2312" w:hAnsi="Times New Roman"/>
          <w:color w:val="000000"/>
          <w:sz w:val="32"/>
          <w:szCs w:val="32"/>
        </w:rPr>
        <w:t>需包括</w:t>
      </w:r>
      <w:proofErr w:type="gramEnd"/>
      <w:r>
        <w:rPr>
          <w:rFonts w:ascii="Times New Roman" w:eastAsia="仿宋_GB2312" w:hAnsi="Times New Roman"/>
          <w:color w:val="000000"/>
          <w:sz w:val="32"/>
          <w:szCs w:val="32"/>
        </w:rPr>
        <w:t>生产和生产后信息，具体内容参考</w:t>
      </w:r>
      <w:r>
        <w:rPr>
          <w:rFonts w:ascii="Times New Roman" w:eastAsia="仿宋_GB2312" w:hAnsi="Times New Roman"/>
          <w:color w:val="000000"/>
          <w:sz w:val="32"/>
          <w:szCs w:val="32"/>
        </w:rPr>
        <w:t>GB/T 42062</w:t>
      </w:r>
      <w:r>
        <w:rPr>
          <w:rFonts w:ascii="Times New Roman" w:eastAsia="仿宋_GB2312" w:hAnsi="Times New Roman"/>
          <w:color w:val="000000"/>
          <w:sz w:val="32"/>
          <w:szCs w:val="32"/>
        </w:rPr>
        <w:t>第</w:t>
      </w:r>
      <w:r>
        <w:rPr>
          <w:rFonts w:ascii="Times New Roman" w:eastAsia="仿宋_GB2312" w:hAnsi="Times New Roman"/>
          <w:color w:val="000000"/>
          <w:sz w:val="32"/>
          <w:szCs w:val="32"/>
        </w:rPr>
        <w:t>9</w:t>
      </w:r>
      <w:r>
        <w:rPr>
          <w:rFonts w:ascii="Times New Roman" w:eastAsia="仿宋_GB2312" w:hAnsi="Times New Roman"/>
          <w:color w:val="000000"/>
          <w:sz w:val="32"/>
          <w:szCs w:val="32"/>
        </w:rPr>
        <w:t>章和《医疗器械安全和性能的基本原则》的</w:t>
      </w:r>
      <w:r>
        <w:rPr>
          <w:rFonts w:ascii="Times New Roman" w:eastAsia="仿宋_GB2312" w:hAnsi="Times New Roman"/>
          <w:color w:val="000000"/>
          <w:sz w:val="32"/>
          <w:szCs w:val="32"/>
        </w:rPr>
        <w:t>2.1.2e)f)</w:t>
      </w:r>
      <w:r>
        <w:rPr>
          <w:rFonts w:ascii="Times New Roman" w:eastAsia="仿宋_GB2312" w:hAnsi="Times New Roman"/>
          <w:color w:val="000000"/>
          <w:sz w:val="32"/>
          <w:szCs w:val="32"/>
        </w:rPr>
        <w:t>。产品变更注册和已在境外上市产品注册时，申报资料中的风险管理报告</w:t>
      </w:r>
      <w:proofErr w:type="gramStart"/>
      <w:r>
        <w:rPr>
          <w:rFonts w:ascii="Times New Roman" w:eastAsia="仿宋_GB2312" w:hAnsi="Times New Roman"/>
          <w:color w:val="000000"/>
          <w:sz w:val="32"/>
          <w:szCs w:val="32"/>
        </w:rPr>
        <w:t>需包括</w:t>
      </w:r>
      <w:proofErr w:type="gramEnd"/>
      <w:r>
        <w:rPr>
          <w:rFonts w:ascii="Times New Roman" w:eastAsia="仿宋_GB2312" w:hAnsi="Times New Roman"/>
          <w:color w:val="000000"/>
          <w:sz w:val="32"/>
          <w:szCs w:val="32"/>
        </w:rPr>
        <w:t>上述内容，将风险管理贯穿于产品的全生命周期。</w:t>
      </w:r>
    </w:p>
    <w:p w14:paraId="70705195"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2.</w:t>
      </w:r>
      <w:r>
        <w:rPr>
          <w:rFonts w:ascii="Times New Roman" w:eastAsia="仿宋_GB2312" w:hAnsi="Times New Roman"/>
          <w:color w:val="000000"/>
          <w:sz w:val="32"/>
          <w:szCs w:val="32"/>
        </w:rPr>
        <w:t>产品技术要求及检验报告</w:t>
      </w:r>
    </w:p>
    <w:p w14:paraId="1FF6BB0A"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产品技术要求性能指标一般包括：外观、尺寸、钙磷原子比、晶相分析、结晶度、红外吸收光谱、多孔结构特征（孔隙率、孔径、丝径、孔径分布、连通性）、</w:t>
      </w:r>
      <w:r>
        <w:rPr>
          <w:rFonts w:ascii="Times New Roman" w:eastAsia="仿宋_GB2312" w:hAnsi="Times New Roman"/>
          <w:sz w:val="32"/>
          <w:szCs w:val="32"/>
        </w:rPr>
        <w:t>微量元素（</w:t>
      </w:r>
      <w:proofErr w:type="gramStart"/>
      <w:r>
        <w:rPr>
          <w:rFonts w:ascii="Times New Roman" w:eastAsia="仿宋_GB2312" w:hAnsi="Times New Roman"/>
          <w:sz w:val="32"/>
          <w:szCs w:val="32"/>
        </w:rPr>
        <w:t>以铅计的</w:t>
      </w:r>
      <w:proofErr w:type="gramEnd"/>
      <w:r>
        <w:rPr>
          <w:rFonts w:ascii="Times New Roman" w:eastAsia="仿宋_GB2312" w:hAnsi="Times New Roman"/>
          <w:sz w:val="32"/>
          <w:szCs w:val="32"/>
        </w:rPr>
        <w:t>重金属总量，砷、镉、汞、铅含量）、容重、力学性能（如抗压强度、各向异性等）</w:t>
      </w:r>
      <w:r>
        <w:rPr>
          <w:rFonts w:ascii="Times New Roman" w:eastAsia="仿宋_GB2312" w:hAnsi="Times New Roman"/>
          <w:color w:val="000000"/>
          <w:sz w:val="32"/>
          <w:szCs w:val="32"/>
        </w:rPr>
        <w:t>、</w:t>
      </w:r>
      <w:r>
        <w:rPr>
          <w:rFonts w:ascii="Times New Roman" w:eastAsia="仿宋_GB2312" w:hAnsi="Times New Roman"/>
          <w:sz w:val="32"/>
          <w:szCs w:val="32"/>
        </w:rPr>
        <w:t>浸提液</w:t>
      </w:r>
      <w:r>
        <w:rPr>
          <w:rFonts w:ascii="Times New Roman" w:eastAsia="仿宋_GB2312" w:hAnsi="Times New Roman"/>
          <w:sz w:val="32"/>
          <w:szCs w:val="32"/>
        </w:rPr>
        <w:t>pH</w:t>
      </w:r>
      <w:r>
        <w:rPr>
          <w:rFonts w:ascii="Times New Roman" w:eastAsia="仿宋_GB2312" w:hAnsi="Times New Roman"/>
          <w:sz w:val="32"/>
          <w:szCs w:val="32"/>
        </w:rPr>
        <w:t>值、装量、</w:t>
      </w:r>
      <w:r>
        <w:rPr>
          <w:rFonts w:ascii="Times New Roman" w:eastAsia="仿宋_GB2312" w:hAnsi="Times New Roman"/>
          <w:color w:val="000000"/>
          <w:sz w:val="32"/>
          <w:szCs w:val="32"/>
        </w:rPr>
        <w:t>无菌（若适用），环氧乙烷残留量（若适用）、助剂残留。</w:t>
      </w:r>
    </w:p>
    <w:p w14:paraId="5772367D"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附录：产品原材料组分及配比。</w:t>
      </w:r>
    </w:p>
    <w:p w14:paraId="53A13AAB"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研究资料</w:t>
      </w:r>
    </w:p>
    <w:p w14:paraId="6B54831E"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w:t>
      </w:r>
      <w:r>
        <w:rPr>
          <w:rFonts w:ascii="Times New Roman" w:eastAsia="仿宋_GB2312" w:hAnsi="Times New Roman"/>
          <w:color w:val="000000"/>
          <w:sz w:val="32"/>
          <w:szCs w:val="32"/>
        </w:rPr>
        <w:t>物理和机械性能研究</w:t>
      </w:r>
    </w:p>
    <w:p w14:paraId="2436FD4D"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3.1.1</w:t>
      </w:r>
      <w:r>
        <w:rPr>
          <w:rFonts w:ascii="Times New Roman" w:eastAsia="仿宋_GB2312" w:hAnsi="Times New Roman"/>
          <w:color w:val="000000"/>
          <w:sz w:val="32"/>
          <w:szCs w:val="32"/>
        </w:rPr>
        <w:t>多孔结构形貌特征研究：提供产品多孔结构形貌特征研究，包括多孔结构厚度、孔隙率、孔径、丝径、内部连通性、孔隙分布、孔隙渐变梯度和内部结构缺陷。明确各指标确定依据。</w:t>
      </w:r>
    </w:p>
    <w:p w14:paraId="6CA03FEC"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3.1.2</w:t>
      </w:r>
      <w:r>
        <w:rPr>
          <w:rFonts w:ascii="Times New Roman" w:eastAsia="仿宋_GB2312" w:hAnsi="Times New Roman"/>
          <w:color w:val="000000"/>
          <w:sz w:val="32"/>
          <w:szCs w:val="32"/>
        </w:rPr>
        <w:t>收缩率研究：结合产品制备工艺过程，提供产品收缩率研究资料，明确打印尺寸稳定性与可控性。</w:t>
      </w:r>
    </w:p>
    <w:p w14:paraId="5AC12F7A"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3.1.3</w:t>
      </w:r>
      <w:r>
        <w:rPr>
          <w:rFonts w:ascii="Times New Roman" w:eastAsia="仿宋_GB2312" w:hAnsi="Times New Roman"/>
          <w:color w:val="000000"/>
          <w:sz w:val="32"/>
          <w:szCs w:val="32"/>
        </w:rPr>
        <w:t>多孔结构设计与制造一致性评价研究：提供产品的宏观多孔结构设计与制造在外观尺寸特征方面的一致性研究资料，包括外形特征参数评价、宏孔结构特征参数评价、微孔结构特征参数评价。外形特征参数包括长、宽、高、直径等宏观尺寸；宏孔结构特征参数包括孔隙率、孔型参数、支柱参数、内连接径、连通率、开</w:t>
      </w:r>
      <w:r>
        <w:rPr>
          <w:rFonts w:ascii="Times New Roman" w:eastAsia="仿宋_GB2312" w:hAnsi="Times New Roman"/>
          <w:color w:val="000000"/>
          <w:sz w:val="32"/>
          <w:szCs w:val="32"/>
        </w:rPr>
        <w:t>/</w:t>
      </w:r>
      <w:r>
        <w:rPr>
          <w:rFonts w:ascii="Times New Roman" w:eastAsia="仿宋_GB2312" w:hAnsi="Times New Roman"/>
          <w:color w:val="000000"/>
          <w:sz w:val="32"/>
          <w:szCs w:val="32"/>
        </w:rPr>
        <w:t>闭孔率尺寸；微孔结构特征参数包括微孔长、宽、高、直径等参数特征。</w:t>
      </w:r>
    </w:p>
    <w:p w14:paraId="40474724"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3.1.4</w:t>
      </w:r>
      <w:r>
        <w:rPr>
          <w:rFonts w:ascii="Times New Roman" w:eastAsia="仿宋_GB2312" w:hAnsi="Times New Roman"/>
          <w:color w:val="000000"/>
          <w:sz w:val="32"/>
          <w:szCs w:val="32"/>
        </w:rPr>
        <w:t>结合产品预期植入部位、承力模式，提供产品力学性能（如适用，包括抗压强度、各向异性等）研究资料，提供性能验证报告，性能指标的确定依据和临床可接受性论证</w:t>
      </w:r>
      <w:r>
        <w:rPr>
          <w:rFonts w:ascii="Times New Roman" w:eastAsia="仿宋_GB2312" w:hAnsi="Times New Roman"/>
          <w:color w:val="000000"/>
          <w:sz w:val="32"/>
          <w:szCs w:val="32"/>
        </w:rPr>
        <w:lastRenderedPageBreak/>
        <w:t>资料。</w:t>
      </w:r>
    </w:p>
    <w:p w14:paraId="09811888"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3.1.5</w:t>
      </w:r>
      <w:r>
        <w:rPr>
          <w:rFonts w:ascii="Times New Roman" w:eastAsia="仿宋_GB2312" w:hAnsi="Times New Roman"/>
          <w:color w:val="000000"/>
          <w:sz w:val="32"/>
          <w:szCs w:val="32"/>
        </w:rPr>
        <w:t>降解性能研究</w:t>
      </w:r>
    </w:p>
    <w:p w14:paraId="3896D4D3" w14:textId="77777777" w:rsidR="00E55395" w:rsidRDefault="00434E16">
      <w:pPr>
        <w:snapToGrid w:val="0"/>
        <w:spacing w:line="52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一般需开展体外降解性能或体内降解性能研究。若开展体外降解试验，需模拟产品临床预期植入环境，评价产品的降解速率、降解</w:t>
      </w:r>
      <w:r>
        <w:rPr>
          <w:rFonts w:ascii="Times New Roman" w:eastAsia="仿宋_GB2312" w:hAnsi="Times New Roman" w:hint="eastAsia"/>
          <w:bCs/>
          <w:color w:val="000000"/>
          <w:sz w:val="32"/>
          <w:szCs w:val="32"/>
        </w:rPr>
        <w:t>各</w:t>
      </w:r>
      <w:r>
        <w:rPr>
          <w:rFonts w:ascii="Times New Roman" w:eastAsia="仿宋_GB2312" w:hAnsi="Times New Roman"/>
          <w:bCs/>
          <w:color w:val="000000"/>
          <w:sz w:val="32"/>
          <w:szCs w:val="32"/>
        </w:rPr>
        <w:t>时间点力学性能变化以及降解产物，考虑产品预期植入后的降解，分析产品降解速率及降解产物对微环境的影响，结合临床预期用途，论述产品满足临床需求。提供降解周期及</w:t>
      </w:r>
      <w:proofErr w:type="gramStart"/>
      <w:r>
        <w:rPr>
          <w:rFonts w:ascii="Times New Roman" w:eastAsia="仿宋_GB2312" w:hAnsi="Times New Roman"/>
          <w:bCs/>
          <w:color w:val="000000"/>
          <w:sz w:val="32"/>
          <w:szCs w:val="32"/>
        </w:rPr>
        <w:t>各观察</w:t>
      </w:r>
      <w:proofErr w:type="gramEnd"/>
      <w:r>
        <w:rPr>
          <w:rFonts w:ascii="Times New Roman" w:eastAsia="仿宋_GB2312" w:hAnsi="Times New Roman"/>
          <w:bCs/>
          <w:color w:val="000000"/>
          <w:sz w:val="32"/>
          <w:szCs w:val="32"/>
        </w:rPr>
        <w:t>时间点的设定依据。如降解时间长对局部组织存在影响，需结合产品临床预期使用情形，结合同类已上市产品降解性能论述该产品降解周期的可接受性，提交与组织（包括软组织）愈合周期、生理性骨结合骨改建周期相适应的研究资料。</w:t>
      </w:r>
    </w:p>
    <w:p w14:paraId="0D6F7E11" w14:textId="77777777" w:rsidR="00E55395" w:rsidRDefault="00434E16">
      <w:pPr>
        <w:snapToGrid w:val="0"/>
        <w:spacing w:line="52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产品的降解性能研究还应考虑产品的力学支撑效果，即在骨愈合前期，产品应能表现出较好的力学支撑，力学损失不应过快；在愈合后期，产品降解加快，最终完全降解</w:t>
      </w:r>
      <w:r>
        <w:rPr>
          <w:rFonts w:ascii="Times New Roman" w:eastAsia="仿宋_GB2312" w:hAnsi="Times New Roman" w:hint="eastAsia"/>
          <w:bCs/>
          <w:color w:val="000000"/>
          <w:sz w:val="32"/>
          <w:szCs w:val="32"/>
        </w:rPr>
        <w:t>为</w:t>
      </w:r>
      <w:r>
        <w:rPr>
          <w:rFonts w:ascii="Times New Roman" w:eastAsia="仿宋_GB2312" w:hAnsi="Times New Roman"/>
          <w:bCs/>
          <w:color w:val="000000"/>
          <w:sz w:val="32"/>
          <w:szCs w:val="32"/>
        </w:rPr>
        <w:t>对身体无害产物，相关降解周期应与骨再生周期相匹配。</w:t>
      </w:r>
    </w:p>
    <w:p w14:paraId="09441CBC" w14:textId="77777777" w:rsidR="00E55395" w:rsidRDefault="00434E16">
      <w:pPr>
        <w:pStyle w:val="aa"/>
        <w:snapToGrid w:val="0"/>
        <w:spacing w:line="520" w:lineRule="exact"/>
        <w:ind w:left="640" w:firstLineChars="0" w:firstLine="0"/>
        <w:rPr>
          <w:rFonts w:ascii="Times New Roman" w:eastAsia="仿宋_GB2312" w:hAnsi="Times New Roman"/>
          <w:color w:val="000000"/>
          <w:sz w:val="32"/>
          <w:szCs w:val="32"/>
        </w:rPr>
      </w:pPr>
      <w:r>
        <w:rPr>
          <w:rFonts w:ascii="Times New Roman" w:eastAsia="仿宋_GB2312" w:hAnsi="Times New Roman"/>
          <w:color w:val="000000"/>
          <w:sz w:val="32"/>
          <w:szCs w:val="32"/>
        </w:rPr>
        <w:t>3.2</w:t>
      </w:r>
      <w:r>
        <w:rPr>
          <w:rFonts w:ascii="Times New Roman" w:eastAsia="仿宋_GB2312" w:hAnsi="Times New Roman"/>
          <w:color w:val="000000"/>
          <w:sz w:val="32"/>
          <w:szCs w:val="32"/>
        </w:rPr>
        <w:t>材料</w:t>
      </w:r>
      <w:r>
        <w:rPr>
          <w:rFonts w:ascii="Times New Roman" w:eastAsia="仿宋_GB2312" w:hAnsi="Times New Roman"/>
          <w:color w:val="000000"/>
          <w:sz w:val="32"/>
          <w:szCs w:val="32"/>
        </w:rPr>
        <w:t>/</w:t>
      </w:r>
      <w:r>
        <w:rPr>
          <w:rFonts w:ascii="Times New Roman" w:eastAsia="仿宋_GB2312" w:hAnsi="Times New Roman"/>
          <w:color w:val="000000"/>
          <w:sz w:val="32"/>
          <w:szCs w:val="32"/>
        </w:rPr>
        <w:t>化学表征研究</w:t>
      </w:r>
    </w:p>
    <w:p w14:paraId="150F0183"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明确产品原材料组分及配比，明确确定依据。</w:t>
      </w:r>
    </w:p>
    <w:p w14:paraId="7BB9AE51"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提供陶瓷粉体原材料外观、相纯度、相成分及含量、钙磷原子比、红外吸收光谱、粒度及分布、粉末形貌、</w:t>
      </w:r>
      <w:r>
        <w:rPr>
          <w:rFonts w:ascii="Times New Roman" w:eastAsia="仿宋_GB2312" w:hAnsi="Times New Roman"/>
          <w:color w:val="000000"/>
          <w:sz w:val="32"/>
          <w:szCs w:val="32"/>
        </w:rPr>
        <w:t>pH</w:t>
      </w:r>
      <w:r>
        <w:rPr>
          <w:rFonts w:ascii="Times New Roman" w:eastAsia="仿宋_GB2312" w:hAnsi="Times New Roman"/>
          <w:color w:val="000000"/>
          <w:sz w:val="32"/>
          <w:szCs w:val="32"/>
        </w:rPr>
        <w:t>值、微量元素含量、重金属含量、含水量、比表面积、表面</w:t>
      </w:r>
      <w:r>
        <w:rPr>
          <w:rFonts w:ascii="Times New Roman" w:eastAsia="仿宋_GB2312" w:hAnsi="Times New Roman"/>
          <w:color w:val="000000"/>
          <w:sz w:val="32"/>
          <w:szCs w:val="32"/>
        </w:rPr>
        <w:t>Zeta</w:t>
      </w:r>
      <w:r>
        <w:rPr>
          <w:rFonts w:ascii="Times New Roman" w:eastAsia="仿宋_GB2312" w:hAnsi="Times New Roman"/>
          <w:color w:val="000000"/>
          <w:sz w:val="32"/>
          <w:szCs w:val="32"/>
        </w:rPr>
        <w:t>电位、松装密度、振实密度、流动性等各项性能指标要求的确定依据，可参考</w:t>
      </w:r>
      <w:r>
        <w:rPr>
          <w:rFonts w:ascii="Times New Roman" w:eastAsia="仿宋_GB2312" w:hAnsi="Times New Roman"/>
          <w:color w:val="000000"/>
          <w:sz w:val="32"/>
          <w:szCs w:val="32"/>
        </w:rPr>
        <w:t>YY/T 1910</w:t>
      </w:r>
      <w:r>
        <w:rPr>
          <w:rFonts w:ascii="Times New Roman" w:eastAsia="仿宋_GB2312" w:hAnsi="Times New Roman"/>
          <w:color w:val="000000"/>
          <w:sz w:val="32"/>
          <w:szCs w:val="32"/>
        </w:rPr>
        <w:t>提供相关研究数据，论述各性能对产品打印浆料及</w:t>
      </w:r>
      <w:proofErr w:type="gramStart"/>
      <w:r>
        <w:rPr>
          <w:rFonts w:ascii="Times New Roman" w:eastAsia="仿宋_GB2312" w:hAnsi="Times New Roman"/>
          <w:color w:val="000000"/>
          <w:sz w:val="32"/>
          <w:szCs w:val="32"/>
        </w:rPr>
        <w:t>终产品</w:t>
      </w:r>
      <w:proofErr w:type="gramEnd"/>
      <w:r>
        <w:rPr>
          <w:rFonts w:ascii="Times New Roman" w:eastAsia="仿宋_GB2312" w:hAnsi="Times New Roman"/>
          <w:color w:val="000000"/>
          <w:sz w:val="32"/>
          <w:szCs w:val="32"/>
        </w:rPr>
        <w:t>理化性能的影响，明确结果的可接受性。</w:t>
      </w:r>
    </w:p>
    <w:p w14:paraId="1D614E51"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3.3</w:t>
      </w:r>
      <w:r>
        <w:rPr>
          <w:rFonts w:ascii="Times New Roman" w:eastAsia="仿宋_GB2312" w:hAnsi="Times New Roman"/>
          <w:color w:val="000000"/>
          <w:sz w:val="32"/>
          <w:szCs w:val="32"/>
        </w:rPr>
        <w:t>打印工艺研究</w:t>
      </w:r>
    </w:p>
    <w:p w14:paraId="39063AB0"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 xml:space="preserve">3.3.1 </w:t>
      </w:r>
      <w:r>
        <w:rPr>
          <w:rFonts w:ascii="Times New Roman" w:eastAsia="仿宋_GB2312" w:hAnsi="Times New Roman"/>
          <w:color w:val="000000"/>
          <w:sz w:val="32"/>
          <w:szCs w:val="32"/>
        </w:rPr>
        <w:t>打印浆料研究：提供打印浆料各</w:t>
      </w:r>
      <w:r>
        <w:rPr>
          <w:rFonts w:ascii="Times New Roman" w:eastAsia="仿宋_GB2312" w:hAnsi="Times New Roman"/>
          <w:sz w:val="32"/>
          <w:szCs w:val="32"/>
        </w:rPr>
        <w:t>原材料组分及配比，明确设计依据，提供</w:t>
      </w:r>
      <w:r>
        <w:rPr>
          <w:rFonts w:ascii="Times New Roman" w:eastAsia="仿宋_GB2312" w:hAnsi="Times New Roman"/>
          <w:color w:val="000000"/>
          <w:sz w:val="32"/>
          <w:szCs w:val="32"/>
        </w:rPr>
        <w:t>浆料中加工助剂（如有）、添加剂（如有）、交联剂（如有）、光引发剂（如有）的初始状态，提供浆料的固含量、粘度与流动性、浆料稳定性性能研究，明确确定依据及临床可接受性；提供浆料配置参数研究，包括配料搅拌、</w:t>
      </w:r>
      <w:r>
        <w:rPr>
          <w:rFonts w:ascii="Times New Roman" w:eastAsia="仿宋_GB2312" w:hAnsi="Times New Roman"/>
          <w:sz w:val="32"/>
          <w:szCs w:val="32"/>
        </w:rPr>
        <w:t>球磨时间、转速、温度等，明确不同参数条件对浆料性能的影响，提供最佳参数确定依据；提供浆料储存条件确定依据，包括温度、湿度等</w:t>
      </w:r>
      <w:r>
        <w:rPr>
          <w:rFonts w:ascii="Times New Roman" w:eastAsia="仿宋_GB2312" w:hAnsi="Times New Roman"/>
          <w:color w:val="000000"/>
          <w:sz w:val="32"/>
          <w:szCs w:val="32"/>
        </w:rPr>
        <w:t>。</w:t>
      </w:r>
    </w:p>
    <w:p w14:paraId="3F0653CB" w14:textId="77777777" w:rsidR="00E55395" w:rsidRDefault="00434E16">
      <w:pPr>
        <w:spacing w:line="520" w:lineRule="exact"/>
        <w:ind w:firstLineChars="200" w:firstLine="640"/>
        <w:rPr>
          <w:rFonts w:ascii="Times New Roman" w:eastAsia="仿宋_GB2312" w:hAnsi="Times New Roman"/>
          <w:sz w:val="32"/>
          <w:szCs w:val="32"/>
        </w:rPr>
      </w:pPr>
      <w:r>
        <w:rPr>
          <w:rFonts w:ascii="Times New Roman" w:eastAsia="仿宋_GB2312" w:hAnsi="Times New Roman"/>
          <w:color w:val="000000"/>
          <w:sz w:val="32"/>
          <w:szCs w:val="32"/>
        </w:rPr>
        <w:t>3.3.2</w:t>
      </w:r>
      <w:r>
        <w:rPr>
          <w:rFonts w:ascii="Times New Roman" w:eastAsia="仿宋_GB2312" w:hAnsi="Times New Roman"/>
          <w:color w:val="000000"/>
          <w:sz w:val="32"/>
          <w:szCs w:val="32"/>
        </w:rPr>
        <w:t>打印工艺过程研究：明确</w:t>
      </w:r>
      <w:r>
        <w:rPr>
          <w:rFonts w:ascii="Times New Roman" w:eastAsia="仿宋_GB2312" w:hAnsi="Times New Roman"/>
          <w:color w:val="000000"/>
          <w:sz w:val="32"/>
          <w:szCs w:val="32"/>
        </w:rPr>
        <w:t>3D</w:t>
      </w:r>
      <w:r>
        <w:rPr>
          <w:rFonts w:ascii="Times New Roman" w:eastAsia="仿宋_GB2312" w:hAnsi="Times New Roman"/>
          <w:color w:val="000000"/>
          <w:sz w:val="32"/>
          <w:szCs w:val="32"/>
        </w:rPr>
        <w:t>打印舱室环境以及材料成型关键参数，如挤出压力、针头移动速度、扫描速率、打印室</w:t>
      </w:r>
      <w:r>
        <w:rPr>
          <w:rFonts w:ascii="Times New Roman" w:eastAsia="仿宋_GB2312" w:hAnsi="Times New Roman"/>
          <w:sz w:val="32"/>
          <w:szCs w:val="32"/>
        </w:rPr>
        <w:t>温度、湿度、曝光功率、曝光时间、切片厚度等，</w:t>
      </w:r>
      <w:r>
        <w:rPr>
          <w:rFonts w:ascii="Times New Roman" w:eastAsia="仿宋_GB2312" w:hAnsi="Times New Roman"/>
          <w:color w:val="000000"/>
          <w:sz w:val="32"/>
          <w:szCs w:val="32"/>
        </w:rPr>
        <w:t>论述确定依据；提供设备的稳定性研究资料；提供</w:t>
      </w:r>
      <w:r>
        <w:rPr>
          <w:rFonts w:ascii="Times New Roman" w:eastAsia="仿宋_GB2312" w:hAnsi="Times New Roman"/>
          <w:sz w:val="32"/>
          <w:szCs w:val="32"/>
        </w:rPr>
        <w:t>支撑的设计和脱模研究资料。</w:t>
      </w:r>
    </w:p>
    <w:p w14:paraId="70C97520"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sz w:val="32"/>
          <w:szCs w:val="32"/>
        </w:rPr>
        <w:t>3.3.3</w:t>
      </w:r>
      <w:r>
        <w:rPr>
          <w:rFonts w:ascii="Times New Roman" w:eastAsia="仿宋_GB2312" w:hAnsi="Times New Roman"/>
          <w:sz w:val="32"/>
          <w:szCs w:val="32"/>
        </w:rPr>
        <w:t>打印后处理研究：明确产品后处理工艺控制研究，提供煅烧工艺（如涉及）参数确定依据，明确不同后处理条件对产品性能的影响；评估烧结过程中的粉末掉落对产品性能的影响。</w:t>
      </w:r>
    </w:p>
    <w:p w14:paraId="7B9F396B"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3.4</w:t>
      </w:r>
      <w:r>
        <w:rPr>
          <w:rFonts w:ascii="Times New Roman" w:eastAsia="仿宋_GB2312" w:hAnsi="Times New Roman"/>
          <w:color w:val="000000"/>
          <w:sz w:val="32"/>
          <w:szCs w:val="32"/>
        </w:rPr>
        <w:t>生物学特性研究</w:t>
      </w:r>
    </w:p>
    <w:p w14:paraId="266AB42F"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申请人需按照</w:t>
      </w:r>
      <w:r>
        <w:rPr>
          <w:rFonts w:ascii="Times New Roman" w:eastAsia="仿宋_GB2312" w:hAnsi="Times New Roman"/>
          <w:color w:val="000000"/>
          <w:sz w:val="32"/>
          <w:szCs w:val="32"/>
        </w:rPr>
        <w:t>GB/T 16886.1</w:t>
      </w:r>
      <w:r>
        <w:rPr>
          <w:rFonts w:ascii="Times New Roman" w:eastAsia="仿宋_GB2312" w:hAnsi="Times New Roman"/>
          <w:color w:val="000000"/>
          <w:sz w:val="32"/>
          <w:szCs w:val="32"/>
        </w:rPr>
        <w:t>《医疗器械生物学评价第</w:t>
      </w:r>
      <w:r>
        <w:rPr>
          <w:rFonts w:ascii="Times New Roman" w:eastAsia="仿宋_GB2312" w:hAnsi="Times New Roman"/>
          <w:color w:val="000000"/>
          <w:sz w:val="32"/>
          <w:szCs w:val="32"/>
        </w:rPr>
        <w:t>1</w:t>
      </w:r>
      <w:r>
        <w:rPr>
          <w:rFonts w:ascii="Times New Roman" w:eastAsia="仿宋_GB2312" w:hAnsi="Times New Roman"/>
          <w:color w:val="000000"/>
          <w:sz w:val="32"/>
          <w:szCs w:val="32"/>
        </w:rPr>
        <w:t>部分：风险管理过程中的评价与试验》中的系统方法框图及《国家食品药品监督管理局关于印发医疗器械生物学评价和审查指南的通知》中的审查要点进行风险评价，必要时根据</w:t>
      </w:r>
      <w:r>
        <w:rPr>
          <w:rFonts w:ascii="Times New Roman" w:eastAsia="仿宋_GB2312" w:hAnsi="Times New Roman"/>
          <w:color w:val="000000"/>
          <w:sz w:val="32"/>
          <w:szCs w:val="32"/>
        </w:rPr>
        <w:t>GB/T 16886</w:t>
      </w:r>
      <w:r>
        <w:rPr>
          <w:rFonts w:ascii="Times New Roman" w:eastAsia="仿宋_GB2312" w:hAnsi="Times New Roman"/>
          <w:color w:val="000000"/>
          <w:sz w:val="32"/>
          <w:szCs w:val="32"/>
        </w:rPr>
        <w:t>系列标准进行生物学试验。生物学评价终点一般包括细胞毒性、皮内刺激、迟发型超敏反应、急性全身毒性、亚慢性全身毒性、遗传毒性、植入、致癌性、材料</w:t>
      </w:r>
      <w:proofErr w:type="gramStart"/>
      <w:r>
        <w:rPr>
          <w:rFonts w:ascii="Times New Roman" w:eastAsia="仿宋_GB2312" w:hAnsi="Times New Roman"/>
          <w:color w:val="000000"/>
          <w:sz w:val="32"/>
          <w:szCs w:val="32"/>
        </w:rPr>
        <w:t>介</w:t>
      </w:r>
      <w:proofErr w:type="gramEnd"/>
      <w:r>
        <w:rPr>
          <w:rFonts w:ascii="Times New Roman" w:eastAsia="仿宋_GB2312" w:hAnsi="Times New Roman"/>
          <w:color w:val="000000"/>
          <w:sz w:val="32"/>
          <w:szCs w:val="32"/>
        </w:rPr>
        <w:t>导的致热性等。需重点关注可沥滤化学物质的存在及毒性的</w:t>
      </w:r>
      <w:r>
        <w:rPr>
          <w:rFonts w:ascii="Times New Roman" w:eastAsia="仿宋_GB2312" w:hAnsi="Times New Roman"/>
          <w:color w:val="000000"/>
          <w:sz w:val="32"/>
          <w:szCs w:val="32"/>
        </w:rPr>
        <w:lastRenderedPageBreak/>
        <w:t>可接受性。</w:t>
      </w:r>
    </w:p>
    <w:p w14:paraId="668F41B8"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3.5</w:t>
      </w:r>
      <w:r>
        <w:rPr>
          <w:rFonts w:ascii="Times New Roman" w:eastAsia="仿宋_GB2312" w:hAnsi="Times New Roman"/>
          <w:color w:val="000000"/>
          <w:sz w:val="32"/>
          <w:szCs w:val="32"/>
        </w:rPr>
        <w:t>灭菌验证</w:t>
      </w:r>
    </w:p>
    <w:p w14:paraId="20D91719"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描述用于保证产品无菌的质量保证体系，明确灭菌工艺（方法和参数）和无菌保证水平（</w:t>
      </w:r>
      <w:r>
        <w:rPr>
          <w:rFonts w:ascii="Times New Roman" w:eastAsia="仿宋_GB2312" w:hAnsi="Times New Roman"/>
          <w:color w:val="000000"/>
          <w:sz w:val="32"/>
          <w:szCs w:val="32"/>
        </w:rPr>
        <w:t>SAL</w:t>
      </w:r>
      <w:r>
        <w:rPr>
          <w:rFonts w:ascii="Times New Roman" w:eastAsia="仿宋_GB2312" w:hAnsi="Times New Roman"/>
          <w:color w:val="000000"/>
          <w:sz w:val="32"/>
          <w:szCs w:val="32"/>
        </w:rPr>
        <w:t>）。</w:t>
      </w:r>
    </w:p>
    <w:p w14:paraId="4357D919"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对于灭菌包装交付产品，需提供灭菌工艺验证报告。对于经辐照灭菌的产品，需明确射线种类、辐照剂量及相关的验证报告（其中具体的剂量确定依据可参照</w:t>
      </w:r>
      <w:r>
        <w:rPr>
          <w:rFonts w:ascii="Times New Roman" w:eastAsia="仿宋_GB2312" w:hAnsi="Times New Roman"/>
          <w:color w:val="000000"/>
          <w:sz w:val="32"/>
          <w:szCs w:val="32"/>
        </w:rPr>
        <w:t>GB 18280</w:t>
      </w:r>
      <w:r>
        <w:rPr>
          <w:rFonts w:ascii="Times New Roman" w:eastAsia="仿宋_GB2312" w:hAnsi="Times New Roman"/>
          <w:color w:val="000000"/>
          <w:sz w:val="32"/>
          <w:szCs w:val="32"/>
        </w:rPr>
        <w:t>系列标准）。对于经环氧乙烷灭菌的产品，需提供灭菌结果确认和过程控制报告（具体可参照</w:t>
      </w:r>
      <w:r>
        <w:rPr>
          <w:rFonts w:ascii="Times New Roman" w:eastAsia="仿宋_GB2312" w:hAnsi="Times New Roman"/>
          <w:color w:val="000000"/>
          <w:sz w:val="32"/>
          <w:szCs w:val="32"/>
        </w:rPr>
        <w:t>GB 18279</w:t>
      </w:r>
      <w:r>
        <w:rPr>
          <w:rFonts w:ascii="Times New Roman" w:eastAsia="仿宋_GB2312" w:hAnsi="Times New Roman"/>
          <w:color w:val="000000"/>
          <w:sz w:val="32"/>
          <w:szCs w:val="32"/>
        </w:rPr>
        <w:t>系列标准）。</w:t>
      </w:r>
    </w:p>
    <w:p w14:paraId="1C3064B5"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若灭菌使用的方法涉及出现残留，需明确残留物信息及采取的处理具体方法和条件，并提供研究资料。</w:t>
      </w:r>
    </w:p>
    <w:p w14:paraId="07943851"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若产品以非灭菌包装状态交付，需考虑推荐灭菌方法对产品的适用性，提供推荐灭菌方法及参数的验证资料。</w:t>
      </w:r>
    </w:p>
    <w:p w14:paraId="5C41369E"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3.6</w:t>
      </w:r>
      <w:r>
        <w:rPr>
          <w:rFonts w:ascii="Times New Roman" w:eastAsia="仿宋_GB2312" w:hAnsi="Times New Roman"/>
          <w:color w:val="000000"/>
          <w:sz w:val="32"/>
          <w:szCs w:val="32"/>
        </w:rPr>
        <w:t>动物试验研究</w:t>
      </w:r>
    </w:p>
    <w:p w14:paraId="4CD93845"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建议按照《医疗器械动物试验研究注册审查指导原则第二部分：试验设计、实施质量保证》的要求开展动物试验研究。需考虑动物自身情况对试验结果的影响，合理选择动物，并提供动物模型、动物年龄、动物性别、动物品系的确定依据，需具备科学合理性。需结合产品适应证，明确产品主要和次要观察指标，特别是产品预期宣称功能的评价指标，并提供指标的确定依据。观察指标一般可设置为大体观察，血液学指标，植入物与周围骨组织生长情况，骨与植入物结合强度，新骨形成、骨细胞、骨基质及一些病理改变的观察，植入物界面新生骨生长情况等。观察周期需观察到组织反应达到稳定状态。</w:t>
      </w:r>
    </w:p>
    <w:p w14:paraId="445085FC"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稳定性研究</w:t>
      </w:r>
    </w:p>
    <w:p w14:paraId="6030E2FF"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4.1</w:t>
      </w:r>
      <w:r>
        <w:rPr>
          <w:rFonts w:ascii="Times New Roman" w:eastAsia="仿宋_GB2312" w:hAnsi="Times New Roman"/>
          <w:color w:val="000000"/>
          <w:sz w:val="32"/>
          <w:szCs w:val="32"/>
        </w:rPr>
        <w:t>货架有效期</w:t>
      </w:r>
      <w:r>
        <w:rPr>
          <w:rFonts w:ascii="Times New Roman" w:eastAsia="仿宋_GB2312" w:hAnsi="Times New Roman"/>
          <w:color w:val="000000"/>
          <w:sz w:val="32"/>
          <w:szCs w:val="32"/>
        </w:rPr>
        <w:t xml:space="preserve"> </w:t>
      </w:r>
    </w:p>
    <w:p w14:paraId="4E81314B"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w:t>
      </w:r>
      <w:bookmarkStart w:id="0" w:name="_GoBack"/>
      <w:bookmarkEnd w:id="0"/>
      <w:r>
        <w:rPr>
          <w:rFonts w:ascii="Times New Roman" w:eastAsia="仿宋_GB2312" w:hAnsi="Times New Roman"/>
          <w:color w:val="000000"/>
          <w:sz w:val="32"/>
          <w:szCs w:val="32"/>
        </w:rPr>
        <w:t>请人需参照《无源植入性医疗器械稳定性研究指导原则（</w:t>
      </w:r>
      <w:r>
        <w:rPr>
          <w:rFonts w:ascii="Times New Roman" w:eastAsia="仿宋_GB2312" w:hAnsi="Times New Roman"/>
          <w:color w:val="000000"/>
          <w:sz w:val="32"/>
          <w:szCs w:val="32"/>
        </w:rPr>
        <w:t>2022</w:t>
      </w:r>
      <w:r>
        <w:rPr>
          <w:rFonts w:ascii="Times New Roman" w:eastAsia="仿宋_GB2312" w:hAnsi="Times New Roman"/>
          <w:color w:val="000000"/>
          <w:sz w:val="32"/>
          <w:szCs w:val="32"/>
        </w:rPr>
        <w:t>年修订版）》提供产品货架有效期的验证资料。医疗器械货架有效期的验证试验通常可包括加速稳定性试验、实时稳定性试验等，需根据医疗器械产品特性选择验证方式。无论加速稳定性试验还是实时稳定性试验，注册申请人均需在试验方案中设定测试项目、测试方法及判定标准。实时稳定性试验结果是验证产品货架有效期的直接证据。当加速稳定性试验结果与其不一致时，应以实时稳定性试验结果为准。如采用加速老化，需要论证老化温度对可吸收材料的影响。</w:t>
      </w:r>
    </w:p>
    <w:p w14:paraId="4D4CF039"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注册申请人需提交包装研究资料，依据有关国内、国际标准对包装进行分析研究和评价，如</w:t>
      </w:r>
      <w:r>
        <w:rPr>
          <w:rFonts w:ascii="Times New Roman" w:eastAsia="仿宋_GB2312" w:hAnsi="Times New Roman"/>
          <w:color w:val="000000"/>
          <w:sz w:val="32"/>
          <w:szCs w:val="32"/>
        </w:rPr>
        <w:t>GB/T 19633.1</w:t>
      </w:r>
      <w:r>
        <w:rPr>
          <w:rFonts w:ascii="Times New Roman" w:eastAsia="仿宋_GB2312" w:hAnsi="Times New Roman"/>
          <w:color w:val="000000"/>
          <w:sz w:val="32"/>
          <w:szCs w:val="32"/>
        </w:rPr>
        <w:t>、</w:t>
      </w:r>
      <w:r>
        <w:rPr>
          <w:rFonts w:ascii="Times New Roman" w:eastAsia="仿宋_GB2312" w:hAnsi="Times New Roman"/>
          <w:color w:val="000000"/>
          <w:sz w:val="32"/>
          <w:szCs w:val="32"/>
        </w:rPr>
        <w:t>GB/T 19633.2</w:t>
      </w:r>
      <w:r>
        <w:rPr>
          <w:rFonts w:ascii="Times New Roman" w:eastAsia="仿宋_GB2312" w:hAnsi="Times New Roman"/>
          <w:color w:val="000000"/>
          <w:sz w:val="32"/>
          <w:szCs w:val="32"/>
        </w:rPr>
        <w:t>、</w:t>
      </w:r>
      <w:r>
        <w:rPr>
          <w:rFonts w:ascii="Times New Roman" w:eastAsia="仿宋_GB2312" w:hAnsi="Times New Roman"/>
          <w:color w:val="000000"/>
          <w:sz w:val="32"/>
          <w:szCs w:val="32"/>
        </w:rPr>
        <w:t>ISO 11607</w:t>
      </w:r>
      <w:r>
        <w:rPr>
          <w:rFonts w:ascii="Times New Roman" w:eastAsia="仿宋_GB2312" w:hAnsi="Times New Roman"/>
          <w:color w:val="000000"/>
          <w:sz w:val="32"/>
          <w:szCs w:val="32"/>
        </w:rPr>
        <w:t>、</w:t>
      </w:r>
      <w:r>
        <w:rPr>
          <w:rFonts w:ascii="Times New Roman" w:eastAsia="仿宋_GB2312" w:hAnsi="Times New Roman"/>
          <w:color w:val="000000"/>
          <w:sz w:val="32"/>
          <w:szCs w:val="32"/>
        </w:rPr>
        <w:t>ASTM F2475</w:t>
      </w:r>
      <w:r>
        <w:rPr>
          <w:rFonts w:ascii="Times New Roman" w:eastAsia="仿宋_GB2312" w:hAnsi="Times New Roman"/>
          <w:color w:val="000000"/>
          <w:sz w:val="32"/>
          <w:szCs w:val="32"/>
        </w:rPr>
        <w:t>、</w:t>
      </w:r>
      <w:r>
        <w:rPr>
          <w:rFonts w:ascii="Times New Roman" w:eastAsia="仿宋_GB2312" w:hAnsi="Times New Roman"/>
          <w:color w:val="000000"/>
          <w:sz w:val="32"/>
          <w:szCs w:val="32"/>
        </w:rPr>
        <w:t>ASTM D4169</w:t>
      </w:r>
      <w:r>
        <w:rPr>
          <w:rFonts w:ascii="Times New Roman" w:eastAsia="仿宋_GB2312" w:hAnsi="Times New Roman"/>
          <w:color w:val="000000"/>
          <w:sz w:val="32"/>
          <w:szCs w:val="32"/>
        </w:rPr>
        <w:t>等。可采用包装封口完整性检测用于替代无菌检测。包装完整性检测项目包括染色液穿透法测定透气包装的密封泄漏试验、目力检测和气泡法测定软性包装泄漏试验等；包装强度测试项目包括软性屏障材料密封强度试验、无约束包装抗内压破坏试验等。</w:t>
      </w:r>
    </w:p>
    <w:p w14:paraId="1BA89CB7" w14:textId="77777777" w:rsidR="00E55395" w:rsidRDefault="00434E16">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4.2</w:t>
      </w:r>
      <w:r>
        <w:rPr>
          <w:rFonts w:ascii="Times New Roman" w:eastAsia="仿宋_GB2312" w:hAnsi="Times New Roman"/>
          <w:color w:val="000000"/>
          <w:sz w:val="32"/>
          <w:szCs w:val="32"/>
        </w:rPr>
        <w:t>运输稳定性</w:t>
      </w:r>
    </w:p>
    <w:p w14:paraId="2E90E270"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请人需提交运输稳定性验证资料，证明在规定的运输条件下，运输过程中环境条件（例如：震动、振动、温度和湿度的波动）不会对医疗器械和包装的特性和性能，包括完整性、清洁度和无菌性，造成不利影响。</w:t>
      </w:r>
    </w:p>
    <w:p w14:paraId="074BA0E2"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其他资料</w:t>
      </w:r>
    </w:p>
    <w:p w14:paraId="7B67A86F"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需关注多孔结构设计（如多孔结构的孔径、丝径、孔隙</w:t>
      </w:r>
      <w:r>
        <w:rPr>
          <w:rFonts w:ascii="Times New Roman" w:eastAsia="仿宋_GB2312" w:hAnsi="Times New Roman"/>
          <w:color w:val="000000"/>
          <w:sz w:val="32"/>
          <w:szCs w:val="32"/>
        </w:rPr>
        <w:lastRenderedPageBreak/>
        <w:t>率、平均孔隙截距、孔隙梯度、</w:t>
      </w:r>
      <w:proofErr w:type="gramStart"/>
      <w:r>
        <w:rPr>
          <w:rFonts w:ascii="Times New Roman" w:eastAsia="仿宋_GB2312" w:hAnsi="Times New Roman"/>
          <w:color w:val="000000"/>
          <w:sz w:val="32"/>
          <w:szCs w:val="32"/>
        </w:rPr>
        <w:t>孔内部</w:t>
      </w:r>
      <w:proofErr w:type="gramEnd"/>
      <w:r>
        <w:rPr>
          <w:rFonts w:ascii="Times New Roman" w:eastAsia="仿宋_GB2312" w:hAnsi="Times New Roman"/>
          <w:color w:val="000000"/>
          <w:sz w:val="32"/>
          <w:szCs w:val="32"/>
        </w:rPr>
        <w:t>连通性、多孔结构的厚度等）对骨生长的效果，提供多孔结构设计依据。</w:t>
      </w:r>
    </w:p>
    <w:p w14:paraId="52B59C37"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需要针对细菌内毒素进行验证。</w:t>
      </w:r>
    </w:p>
    <w:p w14:paraId="1C36C76B"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需评估在打印过程中是否出现烧损</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孔隙堵塞</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表面粗糙度变化等情况。</w:t>
      </w:r>
    </w:p>
    <w:p w14:paraId="7C8D1AC0" w14:textId="77777777" w:rsidR="00E55395" w:rsidRDefault="00434E16">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（三）产品说明书和标签样稿</w:t>
      </w:r>
    </w:p>
    <w:p w14:paraId="4C483182"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产品说明书、标签和包装标识需符合《医疗器械说明书和标签管理规定》和相关国家标准、行业标准的要求，例如</w:t>
      </w:r>
      <w:r>
        <w:rPr>
          <w:rFonts w:ascii="Times New Roman" w:eastAsia="仿宋_GB2312" w:hAnsi="Times New Roman"/>
          <w:color w:val="000000"/>
          <w:sz w:val="32"/>
          <w:szCs w:val="32"/>
        </w:rPr>
        <w:t>YY/T 0466.1</w:t>
      </w:r>
      <w:r>
        <w:rPr>
          <w:rFonts w:ascii="Times New Roman" w:eastAsia="仿宋_GB2312" w:hAnsi="Times New Roman"/>
          <w:color w:val="000000"/>
          <w:sz w:val="32"/>
          <w:szCs w:val="32"/>
        </w:rPr>
        <w:t>《医疗器械用于医疗器械标签、标记和提供信息的符号第</w:t>
      </w:r>
      <w:r>
        <w:rPr>
          <w:rFonts w:ascii="Times New Roman" w:eastAsia="仿宋_GB2312" w:hAnsi="Times New Roman"/>
          <w:color w:val="000000"/>
          <w:sz w:val="32"/>
          <w:szCs w:val="32"/>
        </w:rPr>
        <w:t>1</w:t>
      </w:r>
      <w:r>
        <w:rPr>
          <w:rFonts w:ascii="Times New Roman" w:eastAsia="仿宋_GB2312" w:hAnsi="Times New Roman"/>
          <w:color w:val="000000"/>
          <w:sz w:val="32"/>
          <w:szCs w:val="32"/>
        </w:rPr>
        <w:t>部分：通用要求》。</w:t>
      </w:r>
    </w:p>
    <w:p w14:paraId="08A02883" w14:textId="77777777" w:rsidR="00E55395" w:rsidRDefault="00434E16">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说明书需告知使用者所有使用过程中相关的剩余风险。对产品预期使用者的技术知识、经验、教育背景、培训、身体状况以及产品使用环境（</w:t>
      </w:r>
      <w:proofErr w:type="gramStart"/>
      <w:r>
        <w:rPr>
          <w:rFonts w:ascii="Times New Roman" w:eastAsia="仿宋_GB2312" w:hAnsi="Times New Roman"/>
          <w:color w:val="000000"/>
          <w:sz w:val="32"/>
          <w:szCs w:val="32"/>
        </w:rPr>
        <w:t>含工作</w:t>
      </w:r>
      <w:proofErr w:type="gramEnd"/>
      <w:r>
        <w:rPr>
          <w:rFonts w:ascii="Times New Roman" w:eastAsia="仿宋_GB2312" w:hAnsi="Times New Roman"/>
          <w:color w:val="000000"/>
          <w:sz w:val="32"/>
          <w:szCs w:val="32"/>
        </w:rPr>
        <w:t>条件）有要求的，在说明书中需予以明确。若产品适用于除成人以外的人群，需在说明书中予以明确。</w:t>
      </w:r>
    </w:p>
    <w:sectPr w:rsidR="00E55395">
      <w:footerReference w:type="default" r:id="rId9"/>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F40F4" w14:textId="77777777" w:rsidR="0074479D" w:rsidRDefault="0074479D">
      <w:r>
        <w:separator/>
      </w:r>
    </w:p>
  </w:endnote>
  <w:endnote w:type="continuationSeparator" w:id="0">
    <w:p w14:paraId="6E288F49" w14:textId="77777777" w:rsidR="0074479D" w:rsidRDefault="0074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05847"/>
    </w:sdtPr>
    <w:sdtEndPr/>
    <w:sdtContent>
      <w:sdt>
        <w:sdtPr>
          <w:id w:val="1728636285"/>
        </w:sdtPr>
        <w:sdtEndPr/>
        <w:sdtContent>
          <w:p w14:paraId="5FEA9109" w14:textId="3E0AFEC0" w:rsidR="00E55395" w:rsidRDefault="00434E16">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A441A">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A441A">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CFC6C" w14:textId="77777777" w:rsidR="0074479D" w:rsidRDefault="0074479D">
      <w:r>
        <w:separator/>
      </w:r>
    </w:p>
  </w:footnote>
  <w:footnote w:type="continuationSeparator" w:id="0">
    <w:p w14:paraId="526CF1DB" w14:textId="77777777" w:rsidR="0074479D" w:rsidRDefault="00744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2727"/>
    <w:multiLevelType w:val="multilevel"/>
    <w:tmpl w:val="0A1D2727"/>
    <w:lvl w:ilvl="0">
      <w:start w:val="1"/>
      <w:numFmt w:val="japaneseCounting"/>
      <w:lvlText w:val="（%1）"/>
      <w:lvlJc w:val="left"/>
      <w:pPr>
        <w:ind w:left="1720" w:hanging="1080"/>
      </w:pPr>
      <w:rPr>
        <w:rFonts w:hint="default"/>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mMjc4ZWNlYTRhZGZlNDJkNWZkYTEzODFhZmZlZWMifQ=="/>
  </w:docVars>
  <w:rsids>
    <w:rsidRoot w:val="495D629C"/>
    <w:rsid w:val="00006981"/>
    <w:rsid w:val="000160F6"/>
    <w:rsid w:val="00035835"/>
    <w:rsid w:val="00040FE3"/>
    <w:rsid w:val="00042391"/>
    <w:rsid w:val="0005057E"/>
    <w:rsid w:val="00066DF4"/>
    <w:rsid w:val="0007265D"/>
    <w:rsid w:val="000804E6"/>
    <w:rsid w:val="00080C72"/>
    <w:rsid w:val="000B11B4"/>
    <w:rsid w:val="000B62DA"/>
    <w:rsid w:val="000C46E1"/>
    <w:rsid w:val="000D0287"/>
    <w:rsid w:val="000D2F6F"/>
    <w:rsid w:val="000F3345"/>
    <w:rsid w:val="00103997"/>
    <w:rsid w:val="001274DD"/>
    <w:rsid w:val="00134B83"/>
    <w:rsid w:val="00136126"/>
    <w:rsid w:val="00136227"/>
    <w:rsid w:val="0015387B"/>
    <w:rsid w:val="00185163"/>
    <w:rsid w:val="001B3B3A"/>
    <w:rsid w:val="001E5433"/>
    <w:rsid w:val="001F68A2"/>
    <w:rsid w:val="002177C7"/>
    <w:rsid w:val="00220F2B"/>
    <w:rsid w:val="00224A06"/>
    <w:rsid w:val="0024235B"/>
    <w:rsid w:val="00261461"/>
    <w:rsid w:val="00267B23"/>
    <w:rsid w:val="0028031C"/>
    <w:rsid w:val="002805BD"/>
    <w:rsid w:val="00292139"/>
    <w:rsid w:val="00292FD1"/>
    <w:rsid w:val="00294C2E"/>
    <w:rsid w:val="002A5458"/>
    <w:rsid w:val="002B729D"/>
    <w:rsid w:val="002D5349"/>
    <w:rsid w:val="002E772B"/>
    <w:rsid w:val="003033E0"/>
    <w:rsid w:val="00321092"/>
    <w:rsid w:val="003514D6"/>
    <w:rsid w:val="00366F42"/>
    <w:rsid w:val="00381483"/>
    <w:rsid w:val="003B272E"/>
    <w:rsid w:val="003B6D17"/>
    <w:rsid w:val="003D7CED"/>
    <w:rsid w:val="003E4088"/>
    <w:rsid w:val="00402E92"/>
    <w:rsid w:val="00411634"/>
    <w:rsid w:val="00434E16"/>
    <w:rsid w:val="004464C2"/>
    <w:rsid w:val="0044792B"/>
    <w:rsid w:val="00467CA9"/>
    <w:rsid w:val="00475094"/>
    <w:rsid w:val="00475E67"/>
    <w:rsid w:val="004818AD"/>
    <w:rsid w:val="00483E7E"/>
    <w:rsid w:val="00497FEF"/>
    <w:rsid w:val="004A441A"/>
    <w:rsid w:val="004D76C0"/>
    <w:rsid w:val="004F1852"/>
    <w:rsid w:val="004F37CE"/>
    <w:rsid w:val="005111AD"/>
    <w:rsid w:val="00537571"/>
    <w:rsid w:val="00544DF6"/>
    <w:rsid w:val="005509ED"/>
    <w:rsid w:val="00555B42"/>
    <w:rsid w:val="00556062"/>
    <w:rsid w:val="00556777"/>
    <w:rsid w:val="005A31D1"/>
    <w:rsid w:val="005A53F5"/>
    <w:rsid w:val="005B5D6C"/>
    <w:rsid w:val="005C2E9F"/>
    <w:rsid w:val="006161AF"/>
    <w:rsid w:val="006461A4"/>
    <w:rsid w:val="00661513"/>
    <w:rsid w:val="006767E1"/>
    <w:rsid w:val="006874F3"/>
    <w:rsid w:val="00692144"/>
    <w:rsid w:val="0069747A"/>
    <w:rsid w:val="006A28A8"/>
    <w:rsid w:val="006A6CCE"/>
    <w:rsid w:val="006A73FF"/>
    <w:rsid w:val="006B7CAD"/>
    <w:rsid w:val="006C64DE"/>
    <w:rsid w:val="006C7F1F"/>
    <w:rsid w:val="006E1DAD"/>
    <w:rsid w:val="006F0E31"/>
    <w:rsid w:val="006F7CD5"/>
    <w:rsid w:val="0074479D"/>
    <w:rsid w:val="007463D2"/>
    <w:rsid w:val="00773048"/>
    <w:rsid w:val="007816B3"/>
    <w:rsid w:val="00781D79"/>
    <w:rsid w:val="007977DD"/>
    <w:rsid w:val="007B1680"/>
    <w:rsid w:val="007B33E7"/>
    <w:rsid w:val="007C4A47"/>
    <w:rsid w:val="007D4A7F"/>
    <w:rsid w:val="007D6D71"/>
    <w:rsid w:val="00801181"/>
    <w:rsid w:val="0081083B"/>
    <w:rsid w:val="00811F0A"/>
    <w:rsid w:val="00816218"/>
    <w:rsid w:val="00835147"/>
    <w:rsid w:val="008522D9"/>
    <w:rsid w:val="008578B5"/>
    <w:rsid w:val="0087458B"/>
    <w:rsid w:val="00875116"/>
    <w:rsid w:val="0088374F"/>
    <w:rsid w:val="00884CFA"/>
    <w:rsid w:val="008860DC"/>
    <w:rsid w:val="008937AF"/>
    <w:rsid w:val="00894A43"/>
    <w:rsid w:val="008E459B"/>
    <w:rsid w:val="008F3AA1"/>
    <w:rsid w:val="00942915"/>
    <w:rsid w:val="00981A50"/>
    <w:rsid w:val="0098680E"/>
    <w:rsid w:val="00995179"/>
    <w:rsid w:val="009A00A2"/>
    <w:rsid w:val="009A43BE"/>
    <w:rsid w:val="009B14CE"/>
    <w:rsid w:val="009B1D8F"/>
    <w:rsid w:val="009B7737"/>
    <w:rsid w:val="009B79FB"/>
    <w:rsid w:val="00A56110"/>
    <w:rsid w:val="00A601B7"/>
    <w:rsid w:val="00A80AE1"/>
    <w:rsid w:val="00A90FFB"/>
    <w:rsid w:val="00A91A99"/>
    <w:rsid w:val="00AA29E2"/>
    <w:rsid w:val="00AE1A39"/>
    <w:rsid w:val="00AF1A51"/>
    <w:rsid w:val="00B04E90"/>
    <w:rsid w:val="00B229A3"/>
    <w:rsid w:val="00B23900"/>
    <w:rsid w:val="00B27583"/>
    <w:rsid w:val="00B30128"/>
    <w:rsid w:val="00B66A4F"/>
    <w:rsid w:val="00BA0090"/>
    <w:rsid w:val="00BB12D8"/>
    <w:rsid w:val="00BB3581"/>
    <w:rsid w:val="00BC126A"/>
    <w:rsid w:val="00BC1B36"/>
    <w:rsid w:val="00C159FF"/>
    <w:rsid w:val="00C22675"/>
    <w:rsid w:val="00C42541"/>
    <w:rsid w:val="00C77AF4"/>
    <w:rsid w:val="00C91577"/>
    <w:rsid w:val="00CB4B1D"/>
    <w:rsid w:val="00CC4043"/>
    <w:rsid w:val="00CC6264"/>
    <w:rsid w:val="00CE0A5C"/>
    <w:rsid w:val="00CF24DF"/>
    <w:rsid w:val="00D35F80"/>
    <w:rsid w:val="00D700BB"/>
    <w:rsid w:val="00DB1A28"/>
    <w:rsid w:val="00DB2C5F"/>
    <w:rsid w:val="00DE43F0"/>
    <w:rsid w:val="00DF3909"/>
    <w:rsid w:val="00E04103"/>
    <w:rsid w:val="00E06824"/>
    <w:rsid w:val="00E21FCB"/>
    <w:rsid w:val="00E26DE9"/>
    <w:rsid w:val="00E42AE3"/>
    <w:rsid w:val="00E443F5"/>
    <w:rsid w:val="00E46AD8"/>
    <w:rsid w:val="00E55395"/>
    <w:rsid w:val="00E741EB"/>
    <w:rsid w:val="00E769AF"/>
    <w:rsid w:val="00E92409"/>
    <w:rsid w:val="00EB621E"/>
    <w:rsid w:val="00ED7580"/>
    <w:rsid w:val="00F42913"/>
    <w:rsid w:val="00F44B6B"/>
    <w:rsid w:val="00F740A4"/>
    <w:rsid w:val="00F91EA9"/>
    <w:rsid w:val="00FB53F7"/>
    <w:rsid w:val="00FB5EB6"/>
    <w:rsid w:val="00FC6512"/>
    <w:rsid w:val="00FD2596"/>
    <w:rsid w:val="00FE44CB"/>
    <w:rsid w:val="2DEB2E0F"/>
    <w:rsid w:val="495D629C"/>
    <w:rsid w:val="6C67735E"/>
    <w:rsid w:val="75003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2EB35"/>
  <w15:docId w15:val="{7B0D8AE4-C22E-4386-9BC4-838C7956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character" w:styleId="a9">
    <w:name w:val="line number"/>
    <w:basedOn w:val="a0"/>
    <w:semiHidden/>
    <w:unhideWhenUsed/>
    <w:qFormat/>
  </w:style>
  <w:style w:type="character" w:customStyle="1" w:styleId="a8">
    <w:name w:val="页眉 字符"/>
    <w:basedOn w:val="a0"/>
    <w:link w:val="a7"/>
    <w:rPr>
      <w:rFonts w:ascii="等线" w:eastAsia="等线" w:hAnsi="等线" w:cs="Times New Roman"/>
      <w:kern w:val="2"/>
      <w:sz w:val="18"/>
      <w:szCs w:val="18"/>
    </w:rPr>
  </w:style>
  <w:style w:type="character" w:customStyle="1" w:styleId="a6">
    <w:name w:val="页脚 字符"/>
    <w:basedOn w:val="a0"/>
    <w:link w:val="a5"/>
    <w:uiPriority w:val="99"/>
    <w:rPr>
      <w:rFonts w:ascii="等线" w:eastAsia="等线" w:hAnsi="等线" w:cs="Times New Roman"/>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等线" w:eastAsia="等线" w:hAnsi="等线" w:cs="Times New Roman"/>
      <w:kern w:val="2"/>
      <w:sz w:val="18"/>
      <w:szCs w:val="18"/>
    </w:rPr>
  </w:style>
  <w:style w:type="character" w:styleId="ab">
    <w:name w:val="annotation reference"/>
    <w:basedOn w:val="a0"/>
    <w:uiPriority w:val="99"/>
    <w:semiHidden/>
    <w:unhideWhenUsed/>
    <w:rsid w:val="00661513"/>
    <w:rPr>
      <w:sz w:val="21"/>
      <w:szCs w:val="21"/>
    </w:rPr>
  </w:style>
  <w:style w:type="paragraph" w:styleId="ac">
    <w:name w:val="annotation text"/>
    <w:basedOn w:val="a"/>
    <w:link w:val="ad"/>
    <w:uiPriority w:val="99"/>
    <w:unhideWhenUsed/>
    <w:rsid w:val="00661513"/>
    <w:pPr>
      <w:jc w:val="left"/>
    </w:pPr>
  </w:style>
  <w:style w:type="character" w:customStyle="1" w:styleId="ad">
    <w:name w:val="批注文字 字符"/>
    <w:basedOn w:val="a0"/>
    <w:link w:val="ac"/>
    <w:uiPriority w:val="99"/>
    <w:rsid w:val="00661513"/>
    <w:rPr>
      <w:rFonts w:ascii="等线" w:eastAsia="等线" w:hAnsi="等线" w:cs="Times New Roman"/>
      <w:kern w:val="2"/>
      <w:sz w:val="21"/>
      <w:szCs w:val="22"/>
    </w:rPr>
  </w:style>
  <w:style w:type="paragraph" w:styleId="ae">
    <w:name w:val="annotation subject"/>
    <w:basedOn w:val="ac"/>
    <w:next w:val="ac"/>
    <w:link w:val="af"/>
    <w:semiHidden/>
    <w:unhideWhenUsed/>
    <w:rsid w:val="00661513"/>
    <w:rPr>
      <w:b/>
      <w:bCs/>
    </w:rPr>
  </w:style>
  <w:style w:type="character" w:customStyle="1" w:styleId="af">
    <w:name w:val="批注主题 字符"/>
    <w:basedOn w:val="ad"/>
    <w:link w:val="ae"/>
    <w:semiHidden/>
    <w:rsid w:val="00661513"/>
    <w:rPr>
      <w:rFonts w:ascii="等线" w:eastAsia="等线" w:hAnsi="等线"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83ABE-6DF6-4E39-9EF0-C08A7B4F2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812</Words>
  <Characters>4632</Characters>
  <Application>Microsoft Office Word</Application>
  <DocSecurity>0</DocSecurity>
  <Lines>38</Lines>
  <Paragraphs>10</Paragraphs>
  <ScaleCrop>false</ScaleCrop>
  <Company>神州网信技术有限公司</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dc:creator>
  <cp:lastModifiedBy>高田</cp:lastModifiedBy>
  <cp:revision>4</cp:revision>
  <cp:lastPrinted>2025-10-29T08:37:00Z</cp:lastPrinted>
  <dcterms:created xsi:type="dcterms:W3CDTF">2026-03-02T02:48:00Z</dcterms:created>
  <dcterms:modified xsi:type="dcterms:W3CDTF">2026-03-03T07:26:00Z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B351857B43884735BD324B42825FCEE0_11</vt:lpwstr>
  </property>
</Properties>
</file>