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7E29C">
      <w:pPr>
        <w:spacing w:line="520" w:lineRule="exact"/>
        <w:jc w:val="center"/>
        <w:rPr>
          <w:rFonts w:eastAsia="方正小标宋简体"/>
          <w:kern w:val="0"/>
          <w:sz w:val="44"/>
          <w:szCs w:val="44"/>
        </w:rPr>
      </w:pPr>
      <w:r>
        <w:rPr>
          <w:rFonts w:eastAsia="方正小标宋简体"/>
          <w:kern w:val="0"/>
          <w:sz w:val="44"/>
          <w:szCs w:val="44"/>
        </w:rPr>
        <w:t>中医</w:t>
      </w:r>
      <w:r>
        <w:rPr>
          <w:rFonts w:hint="eastAsia" w:eastAsia="方正小标宋简体"/>
          <w:kern w:val="0"/>
          <w:sz w:val="44"/>
          <w:szCs w:val="44"/>
        </w:rPr>
        <w:t>舌诊仪</w:t>
      </w:r>
      <w:r>
        <w:rPr>
          <w:rFonts w:eastAsia="方正小标宋简体"/>
          <w:kern w:val="0"/>
          <w:sz w:val="44"/>
          <w:szCs w:val="44"/>
        </w:rPr>
        <w:t>产品注册审查指导原则</w:t>
      </w:r>
    </w:p>
    <w:p w14:paraId="766D607F">
      <w:pPr>
        <w:spacing w:line="520" w:lineRule="exact"/>
        <w:jc w:val="center"/>
        <w:rPr>
          <w:rFonts w:eastAsia="方正小标宋简体"/>
          <w:kern w:val="0"/>
          <w:sz w:val="44"/>
          <w:szCs w:val="44"/>
        </w:rPr>
      </w:pPr>
      <w:r>
        <w:rPr>
          <w:rFonts w:hint="eastAsia" w:eastAsia="方正小标宋简体"/>
          <w:kern w:val="0"/>
          <w:sz w:val="44"/>
          <w:szCs w:val="44"/>
        </w:rPr>
        <w:t>（征求意见稿）</w:t>
      </w:r>
    </w:p>
    <w:p w14:paraId="5D1BE291">
      <w:pPr>
        <w:spacing w:line="520" w:lineRule="exact"/>
        <w:ind w:firstLine="562" w:firstLineChars="200"/>
        <w:jc w:val="center"/>
        <w:rPr>
          <w:rFonts w:eastAsia="仿宋_GB2312"/>
          <w:b/>
          <w:bCs/>
          <w:color w:val="000000"/>
          <w:sz w:val="28"/>
          <w:szCs w:val="28"/>
        </w:rPr>
      </w:pPr>
    </w:p>
    <w:p w14:paraId="11CFCD63">
      <w:pPr>
        <w:spacing w:line="520" w:lineRule="exact"/>
        <w:ind w:firstLine="640" w:firstLineChars="200"/>
        <w:rPr>
          <w:rFonts w:eastAsia="仿宋_GB2312"/>
          <w:color w:val="000000"/>
          <w:kern w:val="0"/>
          <w:sz w:val="32"/>
          <w:szCs w:val="32"/>
        </w:rPr>
      </w:pPr>
      <w:r>
        <w:rPr>
          <w:rFonts w:eastAsia="仿宋_GB2312"/>
          <w:color w:val="000000"/>
          <w:kern w:val="0"/>
          <w:sz w:val="32"/>
          <w:szCs w:val="32"/>
        </w:rPr>
        <w:t>本指导原则旨在指导注册申请人对中医</w:t>
      </w:r>
      <w:r>
        <w:rPr>
          <w:rFonts w:hint="eastAsia" w:eastAsia="仿宋_GB2312"/>
          <w:color w:val="000000"/>
          <w:kern w:val="0"/>
          <w:sz w:val="32"/>
          <w:szCs w:val="32"/>
        </w:rPr>
        <w:t>舌诊</w:t>
      </w:r>
      <w:r>
        <w:rPr>
          <w:rFonts w:eastAsia="仿宋_GB2312"/>
          <w:color w:val="000000"/>
          <w:kern w:val="0"/>
          <w:sz w:val="32"/>
          <w:szCs w:val="32"/>
        </w:rPr>
        <w:t>设备注册申报资料的准备及撰写，同时也为技术审评部门审查注册申报资料提供参考。</w:t>
      </w:r>
    </w:p>
    <w:p w14:paraId="6C071A57">
      <w:pPr>
        <w:spacing w:line="520" w:lineRule="exact"/>
        <w:ind w:firstLine="640" w:firstLineChars="200"/>
        <w:rPr>
          <w:rFonts w:eastAsia="仿宋_GB2312"/>
          <w:color w:val="000000"/>
          <w:kern w:val="0"/>
          <w:sz w:val="32"/>
          <w:szCs w:val="32"/>
        </w:rPr>
      </w:pPr>
      <w:r>
        <w:rPr>
          <w:rFonts w:eastAsia="仿宋_GB2312"/>
          <w:color w:val="000000"/>
          <w:kern w:val="0"/>
          <w:sz w:val="32"/>
          <w:szCs w:val="32"/>
        </w:rPr>
        <w:t>本指导原则是对中医</w:t>
      </w:r>
      <w:r>
        <w:rPr>
          <w:rFonts w:hint="eastAsia" w:eastAsia="仿宋_GB2312"/>
          <w:color w:val="000000"/>
          <w:kern w:val="0"/>
          <w:sz w:val="32"/>
          <w:szCs w:val="32"/>
        </w:rPr>
        <w:t>舌诊</w:t>
      </w:r>
      <w:r>
        <w:rPr>
          <w:rFonts w:eastAsia="仿宋_GB2312"/>
          <w:color w:val="000000"/>
          <w:kern w:val="0"/>
          <w:sz w:val="32"/>
          <w:szCs w:val="32"/>
        </w:rPr>
        <w:t>设备的一般要求，申请人应依据产品的具体特性确定其中内容是否适用。若不适用，需具体阐述理由及相应的科学依据，并依据产品的具体特性对注册申报资料的内容进行充实和细化。</w:t>
      </w:r>
    </w:p>
    <w:p w14:paraId="678A7177">
      <w:pPr>
        <w:spacing w:line="520" w:lineRule="exact"/>
        <w:ind w:firstLine="640" w:firstLineChars="200"/>
        <w:rPr>
          <w:rFonts w:eastAsia="仿宋_GB2312"/>
          <w:color w:val="000000"/>
          <w:kern w:val="0"/>
          <w:sz w:val="32"/>
          <w:szCs w:val="32"/>
        </w:rPr>
      </w:pPr>
      <w:r>
        <w:rPr>
          <w:rFonts w:eastAsia="仿宋_GB2312"/>
          <w:color w:val="000000"/>
          <w:kern w:val="0"/>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452FD7CB">
      <w:pPr>
        <w:spacing w:line="520" w:lineRule="exact"/>
        <w:ind w:firstLine="640" w:firstLineChars="200"/>
        <w:rPr>
          <w:rFonts w:eastAsia="仿宋_GB2312"/>
          <w:color w:val="000000"/>
          <w:kern w:val="0"/>
          <w:sz w:val="32"/>
          <w:szCs w:val="32"/>
        </w:rPr>
      </w:pPr>
      <w:r>
        <w:rPr>
          <w:rFonts w:eastAsia="仿宋_GB2312"/>
          <w:color w:val="000000"/>
          <w:kern w:val="0"/>
          <w:sz w:val="32"/>
          <w:szCs w:val="32"/>
        </w:rPr>
        <w:t>本指导原则是在现行法规和标准体系以及当前认知水平下制定，随着法规和标准的不断完善，以及科学技术的不断发展，相关内容也将适时进行调整。</w:t>
      </w:r>
    </w:p>
    <w:p w14:paraId="5776605C">
      <w:pPr>
        <w:overflowPunct w:val="0"/>
        <w:autoSpaceDE w:val="0"/>
        <w:autoSpaceDN w:val="0"/>
        <w:spacing w:line="520" w:lineRule="exact"/>
        <w:ind w:firstLine="640" w:firstLineChars="200"/>
        <w:outlineLvl w:val="0"/>
        <w:rPr>
          <w:rFonts w:eastAsia="黑体"/>
          <w:snapToGrid w:val="0"/>
          <w:color w:val="000000"/>
          <w:kern w:val="0"/>
          <w:sz w:val="32"/>
          <w:szCs w:val="32"/>
        </w:rPr>
      </w:pPr>
      <w:r>
        <w:rPr>
          <w:rFonts w:eastAsia="黑体"/>
          <w:snapToGrid w:val="0"/>
          <w:color w:val="000000"/>
          <w:kern w:val="0"/>
          <w:sz w:val="32"/>
          <w:szCs w:val="32"/>
        </w:rPr>
        <w:t>一、适用范围</w:t>
      </w:r>
    </w:p>
    <w:p w14:paraId="735B8C8D">
      <w:pPr>
        <w:spacing w:line="520" w:lineRule="exact"/>
        <w:ind w:firstLine="640" w:firstLineChars="200"/>
        <w:rPr>
          <w:rFonts w:eastAsia="仿宋_GB2312"/>
          <w:color w:val="000000"/>
          <w:kern w:val="0"/>
          <w:sz w:val="32"/>
          <w:szCs w:val="32"/>
        </w:rPr>
      </w:pPr>
      <w:r>
        <w:rPr>
          <w:rFonts w:eastAsia="仿宋_GB2312"/>
          <w:color w:val="000000"/>
          <w:kern w:val="0"/>
          <w:sz w:val="32"/>
          <w:szCs w:val="32"/>
        </w:rPr>
        <w:t>本指导原则适用于中医</w:t>
      </w:r>
      <w:r>
        <w:rPr>
          <w:rFonts w:hint="eastAsia" w:eastAsia="仿宋_GB2312"/>
          <w:color w:val="000000"/>
          <w:kern w:val="0"/>
          <w:sz w:val="32"/>
          <w:szCs w:val="32"/>
        </w:rPr>
        <w:t>舌诊</w:t>
      </w:r>
      <w:r>
        <w:rPr>
          <w:rFonts w:eastAsia="仿宋_GB2312"/>
          <w:color w:val="000000"/>
          <w:kern w:val="0"/>
          <w:sz w:val="32"/>
          <w:szCs w:val="32"/>
        </w:rPr>
        <w:t>设备。根据《医疗器械分类目录》，申报产品的管理分类为Ⅱ类，</w:t>
      </w:r>
      <w:r>
        <w:rPr>
          <w:rFonts w:hint="eastAsia" w:eastAsia="仿宋_GB2312"/>
          <w:color w:val="000000"/>
          <w:kern w:val="0"/>
          <w:sz w:val="32"/>
          <w:szCs w:val="32"/>
        </w:rPr>
        <w:t>分类编码</w:t>
      </w:r>
      <w:r>
        <w:rPr>
          <w:rFonts w:eastAsia="仿宋_GB2312"/>
          <w:color w:val="000000"/>
          <w:kern w:val="0"/>
          <w:sz w:val="32"/>
          <w:szCs w:val="32"/>
        </w:rPr>
        <w:t>为20-01-0</w:t>
      </w:r>
      <w:r>
        <w:rPr>
          <w:rFonts w:hint="eastAsia" w:eastAsia="仿宋_GB2312"/>
          <w:color w:val="000000"/>
          <w:kern w:val="0"/>
          <w:sz w:val="32"/>
          <w:szCs w:val="32"/>
        </w:rPr>
        <w:t>2</w:t>
      </w:r>
      <w:r>
        <w:rPr>
          <w:rFonts w:eastAsia="仿宋_GB2312"/>
          <w:color w:val="000000"/>
          <w:kern w:val="0"/>
          <w:sz w:val="32"/>
          <w:szCs w:val="32"/>
        </w:rPr>
        <w:t>，指</w:t>
      </w:r>
      <w:r>
        <w:rPr>
          <w:rFonts w:hint="eastAsia" w:eastAsia="仿宋_GB2312"/>
          <w:color w:val="000000"/>
          <w:kern w:val="0"/>
          <w:sz w:val="32"/>
          <w:szCs w:val="32"/>
        </w:rPr>
        <w:t>通常由主机、图像采集装置和光源组成。通过图像采集装置获取舌象图像，并对采集到的图像进行分析的设备</w:t>
      </w:r>
      <w:r>
        <w:rPr>
          <w:rFonts w:eastAsia="仿宋_GB2312"/>
          <w:color w:val="000000"/>
          <w:kern w:val="0"/>
          <w:sz w:val="32"/>
          <w:szCs w:val="32"/>
        </w:rPr>
        <w:t>。中医临床采集、存储</w:t>
      </w:r>
      <w:r>
        <w:rPr>
          <w:rFonts w:hint="eastAsia" w:eastAsia="仿宋_GB2312"/>
          <w:color w:val="000000"/>
          <w:kern w:val="0"/>
          <w:sz w:val="32"/>
          <w:szCs w:val="32"/>
        </w:rPr>
        <w:t>舌象图像数据</w:t>
      </w:r>
      <w:r>
        <w:rPr>
          <w:rFonts w:eastAsia="仿宋_GB2312"/>
          <w:color w:val="000000"/>
          <w:kern w:val="0"/>
          <w:sz w:val="32"/>
          <w:szCs w:val="32"/>
        </w:rPr>
        <w:t>，计算</w:t>
      </w:r>
      <w:r>
        <w:rPr>
          <w:rFonts w:hint="eastAsia" w:eastAsia="仿宋_GB2312"/>
          <w:color w:val="000000"/>
          <w:kern w:val="0"/>
          <w:sz w:val="32"/>
          <w:szCs w:val="32"/>
        </w:rPr>
        <w:t>舌象图像</w:t>
      </w:r>
      <w:r>
        <w:rPr>
          <w:rFonts w:eastAsia="仿宋_GB2312"/>
          <w:color w:val="000000"/>
          <w:kern w:val="0"/>
          <w:sz w:val="32"/>
          <w:szCs w:val="32"/>
        </w:rPr>
        <w:t>参数信息</w:t>
      </w:r>
      <w:r>
        <w:rPr>
          <w:rFonts w:hint="eastAsia" w:eastAsia="仿宋_GB2312"/>
          <w:color w:val="000000"/>
          <w:kern w:val="0"/>
          <w:sz w:val="32"/>
          <w:szCs w:val="32"/>
          <w:lang w:eastAsia="zh-CN"/>
        </w:rPr>
        <w:t>的</w:t>
      </w:r>
      <w:r>
        <w:rPr>
          <w:rFonts w:eastAsia="仿宋_GB2312"/>
          <w:color w:val="000000"/>
          <w:kern w:val="0"/>
          <w:sz w:val="32"/>
          <w:szCs w:val="32"/>
        </w:rPr>
        <w:t>设备可参考本指导原则执行。</w:t>
      </w:r>
    </w:p>
    <w:p w14:paraId="1A2BE2FA">
      <w:pPr>
        <w:overflowPunct w:val="0"/>
        <w:autoSpaceDE w:val="0"/>
        <w:autoSpaceDN w:val="0"/>
        <w:spacing w:line="520" w:lineRule="exact"/>
        <w:ind w:firstLine="640" w:firstLineChars="200"/>
        <w:outlineLvl w:val="0"/>
        <w:rPr>
          <w:rFonts w:eastAsia="黑体"/>
          <w:snapToGrid w:val="0"/>
          <w:color w:val="000000"/>
          <w:kern w:val="0"/>
          <w:sz w:val="32"/>
          <w:szCs w:val="32"/>
        </w:rPr>
      </w:pPr>
      <w:r>
        <w:rPr>
          <w:rFonts w:eastAsia="黑体"/>
          <w:snapToGrid w:val="0"/>
          <w:color w:val="000000"/>
          <w:kern w:val="0"/>
          <w:sz w:val="32"/>
          <w:szCs w:val="32"/>
        </w:rPr>
        <w:t>二、注册审查要点</w:t>
      </w:r>
    </w:p>
    <w:p w14:paraId="20AF5E13">
      <w:pPr>
        <w:spacing w:line="520" w:lineRule="exact"/>
        <w:ind w:firstLine="640" w:firstLineChars="200"/>
        <w:jc w:val="left"/>
        <w:outlineLvl w:val="1"/>
        <w:rPr>
          <w:rFonts w:eastAsia="楷体_GB2312"/>
          <w:color w:val="000000"/>
          <w:sz w:val="32"/>
          <w:szCs w:val="32"/>
        </w:rPr>
      </w:pPr>
      <w:r>
        <w:rPr>
          <w:rFonts w:eastAsia="楷体_GB2312"/>
          <w:color w:val="000000"/>
          <w:sz w:val="32"/>
          <w:szCs w:val="32"/>
        </w:rPr>
        <w:t>（一）监管信息</w:t>
      </w:r>
    </w:p>
    <w:p w14:paraId="02B8BCCC">
      <w:pPr>
        <w:spacing w:line="520" w:lineRule="exact"/>
        <w:ind w:firstLine="640" w:firstLineChars="200"/>
        <w:rPr>
          <w:rFonts w:eastAsia="仿宋_GB2312"/>
          <w:color w:val="000000"/>
          <w:kern w:val="0"/>
          <w:sz w:val="32"/>
          <w:szCs w:val="32"/>
        </w:rPr>
      </w:pPr>
      <w:r>
        <w:rPr>
          <w:rFonts w:eastAsia="仿宋_GB2312"/>
          <w:color w:val="000000"/>
          <w:kern w:val="0"/>
          <w:sz w:val="32"/>
          <w:szCs w:val="32"/>
        </w:rPr>
        <w:t>注册申请人（以下简称申请人）需要描述申报产品的管理类别、分类编码、产品名称的确定依据。</w:t>
      </w:r>
    </w:p>
    <w:p w14:paraId="042F92F0">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1.产品名称</w:t>
      </w:r>
    </w:p>
    <w:p w14:paraId="3024B6D7">
      <w:pPr>
        <w:spacing w:line="520" w:lineRule="exact"/>
        <w:ind w:firstLine="640" w:firstLineChars="200"/>
        <w:rPr>
          <w:rFonts w:eastAsia="仿宋_GB2312"/>
          <w:color w:val="000000"/>
          <w:kern w:val="0"/>
          <w:sz w:val="32"/>
          <w:szCs w:val="32"/>
        </w:rPr>
      </w:pPr>
      <w:r>
        <w:rPr>
          <w:rFonts w:eastAsia="仿宋_GB2312"/>
          <w:color w:val="000000"/>
          <w:kern w:val="0"/>
          <w:sz w:val="32"/>
          <w:szCs w:val="32"/>
        </w:rPr>
        <w:t>产品的命名应符合《医疗器械通用名称命名规则》</w:t>
      </w:r>
      <w:r>
        <w:rPr>
          <w:rFonts w:hint="eastAsia" w:eastAsia="仿宋_GB2312"/>
          <w:color w:val="000000"/>
          <w:kern w:val="0"/>
          <w:sz w:val="32"/>
          <w:szCs w:val="32"/>
        </w:rPr>
        <w:t>、</w:t>
      </w:r>
      <w:r>
        <w:rPr>
          <w:rFonts w:eastAsia="仿宋_GB2312"/>
          <w:color w:val="000000"/>
          <w:kern w:val="0"/>
          <w:sz w:val="32"/>
          <w:szCs w:val="32"/>
        </w:rPr>
        <w:t>《中医器械通用名称命名指导原则》和国家标准、行业标准上的通用名称要求。产品名称由一个核心词和不超过三个的特征词组成，如</w:t>
      </w:r>
      <w:r>
        <w:rPr>
          <w:rFonts w:hint="eastAsia" w:eastAsia="仿宋_GB2312"/>
          <w:color w:val="000000"/>
          <w:kern w:val="0"/>
          <w:sz w:val="32"/>
          <w:szCs w:val="32"/>
        </w:rPr>
        <w:t>：</w:t>
      </w:r>
      <w:r>
        <w:rPr>
          <w:rFonts w:eastAsia="仿宋_GB2312"/>
          <w:color w:val="000000"/>
          <w:kern w:val="0"/>
          <w:sz w:val="32"/>
          <w:szCs w:val="32"/>
        </w:rPr>
        <w:t>“</w:t>
      </w:r>
      <w:r>
        <w:rPr>
          <w:rFonts w:hint="eastAsia" w:eastAsia="仿宋_GB2312"/>
          <w:color w:val="000000"/>
          <w:kern w:val="0"/>
          <w:sz w:val="32"/>
          <w:szCs w:val="32"/>
        </w:rPr>
        <w:t>舌象</w:t>
      </w:r>
      <w:r>
        <w:rPr>
          <w:rFonts w:eastAsia="仿宋_GB2312"/>
          <w:color w:val="000000"/>
          <w:kern w:val="0"/>
          <w:sz w:val="32"/>
          <w:szCs w:val="32"/>
        </w:rPr>
        <w:t>信息采集</w:t>
      </w:r>
      <w:r>
        <w:rPr>
          <w:rFonts w:hint="eastAsia" w:eastAsia="仿宋_GB2312"/>
          <w:color w:val="000000"/>
          <w:kern w:val="0"/>
          <w:sz w:val="32"/>
          <w:szCs w:val="32"/>
          <w:lang w:val="en-US" w:eastAsia="zh-CN"/>
        </w:rPr>
        <w:t>设备</w:t>
      </w:r>
      <w:r>
        <w:rPr>
          <w:rFonts w:eastAsia="仿宋_GB2312"/>
          <w:color w:val="000000"/>
          <w:kern w:val="0"/>
          <w:sz w:val="32"/>
          <w:szCs w:val="32"/>
        </w:rPr>
        <w:t>”</w:t>
      </w:r>
      <w:r>
        <w:rPr>
          <w:rFonts w:hint="eastAsia" w:eastAsia="仿宋_GB2312"/>
          <w:color w:val="000000"/>
          <w:kern w:val="0"/>
          <w:sz w:val="32"/>
          <w:szCs w:val="32"/>
        </w:rPr>
        <w:t>、</w:t>
      </w:r>
      <w:r>
        <w:rPr>
          <w:rFonts w:eastAsia="仿宋_GB2312"/>
          <w:color w:val="000000"/>
          <w:kern w:val="0"/>
          <w:sz w:val="32"/>
          <w:szCs w:val="32"/>
        </w:rPr>
        <w:t>“</w:t>
      </w:r>
      <w:r>
        <w:rPr>
          <w:rFonts w:hint="eastAsia" w:eastAsia="仿宋_GB2312"/>
          <w:color w:val="000000"/>
          <w:kern w:val="0"/>
          <w:sz w:val="32"/>
          <w:szCs w:val="32"/>
        </w:rPr>
        <w:t>舌</w:t>
      </w:r>
      <w:r>
        <w:rPr>
          <w:rFonts w:eastAsia="仿宋_GB2312"/>
          <w:color w:val="000000"/>
          <w:kern w:val="0"/>
          <w:sz w:val="32"/>
          <w:szCs w:val="32"/>
        </w:rPr>
        <w:t>诊仪”。</w:t>
      </w:r>
    </w:p>
    <w:p w14:paraId="0B8722AD">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2.分类编码</w:t>
      </w:r>
    </w:p>
    <w:p w14:paraId="5A4A0380">
      <w:pPr>
        <w:spacing w:line="520" w:lineRule="exact"/>
        <w:ind w:firstLine="640" w:firstLineChars="200"/>
        <w:rPr>
          <w:rFonts w:eastAsia="仿宋_GB2312"/>
          <w:color w:val="000000"/>
          <w:kern w:val="0"/>
          <w:sz w:val="32"/>
          <w:szCs w:val="32"/>
        </w:rPr>
      </w:pPr>
      <w:r>
        <w:rPr>
          <w:rFonts w:eastAsia="仿宋_GB2312"/>
          <w:color w:val="000000"/>
          <w:kern w:val="0"/>
          <w:sz w:val="32"/>
          <w:szCs w:val="32"/>
        </w:rPr>
        <w:t>根据《医疗器械分类目录》，</w:t>
      </w:r>
      <w:bookmarkStart w:id="0" w:name="OLE_LINK1"/>
      <w:r>
        <w:rPr>
          <w:rFonts w:eastAsia="仿宋_GB2312"/>
          <w:color w:val="000000"/>
          <w:kern w:val="0"/>
          <w:sz w:val="32"/>
          <w:szCs w:val="32"/>
        </w:rPr>
        <w:t>分类编码为20-01-0</w:t>
      </w:r>
      <w:r>
        <w:rPr>
          <w:rFonts w:hint="eastAsia" w:eastAsia="仿宋_GB2312"/>
          <w:color w:val="000000"/>
          <w:kern w:val="0"/>
          <w:sz w:val="32"/>
          <w:szCs w:val="32"/>
        </w:rPr>
        <w:t>2</w:t>
      </w:r>
      <w:r>
        <w:rPr>
          <w:rFonts w:eastAsia="仿宋_GB2312"/>
          <w:color w:val="000000"/>
          <w:kern w:val="0"/>
          <w:sz w:val="32"/>
          <w:szCs w:val="32"/>
        </w:rPr>
        <w:t>，管理类别为Ⅱ类。</w:t>
      </w:r>
    </w:p>
    <w:bookmarkEnd w:id="0"/>
    <w:p w14:paraId="647533FB">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3.注册单元划分的原则和实例</w:t>
      </w:r>
    </w:p>
    <w:p w14:paraId="7F580AAF">
      <w:pPr>
        <w:spacing w:line="520" w:lineRule="exact"/>
        <w:ind w:firstLine="640" w:firstLineChars="200"/>
        <w:rPr>
          <w:rFonts w:eastAsia="仿宋_GB2312"/>
          <w:color w:val="000000"/>
          <w:kern w:val="0"/>
          <w:sz w:val="32"/>
          <w:szCs w:val="32"/>
        </w:rPr>
      </w:pPr>
      <w:r>
        <w:rPr>
          <w:rFonts w:eastAsia="仿宋_GB2312"/>
          <w:color w:val="000000"/>
          <w:kern w:val="0"/>
          <w:sz w:val="32"/>
          <w:szCs w:val="32"/>
        </w:rPr>
        <w:t>注册单元划分应符合《医疗器械注册单元划分指导原则》的要求，原则上以申报产品的技术原理、结构组成和适用范围为划分依据。性能差异较大、核心功能的实现原理差异较大、结构组成差异较大的应考虑划分为不同的注册单元。</w:t>
      </w:r>
    </w:p>
    <w:p w14:paraId="6F9EC7FE">
      <w:pPr>
        <w:spacing w:line="520" w:lineRule="exact"/>
        <w:ind w:firstLine="640" w:firstLineChars="200"/>
        <w:jc w:val="left"/>
        <w:outlineLvl w:val="1"/>
        <w:rPr>
          <w:rFonts w:eastAsia="仿宋_GB2312"/>
          <w:color w:val="000000"/>
          <w:kern w:val="0"/>
          <w:sz w:val="32"/>
          <w:szCs w:val="32"/>
        </w:rPr>
      </w:pPr>
      <w:r>
        <w:rPr>
          <w:rFonts w:eastAsia="楷体_GB2312"/>
          <w:color w:val="000000"/>
          <w:sz w:val="32"/>
          <w:szCs w:val="32"/>
        </w:rPr>
        <w:t>（二）综述资料</w:t>
      </w:r>
    </w:p>
    <w:p w14:paraId="396B552F">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1.产品描述</w:t>
      </w:r>
    </w:p>
    <w:p w14:paraId="65AFB3EE">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1.1设备的结构组成</w:t>
      </w:r>
    </w:p>
    <w:p w14:paraId="209692B8">
      <w:pPr>
        <w:spacing w:line="520" w:lineRule="exact"/>
        <w:ind w:firstLine="640" w:firstLineChars="200"/>
        <w:rPr>
          <w:rFonts w:eastAsia="仿宋_GB2312"/>
          <w:color w:val="000000"/>
          <w:kern w:val="0"/>
          <w:sz w:val="32"/>
          <w:szCs w:val="32"/>
        </w:rPr>
      </w:pPr>
      <w:r>
        <w:rPr>
          <w:rFonts w:eastAsia="仿宋_GB2312"/>
          <w:color w:val="000000"/>
          <w:kern w:val="0"/>
          <w:sz w:val="32"/>
          <w:szCs w:val="32"/>
        </w:rPr>
        <w:t>中医</w:t>
      </w:r>
      <w:r>
        <w:rPr>
          <w:rFonts w:hint="eastAsia" w:eastAsia="仿宋_GB2312"/>
          <w:color w:val="000000"/>
          <w:kern w:val="0"/>
          <w:sz w:val="32"/>
          <w:szCs w:val="32"/>
        </w:rPr>
        <w:t>舌诊</w:t>
      </w:r>
      <w:r>
        <w:rPr>
          <w:rFonts w:eastAsia="仿宋_GB2312"/>
          <w:color w:val="000000"/>
          <w:kern w:val="0"/>
          <w:sz w:val="32"/>
          <w:szCs w:val="32"/>
        </w:rPr>
        <w:t>设备通常包含</w:t>
      </w:r>
      <w:r>
        <w:rPr>
          <w:rFonts w:hint="eastAsia" w:eastAsia="仿宋_GB2312"/>
          <w:color w:val="000000"/>
          <w:kern w:val="0"/>
          <w:sz w:val="32"/>
          <w:szCs w:val="32"/>
        </w:rPr>
        <w:t>主机、图像采集装置和光源</w:t>
      </w:r>
      <w:r>
        <w:rPr>
          <w:rFonts w:eastAsia="仿宋_GB2312"/>
          <w:color w:val="000000"/>
          <w:kern w:val="0"/>
          <w:sz w:val="32"/>
          <w:szCs w:val="32"/>
        </w:rPr>
        <w:t>。不同类型的</w:t>
      </w:r>
      <w:r>
        <w:rPr>
          <w:rFonts w:hint="eastAsia" w:eastAsia="仿宋_GB2312"/>
          <w:color w:val="000000"/>
          <w:kern w:val="0"/>
          <w:sz w:val="32"/>
          <w:szCs w:val="32"/>
        </w:rPr>
        <w:t>舌诊</w:t>
      </w:r>
      <w:r>
        <w:rPr>
          <w:rFonts w:eastAsia="仿宋_GB2312"/>
          <w:color w:val="000000"/>
          <w:kern w:val="0"/>
          <w:sz w:val="32"/>
          <w:szCs w:val="32"/>
        </w:rPr>
        <w:t>产品可能包含：电脑主机、软件、显示设备，以及其他为实现中医</w:t>
      </w:r>
      <w:r>
        <w:rPr>
          <w:rFonts w:hint="eastAsia" w:eastAsia="仿宋_GB2312"/>
          <w:color w:val="000000"/>
          <w:kern w:val="0"/>
          <w:sz w:val="32"/>
          <w:szCs w:val="32"/>
        </w:rPr>
        <w:t>舌象图像</w:t>
      </w:r>
      <w:r>
        <w:rPr>
          <w:rFonts w:eastAsia="仿宋_GB2312"/>
          <w:color w:val="000000"/>
          <w:kern w:val="0"/>
          <w:sz w:val="32"/>
          <w:szCs w:val="32"/>
        </w:rPr>
        <w:t>数据采集、存储、计算功能而配合使用的模块或部件。 产品典型结构示意图见图1。</w:t>
      </w:r>
    </w:p>
    <w:p w14:paraId="4B876DD7">
      <w:pPr>
        <w:jc w:val="center"/>
        <w:rPr>
          <w:rFonts w:eastAsia="仿宋_GB2312"/>
          <w:color w:val="000000"/>
          <w:kern w:val="0"/>
          <w:sz w:val="32"/>
          <w:szCs w:val="32"/>
        </w:rPr>
      </w:pPr>
      <w:r>
        <w:rPr>
          <w:rFonts w:eastAsia="黑体"/>
          <w:color w:val="000000"/>
          <w:sz w:val="28"/>
          <w:szCs w:val="28"/>
        </w:rPr>
        <w:drawing>
          <wp:inline distT="0" distB="0" distL="0" distR="0">
            <wp:extent cx="5538470" cy="2599690"/>
            <wp:effectExtent l="19050" t="0" r="508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6"/>
                    <a:srcRect/>
                    <a:stretch>
                      <a:fillRect/>
                    </a:stretch>
                  </pic:blipFill>
                  <pic:spPr>
                    <a:xfrm>
                      <a:off x="0" y="0"/>
                      <a:ext cx="5538470" cy="2599690"/>
                    </a:xfrm>
                    <a:prstGeom prst="rect">
                      <a:avLst/>
                    </a:prstGeom>
                    <a:noFill/>
                    <a:ln w="9525" cmpd="sng">
                      <a:noFill/>
                      <a:miter lim="800000"/>
                      <a:headEnd/>
                      <a:tailEnd/>
                    </a:ln>
                  </pic:spPr>
                </pic:pic>
              </a:graphicData>
            </a:graphic>
          </wp:inline>
        </w:drawing>
      </w:r>
      <w:r>
        <w:rPr>
          <w:rFonts w:eastAsia="黑体"/>
          <w:color w:val="000000"/>
          <w:sz w:val="28"/>
          <w:szCs w:val="28"/>
        </w:rPr>
        <w:t xml:space="preserve">图1 </w:t>
      </w:r>
      <w:r>
        <w:rPr>
          <w:rFonts w:hint="eastAsia" w:eastAsia="黑体"/>
          <w:color w:val="000000"/>
          <w:sz w:val="28"/>
          <w:szCs w:val="28"/>
        </w:rPr>
        <w:t>舌诊</w:t>
      </w:r>
      <w:r>
        <w:rPr>
          <w:rFonts w:eastAsia="黑体"/>
          <w:color w:val="000000"/>
          <w:sz w:val="28"/>
          <w:szCs w:val="28"/>
        </w:rPr>
        <w:t>仪产品典型结构示意图</w:t>
      </w:r>
    </w:p>
    <w:p w14:paraId="258DB882">
      <w:pPr>
        <w:spacing w:line="520" w:lineRule="exact"/>
        <w:ind w:firstLine="640" w:firstLineChars="200"/>
        <w:rPr>
          <w:rFonts w:eastAsia="仿宋_GB2312"/>
          <w:color w:val="000000"/>
          <w:kern w:val="0"/>
          <w:sz w:val="32"/>
          <w:szCs w:val="32"/>
        </w:rPr>
      </w:pPr>
      <w:r>
        <w:rPr>
          <w:rFonts w:eastAsia="仿宋_GB2312"/>
          <w:color w:val="000000"/>
          <w:kern w:val="0"/>
          <w:sz w:val="32"/>
          <w:szCs w:val="32"/>
        </w:rPr>
        <w:t>申请人应</w:t>
      </w:r>
      <w:r>
        <w:rPr>
          <w:rFonts w:hint="eastAsia" w:eastAsia="仿宋_GB2312"/>
          <w:color w:val="000000"/>
          <w:kern w:val="0"/>
          <w:sz w:val="32"/>
          <w:szCs w:val="32"/>
        </w:rPr>
        <w:t>结合产品图示</w:t>
      </w:r>
      <w:r>
        <w:rPr>
          <w:rFonts w:eastAsia="仿宋_GB2312"/>
          <w:color w:val="000000"/>
          <w:kern w:val="0"/>
          <w:sz w:val="32"/>
          <w:szCs w:val="32"/>
        </w:rPr>
        <w:t>详细描述产品结构组成（含配合使用的附件）、主要功能及其组成部件（关键组件和软件）的功能，</w:t>
      </w:r>
      <w:r>
        <w:rPr>
          <w:rFonts w:hint="eastAsia" w:eastAsia="仿宋_GB2312"/>
          <w:color w:val="000000"/>
          <w:kern w:val="0"/>
          <w:sz w:val="32"/>
          <w:szCs w:val="32"/>
        </w:rPr>
        <w:t>如：全部光源的参数信息（类型、波长、最大输出要求等）、图像采集装置的参数及定义信息、嵌入式软件及上位机软件（如有）的全部功能，包括分析的参数情况及临床意义、接口情况等</w:t>
      </w:r>
      <w:r>
        <w:rPr>
          <w:rFonts w:eastAsia="仿宋_GB2312"/>
          <w:color w:val="000000"/>
          <w:kern w:val="0"/>
          <w:sz w:val="32"/>
          <w:szCs w:val="32"/>
        </w:rPr>
        <w:t>，含有多个组成部分的，应说明其连接或组装关系。</w:t>
      </w:r>
    </w:p>
    <w:p w14:paraId="48EC202D">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1.2工作原理</w:t>
      </w:r>
    </w:p>
    <w:p w14:paraId="259B4D18">
      <w:pPr>
        <w:spacing w:line="520" w:lineRule="exact"/>
        <w:ind w:firstLine="640" w:firstLineChars="200"/>
        <w:rPr>
          <w:rFonts w:eastAsia="仿宋_GB2312"/>
          <w:color w:val="000000"/>
          <w:kern w:val="0"/>
          <w:sz w:val="32"/>
          <w:szCs w:val="32"/>
        </w:rPr>
      </w:pPr>
      <w:r>
        <w:rPr>
          <w:rFonts w:eastAsia="仿宋_GB2312"/>
          <w:color w:val="000000"/>
          <w:kern w:val="0"/>
          <w:sz w:val="32"/>
          <w:szCs w:val="32"/>
        </w:rPr>
        <w:t>中医</w:t>
      </w:r>
      <w:r>
        <w:rPr>
          <w:rFonts w:hint="eastAsia" w:eastAsia="仿宋_GB2312"/>
          <w:color w:val="000000"/>
          <w:kern w:val="0"/>
          <w:sz w:val="32"/>
          <w:szCs w:val="32"/>
        </w:rPr>
        <w:t>舌诊</w:t>
      </w:r>
      <w:r>
        <w:rPr>
          <w:rFonts w:eastAsia="仿宋_GB2312"/>
          <w:color w:val="000000"/>
          <w:kern w:val="0"/>
          <w:sz w:val="32"/>
          <w:szCs w:val="32"/>
        </w:rPr>
        <w:t>设备</w:t>
      </w:r>
      <w:r>
        <w:rPr>
          <w:rFonts w:hint="eastAsia" w:eastAsia="仿宋_GB2312"/>
          <w:color w:val="000000"/>
          <w:kern w:val="0"/>
          <w:sz w:val="32"/>
          <w:szCs w:val="32"/>
        </w:rPr>
        <w:t>在特定光源条件下，</w:t>
      </w:r>
      <w:r>
        <w:rPr>
          <w:rFonts w:eastAsia="仿宋_GB2312"/>
          <w:color w:val="000000"/>
          <w:kern w:val="0"/>
          <w:sz w:val="32"/>
          <w:szCs w:val="32"/>
        </w:rPr>
        <w:t>通过</w:t>
      </w:r>
      <w:r>
        <w:rPr>
          <w:rFonts w:hint="eastAsia" w:eastAsia="仿宋_GB2312"/>
          <w:color w:val="000000"/>
          <w:kern w:val="0"/>
          <w:sz w:val="32"/>
          <w:szCs w:val="32"/>
        </w:rPr>
        <w:t>图像采集</w:t>
      </w:r>
      <w:r>
        <w:rPr>
          <w:rFonts w:eastAsia="仿宋_GB2312"/>
          <w:color w:val="000000"/>
          <w:kern w:val="0"/>
          <w:sz w:val="32"/>
          <w:szCs w:val="32"/>
        </w:rPr>
        <w:t>装置</w:t>
      </w:r>
      <w:r>
        <w:rPr>
          <w:rFonts w:hint="eastAsia" w:eastAsia="仿宋_GB2312"/>
          <w:color w:val="000000"/>
          <w:kern w:val="0"/>
          <w:sz w:val="32"/>
          <w:szCs w:val="32"/>
        </w:rPr>
        <w:t>获取舌象图像，</w:t>
      </w:r>
      <w:r>
        <w:rPr>
          <w:rFonts w:eastAsia="仿宋_GB2312"/>
          <w:color w:val="000000"/>
          <w:kern w:val="0"/>
          <w:sz w:val="32"/>
          <w:szCs w:val="32"/>
        </w:rPr>
        <w:t>通过其他配合使用的模块实现对中医</w:t>
      </w:r>
      <w:r>
        <w:rPr>
          <w:rFonts w:hint="eastAsia" w:eastAsia="仿宋_GB2312"/>
          <w:color w:val="000000"/>
          <w:kern w:val="0"/>
          <w:sz w:val="32"/>
          <w:szCs w:val="32"/>
        </w:rPr>
        <w:t>舌象图像</w:t>
      </w:r>
      <w:r>
        <w:rPr>
          <w:rFonts w:eastAsia="仿宋_GB2312"/>
          <w:color w:val="000000"/>
          <w:kern w:val="0"/>
          <w:sz w:val="32"/>
          <w:szCs w:val="32"/>
        </w:rPr>
        <w:t>存储、计算</w:t>
      </w:r>
      <w:r>
        <w:rPr>
          <w:rFonts w:hint="eastAsia" w:eastAsia="仿宋_GB2312"/>
          <w:color w:val="000000"/>
          <w:kern w:val="0"/>
          <w:sz w:val="32"/>
          <w:szCs w:val="32"/>
        </w:rPr>
        <w:t>、分析</w:t>
      </w:r>
      <w:r>
        <w:rPr>
          <w:rFonts w:eastAsia="仿宋_GB2312"/>
          <w:color w:val="000000"/>
          <w:kern w:val="0"/>
          <w:sz w:val="32"/>
          <w:szCs w:val="32"/>
        </w:rPr>
        <w:t>等功能。</w:t>
      </w:r>
    </w:p>
    <w:p w14:paraId="51E95707">
      <w:pPr>
        <w:spacing w:line="520" w:lineRule="exact"/>
        <w:ind w:firstLine="640" w:firstLineChars="200"/>
        <w:rPr>
          <w:rFonts w:eastAsia="仿宋_GB2312"/>
          <w:color w:val="000000"/>
          <w:kern w:val="0"/>
          <w:sz w:val="32"/>
          <w:szCs w:val="32"/>
        </w:rPr>
      </w:pPr>
      <w:r>
        <w:rPr>
          <w:rFonts w:eastAsia="仿宋_GB2312"/>
          <w:color w:val="000000"/>
          <w:kern w:val="0"/>
          <w:sz w:val="32"/>
          <w:szCs w:val="32"/>
        </w:rPr>
        <w:t>申请人应</w:t>
      </w:r>
      <w:r>
        <w:rPr>
          <w:rFonts w:hint="eastAsia" w:eastAsia="仿宋_GB2312"/>
          <w:color w:val="000000"/>
          <w:kern w:val="0"/>
          <w:sz w:val="32"/>
          <w:szCs w:val="32"/>
        </w:rPr>
        <w:t>结合光源、图像采集装置和主机及显示设备详述申报产品工作原理。</w:t>
      </w:r>
      <w:r>
        <w:rPr>
          <w:rFonts w:eastAsia="仿宋_GB2312"/>
          <w:color w:val="000000"/>
          <w:kern w:val="0"/>
          <w:sz w:val="32"/>
          <w:szCs w:val="32"/>
        </w:rPr>
        <w:t>产品工作原理</w:t>
      </w:r>
      <w:r>
        <w:rPr>
          <w:rFonts w:hint="eastAsia" w:eastAsia="仿宋_GB2312"/>
          <w:color w:val="000000"/>
          <w:kern w:val="0"/>
          <w:sz w:val="32"/>
          <w:szCs w:val="32"/>
        </w:rPr>
        <w:t>结构示意图详</w:t>
      </w:r>
      <w:r>
        <w:rPr>
          <w:rFonts w:eastAsia="仿宋_GB2312"/>
          <w:color w:val="000000"/>
          <w:kern w:val="0"/>
          <w:sz w:val="32"/>
          <w:szCs w:val="32"/>
        </w:rPr>
        <w:t>见图2。</w:t>
      </w:r>
    </w:p>
    <w:p w14:paraId="7FBC820E">
      <w:pPr>
        <w:ind w:firstLine="640" w:firstLineChars="200"/>
        <w:rPr>
          <w:rFonts w:eastAsia="仿宋_GB2312"/>
          <w:color w:val="000000"/>
          <w:kern w:val="0"/>
          <w:sz w:val="32"/>
          <w:szCs w:val="32"/>
        </w:rPr>
      </w:pPr>
      <w:r>
        <w:rPr>
          <w:rFonts w:eastAsia="仿宋_GB2312"/>
          <w:color w:val="000000"/>
          <w:kern w:val="0"/>
          <w:sz w:val="32"/>
          <w:szCs w:val="32"/>
        </w:rPr>
        <w:drawing>
          <wp:inline distT="0" distB="0" distL="0" distR="0">
            <wp:extent cx="5538470" cy="2142490"/>
            <wp:effectExtent l="19050" t="0" r="508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7"/>
                    <a:srcRect/>
                    <a:stretch>
                      <a:fillRect/>
                    </a:stretch>
                  </pic:blipFill>
                  <pic:spPr>
                    <a:xfrm>
                      <a:off x="0" y="0"/>
                      <a:ext cx="5538470" cy="2142490"/>
                    </a:xfrm>
                    <a:prstGeom prst="rect">
                      <a:avLst/>
                    </a:prstGeom>
                    <a:noFill/>
                    <a:ln w="9525" cmpd="sng">
                      <a:noFill/>
                      <a:miter lim="800000"/>
                      <a:headEnd/>
                      <a:tailEnd/>
                    </a:ln>
                  </pic:spPr>
                </pic:pic>
              </a:graphicData>
            </a:graphic>
          </wp:inline>
        </w:drawing>
      </w:r>
    </w:p>
    <w:p w14:paraId="7DD63D1B">
      <w:pPr>
        <w:spacing w:line="520" w:lineRule="exact"/>
        <w:jc w:val="center"/>
        <w:rPr>
          <w:rFonts w:eastAsia="黑体"/>
          <w:color w:val="000000"/>
          <w:sz w:val="28"/>
          <w:szCs w:val="28"/>
        </w:rPr>
      </w:pPr>
      <w:r>
        <w:rPr>
          <w:rFonts w:eastAsia="黑体"/>
          <w:color w:val="000000"/>
          <w:sz w:val="28"/>
          <w:szCs w:val="28"/>
        </w:rPr>
        <w:t>图2 工作原理</w:t>
      </w:r>
      <w:r>
        <w:rPr>
          <w:rFonts w:hint="eastAsia" w:eastAsia="黑体"/>
          <w:color w:val="000000"/>
          <w:sz w:val="28"/>
          <w:szCs w:val="28"/>
        </w:rPr>
        <w:t>结构示意图</w:t>
      </w:r>
    </w:p>
    <w:p w14:paraId="1EF335EA">
      <w:pPr>
        <w:spacing w:line="520" w:lineRule="exact"/>
        <w:ind w:firstLine="640" w:firstLineChars="200"/>
        <w:rPr>
          <w:rFonts w:eastAsia="仿宋_GB2312"/>
          <w:color w:val="000000"/>
          <w:kern w:val="0"/>
          <w:sz w:val="32"/>
          <w:szCs w:val="32"/>
        </w:rPr>
      </w:pPr>
    </w:p>
    <w:p w14:paraId="73680448">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1.3型号规格</w:t>
      </w:r>
    </w:p>
    <w:p w14:paraId="787939C9">
      <w:pPr>
        <w:spacing w:line="520" w:lineRule="exact"/>
        <w:ind w:firstLine="640" w:firstLineChars="200"/>
        <w:rPr>
          <w:rFonts w:eastAsia="仿宋_GB2312"/>
          <w:color w:val="000000"/>
          <w:kern w:val="0"/>
          <w:sz w:val="32"/>
          <w:szCs w:val="32"/>
        </w:rPr>
      </w:pPr>
      <w:r>
        <w:rPr>
          <w:rFonts w:eastAsia="仿宋_GB2312"/>
          <w:color w:val="000000"/>
          <w:kern w:val="0"/>
          <w:sz w:val="32"/>
          <w:szCs w:val="32"/>
        </w:rPr>
        <w:t>对于存在多种型号规格的产品，应当明确各型号规格的区别。应当采用对比表或带有说明性文字的图片、图表，描述各种型号规格的结构组成（或配置）、功能、产品特征和运行模式、技术参数等内容。</w:t>
      </w:r>
    </w:p>
    <w:p w14:paraId="5DAAC922">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1.4包装说明</w:t>
      </w:r>
    </w:p>
    <w:p w14:paraId="7BF2F397">
      <w:pPr>
        <w:spacing w:line="520" w:lineRule="exact"/>
        <w:ind w:firstLine="640" w:firstLineChars="200"/>
        <w:rPr>
          <w:rFonts w:eastAsia="仿宋_GB2312"/>
          <w:color w:val="000000"/>
          <w:kern w:val="0"/>
          <w:sz w:val="32"/>
          <w:szCs w:val="32"/>
        </w:rPr>
      </w:pPr>
      <w:r>
        <w:rPr>
          <w:rFonts w:eastAsia="仿宋_GB2312"/>
          <w:color w:val="000000"/>
          <w:kern w:val="0"/>
          <w:sz w:val="32"/>
          <w:szCs w:val="32"/>
        </w:rPr>
        <w:t>申请人应详细描述申报产品中注册单元所有产品组成的包装情况，说明包装清单和包装方式，提供包装图示。</w:t>
      </w:r>
    </w:p>
    <w:p w14:paraId="3277EAAE">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1.5研发历程</w:t>
      </w:r>
    </w:p>
    <w:p w14:paraId="3D72F4BF">
      <w:pPr>
        <w:spacing w:line="520" w:lineRule="exact"/>
        <w:ind w:firstLine="640" w:firstLineChars="200"/>
        <w:rPr>
          <w:rFonts w:eastAsia="仿宋_GB2312"/>
          <w:color w:val="000000"/>
          <w:kern w:val="0"/>
          <w:sz w:val="32"/>
          <w:szCs w:val="32"/>
        </w:rPr>
      </w:pPr>
      <w:r>
        <w:rPr>
          <w:rFonts w:eastAsia="仿宋_GB2312"/>
          <w:color w:val="000000"/>
          <w:kern w:val="0"/>
          <w:sz w:val="32"/>
          <w:szCs w:val="32"/>
        </w:rPr>
        <w:t>应描述申报产品的研发背景和目的，如申报产品的研发历史概述、历次注册申请提交的信息。</w:t>
      </w:r>
    </w:p>
    <w:p w14:paraId="7E240D90">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1.6与同类和/或前代产品的参考和比较</w:t>
      </w:r>
    </w:p>
    <w:p w14:paraId="482946C5">
      <w:pPr>
        <w:spacing w:line="520" w:lineRule="exact"/>
        <w:ind w:firstLine="640" w:firstLineChars="200"/>
        <w:rPr>
          <w:rFonts w:eastAsia="仿宋_GB2312"/>
          <w:color w:val="000000"/>
          <w:kern w:val="0"/>
          <w:sz w:val="32"/>
          <w:szCs w:val="32"/>
        </w:rPr>
      </w:pPr>
      <w:r>
        <w:rPr>
          <w:rFonts w:eastAsia="仿宋_GB2312"/>
          <w:color w:val="000000"/>
          <w:kern w:val="0"/>
          <w:sz w:val="32"/>
          <w:szCs w:val="32"/>
        </w:rPr>
        <w:t>对于研发参考的同类产品或前代产品，应说明选择其作为研发参考的原因。同时列表说明申报产品与研发参考产品在工作原理、结构组成、性能指标及适用范围等方面的异同。</w:t>
      </w:r>
    </w:p>
    <w:p w14:paraId="728CDE56">
      <w:pPr>
        <w:spacing w:line="520" w:lineRule="exact"/>
        <w:ind w:firstLine="640" w:firstLineChars="200"/>
        <w:rPr>
          <w:rFonts w:eastAsia="仿宋_GB2312"/>
          <w:color w:val="000000"/>
          <w:kern w:val="0"/>
          <w:sz w:val="32"/>
          <w:szCs w:val="32"/>
        </w:rPr>
      </w:pPr>
      <w:r>
        <w:rPr>
          <w:rFonts w:eastAsia="仿宋_GB2312"/>
          <w:color w:val="000000"/>
          <w:kern w:val="0"/>
          <w:sz w:val="32"/>
          <w:szCs w:val="32"/>
        </w:rPr>
        <w:t>区别于其他同类产品的特征是技术审评的关注点，如设备适用范围、结构组成、性能指标等。</w:t>
      </w:r>
    </w:p>
    <w:p w14:paraId="213A833A">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2.适用范围和禁忌证</w:t>
      </w:r>
    </w:p>
    <w:p w14:paraId="5CC916D2">
      <w:pPr>
        <w:spacing w:line="520" w:lineRule="exact"/>
        <w:ind w:firstLine="640" w:firstLineChars="200"/>
        <w:outlineLvl w:val="3"/>
        <w:rPr>
          <w:rFonts w:eastAsia="仿宋_GB2312"/>
          <w:kern w:val="0"/>
          <w:sz w:val="32"/>
          <w:szCs w:val="32"/>
        </w:rPr>
      </w:pPr>
      <w:r>
        <w:rPr>
          <w:rFonts w:eastAsia="仿宋_GB2312"/>
          <w:color w:val="000000"/>
          <w:kern w:val="0"/>
          <w:sz w:val="32"/>
          <w:szCs w:val="32"/>
        </w:rPr>
        <w:t>2.1</w:t>
      </w:r>
      <w:r>
        <w:rPr>
          <w:rFonts w:eastAsia="仿宋_GB2312"/>
          <w:kern w:val="0"/>
          <w:sz w:val="32"/>
          <w:szCs w:val="32"/>
        </w:rPr>
        <w:t>适用范围</w:t>
      </w:r>
    </w:p>
    <w:p w14:paraId="297D4C75">
      <w:pPr>
        <w:spacing w:line="520" w:lineRule="exact"/>
        <w:ind w:firstLine="640" w:firstLineChars="200"/>
        <w:rPr>
          <w:rFonts w:eastAsia="仿宋_GB2312"/>
          <w:color w:val="000000"/>
          <w:kern w:val="0"/>
          <w:sz w:val="32"/>
          <w:szCs w:val="32"/>
        </w:rPr>
      </w:pPr>
      <w:r>
        <w:rPr>
          <w:rFonts w:eastAsia="仿宋_GB2312"/>
          <w:color w:val="000000"/>
          <w:kern w:val="0"/>
          <w:sz w:val="32"/>
          <w:szCs w:val="32"/>
        </w:rPr>
        <w:t>中医</w:t>
      </w:r>
      <w:r>
        <w:rPr>
          <w:rFonts w:hint="eastAsia" w:eastAsia="仿宋_GB2312"/>
          <w:color w:val="000000"/>
          <w:kern w:val="0"/>
          <w:sz w:val="32"/>
          <w:szCs w:val="32"/>
        </w:rPr>
        <w:t>舌诊</w:t>
      </w:r>
      <w:r>
        <w:rPr>
          <w:rFonts w:eastAsia="仿宋_GB2312"/>
          <w:color w:val="000000"/>
          <w:kern w:val="0"/>
          <w:sz w:val="32"/>
          <w:szCs w:val="32"/>
        </w:rPr>
        <w:t>设备的预期用途应体现其临床应用范围。例如：用于中医</w:t>
      </w:r>
      <w:r>
        <w:rPr>
          <w:rFonts w:hint="eastAsia" w:eastAsia="仿宋_GB2312"/>
          <w:color w:val="000000"/>
          <w:kern w:val="0"/>
          <w:sz w:val="32"/>
          <w:szCs w:val="32"/>
        </w:rPr>
        <w:t>舌象图像数据采集</w:t>
      </w:r>
      <w:r>
        <w:rPr>
          <w:rFonts w:hint="eastAsia" w:eastAsia="仿宋_GB2312"/>
          <w:color w:val="000000"/>
          <w:kern w:val="0"/>
          <w:sz w:val="32"/>
          <w:szCs w:val="32"/>
          <w:lang w:eastAsia="zh-CN"/>
        </w:rPr>
        <w:t>、</w:t>
      </w:r>
      <w:r>
        <w:rPr>
          <w:rFonts w:hint="eastAsia" w:eastAsia="仿宋_GB2312"/>
          <w:color w:val="000000"/>
          <w:kern w:val="0"/>
          <w:sz w:val="32"/>
          <w:szCs w:val="32"/>
          <w:lang w:val="en-US" w:eastAsia="zh-CN"/>
        </w:rPr>
        <w:t>特征分析</w:t>
      </w:r>
      <w:r>
        <w:rPr>
          <w:rFonts w:eastAsia="仿宋_GB2312"/>
          <w:color w:val="000000"/>
          <w:kern w:val="0"/>
          <w:sz w:val="32"/>
          <w:szCs w:val="32"/>
        </w:rPr>
        <w:t>。</w:t>
      </w:r>
    </w:p>
    <w:p w14:paraId="46EAF9FF">
      <w:pPr>
        <w:spacing w:line="560" w:lineRule="exact"/>
        <w:ind w:firstLine="640" w:firstLineChars="200"/>
        <w:rPr>
          <w:rFonts w:eastAsia="仿宋_GB2312"/>
          <w:color w:val="000000"/>
          <w:kern w:val="0"/>
          <w:sz w:val="32"/>
          <w:szCs w:val="32"/>
        </w:rPr>
      </w:pPr>
      <w:r>
        <w:rPr>
          <w:rFonts w:hint="eastAsia" w:eastAsia="仿宋_GB2312"/>
          <w:bCs/>
          <w:color w:val="000000"/>
          <w:sz w:val="32"/>
          <w:szCs w:val="32"/>
        </w:rPr>
        <w:t>2.1.1</w:t>
      </w:r>
      <w:r>
        <w:rPr>
          <w:rFonts w:eastAsia="仿宋_GB2312"/>
          <w:bCs/>
          <w:color w:val="000000"/>
          <w:sz w:val="32"/>
          <w:szCs w:val="32"/>
        </w:rPr>
        <w:t>明确目标用户及其操作或使用该产品应当具备的技能/知识/培训</w:t>
      </w:r>
      <w:r>
        <w:rPr>
          <w:rFonts w:hint="eastAsia" w:eastAsia="仿宋_GB2312"/>
          <w:bCs/>
          <w:color w:val="000000"/>
          <w:sz w:val="32"/>
          <w:szCs w:val="32"/>
        </w:rPr>
        <w:t>，</w:t>
      </w:r>
      <w:r>
        <w:rPr>
          <w:rFonts w:eastAsia="仿宋_GB2312"/>
          <w:bCs/>
          <w:color w:val="000000"/>
          <w:sz w:val="32"/>
          <w:szCs w:val="32"/>
        </w:rPr>
        <w:t>例如：</w:t>
      </w:r>
      <w:r>
        <w:rPr>
          <w:rFonts w:hint="eastAsia" w:eastAsia="仿宋_GB2312"/>
          <w:bCs/>
          <w:color w:val="000000"/>
          <w:sz w:val="32"/>
          <w:szCs w:val="32"/>
        </w:rPr>
        <w:t>操作者应</w:t>
      </w:r>
      <w:r>
        <w:rPr>
          <w:rFonts w:eastAsia="仿宋_GB2312"/>
          <w:bCs/>
          <w:color w:val="000000"/>
          <w:sz w:val="32"/>
          <w:szCs w:val="32"/>
        </w:rPr>
        <w:t>具有</w:t>
      </w:r>
      <w:r>
        <w:rPr>
          <w:rFonts w:hint="eastAsia" w:eastAsia="仿宋_GB2312"/>
          <w:bCs/>
          <w:color w:val="000000"/>
          <w:sz w:val="32"/>
          <w:szCs w:val="32"/>
        </w:rPr>
        <w:t>相关中医专业从业资质，或者在具有中医专业从业资质的医师指导下使用。</w:t>
      </w:r>
    </w:p>
    <w:p w14:paraId="3F858F24">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2.2预期使用环境</w:t>
      </w:r>
    </w:p>
    <w:p w14:paraId="01D13A50">
      <w:pPr>
        <w:spacing w:line="520" w:lineRule="exact"/>
        <w:ind w:firstLine="640" w:firstLineChars="200"/>
        <w:rPr>
          <w:rFonts w:eastAsia="仿宋_GB2312"/>
          <w:color w:val="000000"/>
          <w:kern w:val="0"/>
          <w:sz w:val="32"/>
          <w:szCs w:val="32"/>
        </w:rPr>
      </w:pPr>
      <w:r>
        <w:rPr>
          <w:rFonts w:eastAsia="仿宋_GB2312"/>
          <w:color w:val="000000"/>
          <w:kern w:val="0"/>
          <w:sz w:val="32"/>
          <w:szCs w:val="32"/>
        </w:rPr>
        <w:t>预期使用环境的信息应当明确该产品预期使用的地点，还应明确可能影响其安全性和有效性的环境条件，如温度、湿度、压力、移动、振动、海拔等。</w:t>
      </w:r>
    </w:p>
    <w:p w14:paraId="52B6C78F">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2.3适用人群与禁忌证</w:t>
      </w:r>
    </w:p>
    <w:p w14:paraId="49129124">
      <w:pPr>
        <w:spacing w:line="520" w:lineRule="exact"/>
        <w:ind w:firstLine="640" w:firstLineChars="200"/>
        <w:rPr>
          <w:rFonts w:eastAsia="仿宋_GB2312"/>
          <w:color w:val="000000"/>
          <w:kern w:val="0"/>
          <w:sz w:val="32"/>
          <w:szCs w:val="32"/>
        </w:rPr>
      </w:pPr>
      <w:r>
        <w:rPr>
          <w:rFonts w:eastAsia="仿宋_GB2312"/>
          <w:color w:val="000000"/>
          <w:kern w:val="0"/>
          <w:sz w:val="32"/>
          <w:szCs w:val="32"/>
        </w:rPr>
        <w:t>申请人应说明申报产品适用人群的标准。</w:t>
      </w:r>
    </w:p>
    <w:p w14:paraId="6856FAE7">
      <w:pPr>
        <w:spacing w:line="520" w:lineRule="exact"/>
        <w:ind w:firstLine="640" w:firstLineChars="200"/>
        <w:rPr>
          <w:rFonts w:eastAsia="仿宋_GB2312"/>
          <w:color w:val="000000"/>
          <w:kern w:val="0"/>
          <w:sz w:val="32"/>
          <w:szCs w:val="32"/>
        </w:rPr>
      </w:pPr>
      <w:r>
        <w:rPr>
          <w:rFonts w:eastAsia="仿宋_GB2312"/>
          <w:color w:val="000000"/>
          <w:kern w:val="0"/>
          <w:sz w:val="32"/>
          <w:szCs w:val="32"/>
        </w:rPr>
        <w:t>中医</w:t>
      </w:r>
      <w:r>
        <w:rPr>
          <w:rFonts w:hint="eastAsia" w:eastAsia="仿宋_GB2312"/>
          <w:color w:val="000000"/>
          <w:kern w:val="0"/>
          <w:sz w:val="32"/>
          <w:szCs w:val="32"/>
        </w:rPr>
        <w:t>舌诊</w:t>
      </w:r>
      <w:r>
        <w:rPr>
          <w:rFonts w:eastAsia="仿宋_GB2312"/>
          <w:color w:val="000000"/>
          <w:kern w:val="0"/>
          <w:sz w:val="32"/>
          <w:szCs w:val="32"/>
        </w:rPr>
        <w:t>设备禁忌证一般包括：</w:t>
      </w:r>
    </w:p>
    <w:p w14:paraId="6BE44E2D">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（1）严重光过敏者</w:t>
      </w:r>
      <w:r>
        <w:rPr>
          <w:rFonts w:eastAsia="仿宋_GB2312"/>
          <w:color w:val="000000"/>
          <w:kern w:val="0"/>
          <w:sz w:val="32"/>
          <w:szCs w:val="32"/>
        </w:rPr>
        <w:t>；</w:t>
      </w:r>
    </w:p>
    <w:p w14:paraId="30980185">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（2）</w:t>
      </w:r>
      <w:r>
        <w:rPr>
          <w:rFonts w:eastAsia="仿宋_GB2312"/>
          <w:color w:val="000000"/>
          <w:kern w:val="0"/>
          <w:sz w:val="32"/>
          <w:szCs w:val="32"/>
        </w:rPr>
        <w:t xml:space="preserve">采集装置原材料过敏者。 </w:t>
      </w:r>
    </w:p>
    <w:p w14:paraId="527F17D1">
      <w:pPr>
        <w:spacing w:line="520" w:lineRule="exact"/>
        <w:ind w:firstLine="640" w:firstLineChars="200"/>
        <w:jc w:val="left"/>
        <w:outlineLvl w:val="1"/>
        <w:rPr>
          <w:rFonts w:eastAsia="楷体_GB2312"/>
          <w:color w:val="000000"/>
          <w:sz w:val="32"/>
          <w:szCs w:val="32"/>
        </w:rPr>
      </w:pPr>
      <w:r>
        <w:rPr>
          <w:rFonts w:eastAsia="楷体_GB2312"/>
          <w:color w:val="000000"/>
          <w:sz w:val="32"/>
          <w:szCs w:val="32"/>
        </w:rPr>
        <w:t>（三）非临床资料</w:t>
      </w:r>
    </w:p>
    <w:p w14:paraId="70C19838">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1.产品风险管理资料</w:t>
      </w:r>
    </w:p>
    <w:p w14:paraId="4DF9A0BE">
      <w:pPr>
        <w:spacing w:line="520" w:lineRule="exact"/>
        <w:ind w:firstLine="640" w:firstLineChars="200"/>
        <w:rPr>
          <w:rFonts w:eastAsia="仿宋_GB2312"/>
          <w:color w:val="000000"/>
          <w:kern w:val="0"/>
          <w:sz w:val="32"/>
          <w:szCs w:val="32"/>
        </w:rPr>
      </w:pPr>
      <w:r>
        <w:rPr>
          <w:rFonts w:eastAsia="仿宋_GB2312"/>
          <w:color w:val="000000"/>
          <w:kern w:val="0"/>
          <w:sz w:val="32"/>
          <w:szCs w:val="32"/>
        </w:rPr>
        <w:t>主要的风险包括生物学危害、环境危害、与使用有关的危害、软件危害、功能失效及老化有关的危害等，应按照GB/T 42062《医疗器械风险管理对医疗器械的应用》的要求对每种可能涉及的危害识别评估，为降低风险所执行风险控制，剩余风险的可接受性评定，产品受益相比综合评价，并形成风险分析管理报告。</w:t>
      </w:r>
    </w:p>
    <w:p w14:paraId="7C98715C">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同时，因申报产品含有光源，申请人应参照《医疗器械光辐射安全注册审查指导原则》</w:t>
      </w:r>
      <w:r>
        <w:rPr>
          <w:rFonts w:eastAsia="仿宋_GB2312"/>
          <w:bCs/>
          <w:sz w:val="32"/>
          <w:szCs w:val="32"/>
        </w:rPr>
        <w:t>光辐射安全进行风险分析</w:t>
      </w:r>
      <w:r>
        <w:rPr>
          <w:rFonts w:hint="eastAsia" w:eastAsia="仿宋_GB2312"/>
          <w:bCs/>
          <w:sz w:val="32"/>
          <w:szCs w:val="32"/>
        </w:rPr>
        <w:t>。</w:t>
      </w:r>
    </w:p>
    <w:p w14:paraId="7F41DC8A">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2.医疗器械安全和性能基本原则清单</w:t>
      </w:r>
    </w:p>
    <w:p w14:paraId="1CB69FBC">
      <w:pPr>
        <w:spacing w:line="520" w:lineRule="exact"/>
        <w:ind w:firstLine="640" w:firstLineChars="200"/>
        <w:rPr>
          <w:rFonts w:eastAsia="仿宋_GB2312"/>
          <w:color w:val="000000"/>
          <w:kern w:val="0"/>
          <w:sz w:val="32"/>
          <w:szCs w:val="32"/>
        </w:rPr>
      </w:pPr>
      <w:r>
        <w:rPr>
          <w:rFonts w:eastAsia="仿宋_GB2312"/>
          <w:color w:val="000000"/>
          <w:kern w:val="0"/>
          <w:sz w:val="32"/>
          <w:szCs w:val="32"/>
        </w:rPr>
        <w:t>参考《医疗器械安全和性能基本原则符合性技术指南》的要求，根据《医疗器械安全和性能的基本原则》中的各项要求明确适用性。对于不适用的要求，应当逐项说明不适用的理由。对于适用要求，应逐项说明为符合要求所采用的方法，以及证明其符合性的文件。</w:t>
      </w:r>
    </w:p>
    <w:p w14:paraId="251A9DAE">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3.产品技术要求及检验报告</w:t>
      </w:r>
    </w:p>
    <w:p w14:paraId="091FE066">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3.1申报产品适用标准情况</w:t>
      </w:r>
    </w:p>
    <w:p w14:paraId="26F067C6">
      <w:pPr>
        <w:spacing w:line="520" w:lineRule="exact"/>
        <w:ind w:firstLine="640" w:firstLineChars="200"/>
        <w:rPr>
          <w:rFonts w:eastAsia="仿宋_GB2312"/>
          <w:color w:val="000000"/>
          <w:kern w:val="0"/>
          <w:sz w:val="32"/>
          <w:szCs w:val="32"/>
        </w:rPr>
      </w:pPr>
      <w:r>
        <w:rPr>
          <w:rFonts w:eastAsia="仿宋_GB2312"/>
          <w:color w:val="000000"/>
          <w:kern w:val="0"/>
          <w:sz w:val="32"/>
          <w:szCs w:val="32"/>
        </w:rPr>
        <w:t>注册申请人需列表说明申报产品执行和参考的国家标准和行业标准。</w:t>
      </w:r>
    </w:p>
    <w:p w14:paraId="6FC9CBAD">
      <w:pPr>
        <w:spacing w:line="520" w:lineRule="exact"/>
        <w:ind w:firstLine="640" w:firstLineChars="200"/>
        <w:rPr>
          <w:rFonts w:eastAsia="仿宋_GB2312"/>
          <w:color w:val="000000"/>
          <w:kern w:val="0"/>
          <w:sz w:val="32"/>
          <w:szCs w:val="32"/>
        </w:rPr>
      </w:pPr>
    </w:p>
    <w:p w14:paraId="2B97A742">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3.2产品技术要求</w:t>
      </w:r>
    </w:p>
    <w:p w14:paraId="73F848BE">
      <w:pPr>
        <w:spacing w:line="520" w:lineRule="exact"/>
        <w:ind w:firstLine="640" w:firstLineChars="200"/>
        <w:rPr>
          <w:rFonts w:eastAsia="仿宋_GB2312"/>
          <w:color w:val="000000"/>
          <w:kern w:val="0"/>
          <w:sz w:val="32"/>
          <w:szCs w:val="32"/>
        </w:rPr>
      </w:pPr>
      <w:r>
        <w:rPr>
          <w:rFonts w:eastAsia="仿宋_GB2312"/>
          <w:color w:val="000000"/>
          <w:kern w:val="0"/>
          <w:sz w:val="32"/>
          <w:szCs w:val="32"/>
        </w:rPr>
        <w:t>注册申请人应按照《医疗器械产品技术要求编写指导原则》编写产品技术要求，结合申报产品的特点设置条款。</w:t>
      </w:r>
    </w:p>
    <w:p w14:paraId="170BA2F4">
      <w:pPr>
        <w:spacing w:line="520" w:lineRule="exact"/>
        <w:ind w:firstLine="640" w:firstLineChars="200"/>
        <w:rPr>
          <w:rFonts w:eastAsia="仿宋_GB2312"/>
          <w:color w:val="000000"/>
          <w:kern w:val="0"/>
          <w:sz w:val="32"/>
          <w:szCs w:val="32"/>
        </w:rPr>
      </w:pPr>
      <w:r>
        <w:rPr>
          <w:rFonts w:eastAsia="仿宋_GB2312"/>
          <w:color w:val="000000"/>
          <w:kern w:val="0"/>
          <w:sz w:val="32"/>
          <w:szCs w:val="32"/>
        </w:rPr>
        <w:t>产品技术要求明确产品规格型号及划分说明</w:t>
      </w:r>
      <w:r>
        <w:rPr>
          <w:rFonts w:hint="eastAsia" w:eastAsia="仿宋_GB2312"/>
          <w:color w:val="000000"/>
          <w:kern w:val="0"/>
          <w:sz w:val="32"/>
          <w:szCs w:val="32"/>
        </w:rPr>
        <w:t>，并应明确软件发布版本和软件完整版本命名规则</w:t>
      </w:r>
      <w:r>
        <w:rPr>
          <w:rFonts w:eastAsia="仿宋_GB2312"/>
          <w:color w:val="000000"/>
          <w:kern w:val="0"/>
          <w:sz w:val="32"/>
          <w:szCs w:val="32"/>
        </w:rPr>
        <w:t>。</w:t>
      </w:r>
    </w:p>
    <w:p w14:paraId="34771CEB">
      <w:pPr>
        <w:spacing w:line="520" w:lineRule="exact"/>
        <w:ind w:firstLine="640" w:firstLineChars="200"/>
        <w:rPr>
          <w:rFonts w:eastAsia="仿宋_GB2312"/>
          <w:color w:val="000000"/>
          <w:kern w:val="0"/>
          <w:sz w:val="32"/>
          <w:szCs w:val="32"/>
        </w:rPr>
      </w:pPr>
      <w:r>
        <w:rPr>
          <w:rFonts w:eastAsia="仿宋_GB2312"/>
          <w:color w:val="000000"/>
          <w:kern w:val="0"/>
          <w:sz w:val="32"/>
          <w:szCs w:val="32"/>
        </w:rPr>
        <w:t>产品技术指标可参考YY/T 148</w:t>
      </w:r>
      <w:r>
        <w:rPr>
          <w:rFonts w:hint="eastAsia" w:eastAsia="仿宋_GB2312"/>
          <w:color w:val="000000"/>
          <w:kern w:val="0"/>
          <w:sz w:val="32"/>
          <w:szCs w:val="32"/>
        </w:rPr>
        <w:t>8</w:t>
      </w:r>
      <w:r>
        <w:rPr>
          <w:rFonts w:eastAsia="仿宋_GB2312"/>
          <w:color w:val="000000"/>
          <w:kern w:val="0"/>
          <w:sz w:val="32"/>
          <w:szCs w:val="32"/>
        </w:rPr>
        <w:t>《</w:t>
      </w:r>
      <w:r>
        <w:rPr>
          <w:rFonts w:hint="eastAsia" w:eastAsia="仿宋_GB2312"/>
          <w:color w:val="000000"/>
          <w:kern w:val="0"/>
          <w:sz w:val="32"/>
          <w:szCs w:val="32"/>
        </w:rPr>
        <w:t>舌象信息</w:t>
      </w:r>
      <w:r>
        <w:rPr>
          <w:rFonts w:eastAsia="仿宋_GB2312"/>
          <w:color w:val="000000"/>
          <w:kern w:val="0"/>
          <w:sz w:val="32"/>
          <w:szCs w:val="32"/>
        </w:rPr>
        <w:t>采集设备》。</w:t>
      </w:r>
    </w:p>
    <w:p w14:paraId="589D38A3">
      <w:pPr>
        <w:spacing w:line="520" w:lineRule="exact"/>
        <w:ind w:firstLine="640" w:firstLineChars="200"/>
        <w:rPr>
          <w:rFonts w:eastAsia="仿宋_GB2312"/>
          <w:color w:val="000000"/>
          <w:kern w:val="0"/>
          <w:sz w:val="32"/>
          <w:szCs w:val="32"/>
        </w:rPr>
      </w:pPr>
      <w:r>
        <w:rPr>
          <w:rFonts w:eastAsia="仿宋_GB2312"/>
          <w:color w:val="000000"/>
          <w:kern w:val="0"/>
          <w:sz w:val="32"/>
          <w:szCs w:val="32"/>
        </w:rPr>
        <w:t>3.2.</w:t>
      </w:r>
      <w:r>
        <w:rPr>
          <w:rFonts w:hint="eastAsia" w:eastAsia="仿宋_GB2312"/>
          <w:color w:val="000000"/>
          <w:kern w:val="0"/>
          <w:sz w:val="32"/>
          <w:szCs w:val="32"/>
        </w:rPr>
        <w:t>1光学要求</w:t>
      </w:r>
      <w:r>
        <w:rPr>
          <w:rFonts w:eastAsia="仿宋_GB2312"/>
          <w:color w:val="000000"/>
          <w:kern w:val="0"/>
          <w:sz w:val="32"/>
          <w:szCs w:val="32"/>
        </w:rPr>
        <w:t>。</w:t>
      </w:r>
    </w:p>
    <w:p w14:paraId="2292BA2E">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3.2.1.1照度。</w:t>
      </w:r>
    </w:p>
    <w:p w14:paraId="71FD3EF0">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3.2.1.2相关色温。</w:t>
      </w:r>
    </w:p>
    <w:p w14:paraId="1B64814A">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3.2.1.3显色指数。</w:t>
      </w:r>
    </w:p>
    <w:p w14:paraId="79C0B059">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3.2.1.4特殊光谱。</w:t>
      </w:r>
    </w:p>
    <w:p w14:paraId="703A3692">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3.2.1.5辐射照度。</w:t>
      </w:r>
    </w:p>
    <w:p w14:paraId="044C8324">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3.2.1.6紫外辐射照度。</w:t>
      </w:r>
    </w:p>
    <w:p w14:paraId="064FB88D">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3.2.2成像质量。</w:t>
      </w:r>
    </w:p>
    <w:p w14:paraId="3B679CBD">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3.2.2.1分辨率。</w:t>
      </w:r>
    </w:p>
    <w:p w14:paraId="10F4DC40">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3.2.2.2彩色还原</w:t>
      </w:r>
    </w:p>
    <w:p w14:paraId="1CB231B5">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3.2.2.3相对畸变。</w:t>
      </w:r>
    </w:p>
    <w:p w14:paraId="7B29B7E7">
      <w:pPr>
        <w:spacing w:line="520" w:lineRule="exact"/>
        <w:ind w:firstLine="640" w:firstLineChars="200"/>
        <w:rPr>
          <w:rFonts w:eastAsia="仿宋_GB2312"/>
          <w:color w:val="000000"/>
          <w:kern w:val="0"/>
          <w:sz w:val="32"/>
          <w:szCs w:val="32"/>
        </w:rPr>
      </w:pPr>
      <w:r>
        <w:rPr>
          <w:rFonts w:eastAsia="仿宋_GB2312"/>
          <w:color w:val="000000"/>
          <w:kern w:val="0"/>
          <w:sz w:val="32"/>
          <w:szCs w:val="32"/>
        </w:rPr>
        <w:t>3.2.</w:t>
      </w:r>
      <w:r>
        <w:rPr>
          <w:rFonts w:hint="eastAsia" w:eastAsia="仿宋_GB2312"/>
          <w:color w:val="000000"/>
          <w:kern w:val="0"/>
          <w:sz w:val="32"/>
          <w:szCs w:val="32"/>
        </w:rPr>
        <w:t>3结构要求</w:t>
      </w:r>
      <w:r>
        <w:rPr>
          <w:rFonts w:eastAsia="仿宋_GB2312"/>
          <w:color w:val="000000"/>
          <w:kern w:val="0"/>
          <w:sz w:val="32"/>
          <w:szCs w:val="32"/>
        </w:rPr>
        <w:t>。</w:t>
      </w:r>
    </w:p>
    <w:p w14:paraId="0A81203E">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3.2.4功能</w:t>
      </w:r>
    </w:p>
    <w:p w14:paraId="16BE9FCD">
      <w:pPr>
        <w:spacing w:line="520" w:lineRule="exact"/>
        <w:ind w:firstLine="640" w:firstLineChars="200"/>
        <w:rPr>
          <w:rFonts w:eastAsia="仿宋_GB2312"/>
          <w:strike/>
          <w:color w:val="000000"/>
          <w:kern w:val="0"/>
          <w:sz w:val="32"/>
          <w:szCs w:val="32"/>
        </w:rPr>
      </w:pPr>
      <w:r>
        <w:rPr>
          <w:rFonts w:eastAsia="仿宋_GB2312"/>
          <w:color w:val="000000"/>
          <w:kern w:val="0"/>
          <w:sz w:val="32"/>
          <w:szCs w:val="32"/>
        </w:rPr>
        <w:t>3.2.</w:t>
      </w:r>
      <w:r>
        <w:rPr>
          <w:rFonts w:hint="eastAsia" w:eastAsia="仿宋_GB2312"/>
          <w:color w:val="000000"/>
          <w:kern w:val="0"/>
          <w:sz w:val="32"/>
          <w:szCs w:val="32"/>
        </w:rPr>
        <w:t>5</w:t>
      </w:r>
      <w:r>
        <w:rPr>
          <w:rFonts w:eastAsia="仿宋_GB2312"/>
          <w:color w:val="000000"/>
          <w:kern w:val="0"/>
          <w:sz w:val="32"/>
          <w:szCs w:val="32"/>
        </w:rPr>
        <w:t>工作噪声。</w:t>
      </w:r>
    </w:p>
    <w:p w14:paraId="2A053492">
      <w:pPr>
        <w:spacing w:line="520" w:lineRule="exact"/>
        <w:ind w:firstLine="640" w:firstLineChars="200"/>
        <w:rPr>
          <w:rFonts w:eastAsia="仿宋_GB2312"/>
          <w:color w:val="000000"/>
          <w:kern w:val="0"/>
          <w:sz w:val="32"/>
          <w:szCs w:val="32"/>
        </w:rPr>
      </w:pPr>
      <w:r>
        <w:rPr>
          <w:rFonts w:eastAsia="仿宋_GB2312"/>
          <w:color w:val="000000"/>
          <w:kern w:val="0"/>
          <w:sz w:val="32"/>
          <w:szCs w:val="32"/>
        </w:rPr>
        <w:t>3.2.</w:t>
      </w:r>
      <w:r>
        <w:rPr>
          <w:rFonts w:hint="eastAsia" w:eastAsia="仿宋_GB2312"/>
          <w:color w:val="000000"/>
          <w:kern w:val="0"/>
          <w:sz w:val="32"/>
          <w:szCs w:val="32"/>
        </w:rPr>
        <w:t>6</w:t>
      </w:r>
      <w:r>
        <w:rPr>
          <w:rFonts w:eastAsia="仿宋_GB2312"/>
          <w:color w:val="000000"/>
          <w:kern w:val="0"/>
          <w:sz w:val="32"/>
          <w:szCs w:val="32"/>
        </w:rPr>
        <w:t>外观。</w:t>
      </w:r>
    </w:p>
    <w:p w14:paraId="24BE8840">
      <w:pPr>
        <w:overflowPunct w:val="0"/>
        <w:spacing w:line="560" w:lineRule="exact"/>
        <w:ind w:firstLine="640" w:firstLineChars="200"/>
        <w:rPr>
          <w:rFonts w:eastAsia="仿宋_GB2312"/>
          <w:sz w:val="32"/>
          <w:szCs w:val="32"/>
        </w:rPr>
      </w:pPr>
      <w:r>
        <w:rPr>
          <w:rFonts w:hint="eastAsia" w:eastAsia="仿宋_GB2312"/>
          <w:color w:val="000000"/>
          <w:sz w:val="32"/>
          <w:szCs w:val="32"/>
        </w:rPr>
        <w:t>3.2.7</w:t>
      </w:r>
      <w:r>
        <w:rPr>
          <w:rFonts w:hint="eastAsia" w:eastAsia="仿宋_GB2312"/>
          <w:sz w:val="32"/>
          <w:szCs w:val="32"/>
        </w:rPr>
        <w:t>光源要求</w:t>
      </w:r>
    </w:p>
    <w:p w14:paraId="3C7DD678">
      <w:pPr>
        <w:overflowPunct w:val="0"/>
        <w:spacing w:line="560" w:lineRule="exact"/>
        <w:ind w:firstLine="640" w:firstLineChars="200"/>
        <w:rPr>
          <w:rFonts w:eastAsia="仿宋_GB2312"/>
          <w:bCs/>
          <w:sz w:val="32"/>
          <w:szCs w:val="32"/>
        </w:rPr>
      </w:pPr>
      <w:r>
        <w:rPr>
          <w:rFonts w:eastAsia="仿宋_GB2312"/>
          <w:bCs/>
          <w:sz w:val="32"/>
          <w:szCs w:val="32"/>
        </w:rPr>
        <w:t>含有光源的产品，</w:t>
      </w:r>
      <w:r>
        <w:rPr>
          <w:rFonts w:hint="eastAsia" w:eastAsia="仿宋_GB2312"/>
          <w:sz w:val="32"/>
          <w:szCs w:val="20"/>
        </w:rPr>
        <w:t>应参照《医疗器械光辐射安全注册审查指导原则》</w:t>
      </w:r>
      <w:r>
        <w:rPr>
          <w:rFonts w:hint="eastAsia" w:eastAsia="仿宋_GB2312"/>
          <w:bCs/>
          <w:sz w:val="32"/>
          <w:szCs w:val="32"/>
        </w:rPr>
        <w:t>明确所有</w:t>
      </w:r>
      <w:r>
        <w:rPr>
          <w:rFonts w:eastAsia="仿宋_GB2312"/>
          <w:bCs/>
          <w:sz w:val="32"/>
          <w:szCs w:val="32"/>
        </w:rPr>
        <w:t>光源的波长和最大输出要求（能量/功率等）。</w:t>
      </w:r>
    </w:p>
    <w:p w14:paraId="1CBE130D">
      <w:pPr>
        <w:overflowPunct w:val="0"/>
        <w:spacing w:line="560" w:lineRule="exact"/>
        <w:ind w:firstLine="640" w:firstLineChars="200"/>
        <w:rPr>
          <w:rFonts w:hint="eastAsia" w:eastAsia="仿宋_GB2312"/>
          <w:bCs/>
          <w:sz w:val="32"/>
          <w:szCs w:val="32"/>
          <w:lang w:eastAsia="zh-CN"/>
        </w:rPr>
      </w:pPr>
      <w:r>
        <w:rPr>
          <w:rFonts w:hint="eastAsia" w:eastAsia="仿宋_GB2312"/>
          <w:bCs/>
          <w:sz w:val="32"/>
          <w:szCs w:val="32"/>
        </w:rPr>
        <w:t>申报产品若同时具备其他功能，也应在性能参数中体现</w:t>
      </w:r>
      <w:r>
        <w:rPr>
          <w:rFonts w:hint="eastAsia" w:eastAsia="仿宋_GB2312"/>
          <w:bCs/>
          <w:sz w:val="32"/>
          <w:szCs w:val="32"/>
          <w:lang w:eastAsia="zh-CN"/>
        </w:rPr>
        <w:t>。</w:t>
      </w:r>
    </w:p>
    <w:p w14:paraId="42997D8E">
      <w:pPr>
        <w:overflowPunct w:val="0"/>
        <w:spacing w:line="560" w:lineRule="exact"/>
        <w:ind w:firstLine="640" w:firstLineChars="200"/>
        <w:rPr>
          <w:rFonts w:eastAsia="仿宋_GB2312"/>
          <w:sz w:val="32"/>
          <w:szCs w:val="20"/>
        </w:rPr>
      </w:pPr>
      <w:r>
        <w:rPr>
          <w:rFonts w:hint="eastAsia" w:eastAsia="仿宋_GB2312"/>
          <w:color w:val="000000"/>
          <w:sz w:val="32"/>
          <w:szCs w:val="32"/>
        </w:rPr>
        <w:t>3.2.8</w:t>
      </w:r>
      <w:r>
        <w:rPr>
          <w:rFonts w:hint="eastAsia" w:eastAsia="仿宋_GB2312"/>
          <w:sz w:val="32"/>
          <w:szCs w:val="32"/>
        </w:rPr>
        <w:t>软件要求</w:t>
      </w:r>
    </w:p>
    <w:p w14:paraId="157280C3">
      <w:pPr>
        <w:spacing w:line="520" w:lineRule="exact"/>
        <w:ind w:firstLine="640" w:firstLineChars="200"/>
        <w:rPr>
          <w:rFonts w:eastAsia="仿宋_GB2312"/>
          <w:sz w:val="32"/>
          <w:szCs w:val="20"/>
        </w:rPr>
      </w:pPr>
      <w:r>
        <w:rPr>
          <w:rFonts w:hint="eastAsia" w:eastAsia="仿宋_GB2312"/>
          <w:sz w:val="32"/>
          <w:szCs w:val="20"/>
        </w:rPr>
        <w:t>对于包含软件组件的舌诊设备，应参照《医疗器械软件注册指导原则（2022年修订版）》明确软件的性能指标。如软件的功能、使用限制（如适用）、接口（如适用）、访问控制（如适用）、运行环境（如适用）、性能效率（如适用）。</w:t>
      </w:r>
    </w:p>
    <w:p w14:paraId="64C279F3">
      <w:pPr>
        <w:spacing w:line="520" w:lineRule="exact"/>
        <w:ind w:firstLine="640" w:firstLineChars="200"/>
        <w:rPr>
          <w:rFonts w:eastAsia="仿宋_GB2312"/>
          <w:snapToGrid w:val="0"/>
          <w:color w:val="000000"/>
          <w:sz w:val="32"/>
          <w:szCs w:val="32"/>
        </w:rPr>
      </w:pPr>
      <w:r>
        <w:rPr>
          <w:rFonts w:hint="eastAsia" w:eastAsia="仿宋_GB2312"/>
          <w:color w:val="000000"/>
          <w:sz w:val="32"/>
          <w:szCs w:val="32"/>
        </w:rPr>
        <w:t>3.2.9安全要求：</w:t>
      </w:r>
      <w:r>
        <w:rPr>
          <w:rFonts w:hint="eastAsia" w:eastAsia="仿宋_GB2312"/>
          <w:snapToGrid w:val="0"/>
          <w:color w:val="000000"/>
          <w:sz w:val="32"/>
          <w:szCs w:val="32"/>
        </w:rPr>
        <w:t>通用安全应符合GB 9706.1标准的要求。申报产品光源若预期在人体身上产生非视觉光生物效应，还应符合YY 9706.257的要求（作为照明功能使用的LED光源不适用此标准）。</w:t>
      </w:r>
    </w:p>
    <w:p w14:paraId="13CD5990">
      <w:pPr>
        <w:spacing w:line="520" w:lineRule="exact"/>
        <w:ind w:firstLine="640" w:firstLineChars="200"/>
        <w:rPr>
          <w:rFonts w:eastAsia="仿宋_GB2312"/>
          <w:color w:val="000000"/>
          <w:sz w:val="32"/>
          <w:szCs w:val="32"/>
        </w:rPr>
      </w:pPr>
      <w:r>
        <w:rPr>
          <w:rFonts w:hint="eastAsia" w:eastAsia="仿宋_GB2312"/>
          <w:color w:val="000000"/>
          <w:sz w:val="32"/>
          <w:szCs w:val="32"/>
        </w:rPr>
        <w:t>3.2.10电磁兼容要求：</w:t>
      </w:r>
      <w:r>
        <w:rPr>
          <w:rFonts w:eastAsia="仿宋_GB2312"/>
          <w:color w:val="000000"/>
          <w:sz w:val="32"/>
          <w:szCs w:val="32"/>
        </w:rPr>
        <w:t>电磁兼容应符合YY 9706.102的要求。</w:t>
      </w:r>
    </w:p>
    <w:p w14:paraId="47F1AD92">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3.3检验报告</w:t>
      </w:r>
    </w:p>
    <w:p w14:paraId="1D9CA617">
      <w:pPr>
        <w:spacing w:line="520" w:lineRule="exact"/>
        <w:ind w:firstLine="640" w:firstLineChars="200"/>
        <w:jc w:val="left"/>
        <w:rPr>
          <w:rFonts w:eastAsia="仿宋_GB2312"/>
          <w:color w:val="000000"/>
          <w:sz w:val="32"/>
          <w:szCs w:val="32"/>
        </w:rPr>
      </w:pPr>
      <w:r>
        <w:rPr>
          <w:rFonts w:eastAsia="仿宋_GB2312"/>
          <w:color w:val="000000"/>
          <w:sz w:val="32"/>
          <w:szCs w:val="32"/>
        </w:rPr>
        <w:t>注册申请人应提供产品检验报告，产品检验报告应符合国务院药品监督管理部门的要求，可以是医疗器械注册申请人的自检报告，也可以是委托具有医疗器械检验资质的医疗器械检验机构出具的检验报告。</w:t>
      </w:r>
    </w:p>
    <w:p w14:paraId="1D9C70FD">
      <w:pPr>
        <w:spacing w:line="520" w:lineRule="exact"/>
        <w:ind w:firstLine="640" w:firstLineChars="200"/>
        <w:rPr>
          <w:rFonts w:eastAsia="仿宋_GB2312"/>
          <w:color w:val="000000"/>
          <w:sz w:val="32"/>
          <w:szCs w:val="32"/>
        </w:rPr>
      </w:pPr>
      <w:r>
        <w:rPr>
          <w:rFonts w:eastAsia="仿宋_GB2312"/>
          <w:color w:val="000000"/>
          <w:sz w:val="32"/>
          <w:szCs w:val="32"/>
        </w:rPr>
        <w:t>检验报告提供软件版本界面照片或列明软件版本信息，有用户界面的软件体现软件发布版本、软件完整版本，无用户界面的软件体现软件完整版本。</w:t>
      </w:r>
    </w:p>
    <w:p w14:paraId="1C90CD3B">
      <w:pPr>
        <w:pStyle w:val="4"/>
        <w:adjustRightInd w:val="0"/>
        <w:snapToGrid w:val="0"/>
        <w:ind w:firstLine="640" w:firstLineChars="200"/>
        <w:rPr>
          <w:rFonts w:hint="default" w:eastAsia="仿宋_GB2312"/>
          <w:color w:val="000000"/>
          <w:sz w:val="32"/>
          <w:szCs w:val="32"/>
          <w:lang w:val="en-US" w:eastAsia="zh-CN"/>
        </w:rPr>
      </w:pPr>
      <w:r>
        <w:rPr>
          <w:rFonts w:hint="eastAsia" w:ascii="Times New Roman" w:hAnsi="Times New Roman" w:eastAsia="仿宋_GB2312"/>
          <w:b w:val="0"/>
          <w:bCs w:val="0"/>
        </w:rPr>
        <w:t>检验产品典型性：同一注册单元可选择结构最复杂、功能最多、技术指标最高的型号进行性能和电气安全检测。如果检测一个型号不能覆盖其他型号的全部性能功能，则可对其他型号不能覆盖的部分进行差异检测。</w:t>
      </w:r>
    </w:p>
    <w:p w14:paraId="15A748F8">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4.研究资料</w:t>
      </w:r>
    </w:p>
    <w:p w14:paraId="4DA70844">
      <w:pPr>
        <w:spacing w:line="560" w:lineRule="exact"/>
        <w:ind w:firstLine="640" w:firstLineChars="200"/>
        <w:rPr>
          <w:rFonts w:eastAsia="仿宋_GB2312"/>
          <w:color w:val="000000"/>
          <w:sz w:val="32"/>
          <w:szCs w:val="32"/>
        </w:rPr>
      </w:pPr>
      <w:r>
        <w:rPr>
          <w:rFonts w:eastAsia="仿宋_GB2312"/>
          <w:color w:val="000000"/>
          <w:sz w:val="32"/>
          <w:szCs w:val="32"/>
        </w:rPr>
        <w:t>根据申报产品适用范围和技术特征，提供非临床研究综述，逐项描述所开展的研究，概述研究方法和研究结论。根据非临床研究综述，提供相应的研究资料，各项研究可通过文献研究、实验室研究等方式开展，一般应当包含研究方案、研究报告</w:t>
      </w:r>
      <w:r>
        <w:rPr>
          <w:rFonts w:hint="eastAsia" w:eastAsia="仿宋_GB2312"/>
          <w:color w:val="000000"/>
          <w:sz w:val="32"/>
          <w:szCs w:val="32"/>
        </w:rPr>
        <w:t>等</w:t>
      </w:r>
      <w:r>
        <w:rPr>
          <w:rFonts w:eastAsia="仿宋_GB2312"/>
          <w:color w:val="000000"/>
          <w:sz w:val="32"/>
          <w:szCs w:val="32"/>
        </w:rPr>
        <w:t>。</w:t>
      </w:r>
    </w:p>
    <w:p w14:paraId="1BF4FF0F">
      <w:pPr>
        <w:spacing w:line="560" w:lineRule="exact"/>
        <w:ind w:firstLine="640" w:firstLineChars="200"/>
        <w:outlineLvl w:val="3"/>
        <w:rPr>
          <w:rFonts w:eastAsia="仿宋_GB2312"/>
          <w:color w:val="000000"/>
          <w:sz w:val="32"/>
          <w:szCs w:val="32"/>
        </w:rPr>
      </w:pPr>
      <w:r>
        <w:rPr>
          <w:rFonts w:hint="eastAsia" w:eastAsia="仿宋_GB2312"/>
          <w:color w:val="000000"/>
          <w:sz w:val="32"/>
          <w:szCs w:val="32"/>
        </w:rPr>
        <w:t>4.</w:t>
      </w:r>
      <w:r>
        <w:rPr>
          <w:rFonts w:eastAsia="仿宋_GB2312"/>
          <w:color w:val="000000"/>
          <w:sz w:val="32"/>
          <w:szCs w:val="32"/>
        </w:rPr>
        <w:t>1</w:t>
      </w:r>
      <w:r>
        <w:rPr>
          <w:rFonts w:hint="eastAsia" w:eastAsia="仿宋_GB2312"/>
          <w:color w:val="000000"/>
          <w:sz w:val="32"/>
          <w:szCs w:val="32"/>
        </w:rPr>
        <w:t>产品</w:t>
      </w:r>
      <w:r>
        <w:rPr>
          <w:rFonts w:eastAsia="仿宋_GB2312"/>
          <w:color w:val="000000"/>
          <w:sz w:val="32"/>
          <w:szCs w:val="32"/>
        </w:rPr>
        <w:t>性能研究</w:t>
      </w:r>
    </w:p>
    <w:p w14:paraId="20E99A93">
      <w:pPr>
        <w:spacing w:line="560" w:lineRule="exact"/>
        <w:ind w:firstLine="640" w:firstLineChars="200"/>
        <w:rPr>
          <w:rFonts w:eastAsia="仿宋_GB2312"/>
          <w:color w:val="000000"/>
          <w:sz w:val="32"/>
          <w:szCs w:val="32"/>
        </w:rPr>
      </w:pPr>
      <w:r>
        <w:rPr>
          <w:rFonts w:hint="eastAsia" w:eastAsia="仿宋_GB2312"/>
          <w:color w:val="000000"/>
          <w:sz w:val="32"/>
          <w:szCs w:val="32"/>
        </w:rPr>
        <w:t>应当提供产品物理和/或机械性能指标的确定依据、设计输入来源以及临床意义，所采用的标准或方法、采用的原因及理论基础。包含功能性、安全性指标以及与质量控制相关的其他指标。</w:t>
      </w:r>
    </w:p>
    <w:p w14:paraId="3CDBAEC0">
      <w:pPr>
        <w:spacing w:line="560" w:lineRule="exact"/>
        <w:ind w:firstLine="640" w:firstLineChars="200"/>
        <w:outlineLvl w:val="3"/>
        <w:rPr>
          <w:rFonts w:eastAsia="仿宋_GB2312"/>
          <w:color w:val="000000"/>
          <w:sz w:val="32"/>
          <w:szCs w:val="32"/>
        </w:rPr>
      </w:pPr>
      <w:r>
        <w:rPr>
          <w:rFonts w:hint="eastAsia" w:eastAsia="仿宋_GB2312"/>
          <w:color w:val="000000"/>
          <w:sz w:val="32"/>
          <w:szCs w:val="32"/>
        </w:rPr>
        <w:t>4.</w:t>
      </w:r>
      <w:r>
        <w:rPr>
          <w:rFonts w:eastAsia="仿宋_GB2312"/>
          <w:color w:val="000000"/>
          <w:sz w:val="32"/>
          <w:szCs w:val="32"/>
        </w:rPr>
        <w:t>2电气系统安全性研究</w:t>
      </w:r>
    </w:p>
    <w:p w14:paraId="52CBE22D">
      <w:pPr>
        <w:spacing w:line="560" w:lineRule="exact"/>
        <w:ind w:firstLine="640" w:firstLineChars="200"/>
        <w:rPr>
          <w:rFonts w:eastAsia="仿宋_GB2312"/>
          <w:color w:val="000000"/>
          <w:sz w:val="32"/>
          <w:szCs w:val="32"/>
        </w:rPr>
      </w:pPr>
      <w:r>
        <w:rPr>
          <w:rFonts w:eastAsia="仿宋_GB2312"/>
          <w:color w:val="000000"/>
          <w:sz w:val="32"/>
          <w:szCs w:val="32"/>
        </w:rPr>
        <w:t>应当提供电气安全性、机械和环境保护以及电磁兼容性的研究资料，说明适用的标准以及开展的研究。</w:t>
      </w:r>
    </w:p>
    <w:p w14:paraId="72B0BDCC">
      <w:pPr>
        <w:spacing w:line="560" w:lineRule="exact"/>
        <w:ind w:firstLine="640" w:firstLineChars="200"/>
        <w:outlineLvl w:val="3"/>
        <w:rPr>
          <w:rFonts w:eastAsia="仿宋_GB2312"/>
          <w:color w:val="000000"/>
          <w:sz w:val="32"/>
          <w:szCs w:val="32"/>
        </w:rPr>
      </w:pPr>
      <w:r>
        <w:rPr>
          <w:rFonts w:hint="eastAsia" w:eastAsia="仿宋_GB2312"/>
          <w:color w:val="000000"/>
          <w:sz w:val="32"/>
          <w:szCs w:val="32"/>
        </w:rPr>
        <w:t>4.3光</w:t>
      </w:r>
      <w:r>
        <w:rPr>
          <w:rFonts w:eastAsia="仿宋_GB2312"/>
          <w:color w:val="000000"/>
          <w:sz w:val="32"/>
          <w:szCs w:val="32"/>
        </w:rPr>
        <w:t>辐射安全研究</w:t>
      </w:r>
    </w:p>
    <w:p w14:paraId="016E3911">
      <w:pPr>
        <w:spacing w:line="560" w:lineRule="exact"/>
        <w:ind w:firstLine="640" w:firstLineChars="200"/>
        <w:rPr>
          <w:rFonts w:eastAsia="仿宋_GB2312"/>
          <w:sz w:val="32"/>
          <w:szCs w:val="20"/>
        </w:rPr>
      </w:pPr>
      <w:r>
        <w:rPr>
          <w:rFonts w:hint="eastAsia" w:eastAsia="仿宋_GB2312"/>
          <w:sz w:val="32"/>
          <w:szCs w:val="20"/>
        </w:rPr>
        <w:t>应参考《医疗器械光辐射安全注册审查指导原则》</w:t>
      </w:r>
      <w:r>
        <w:rPr>
          <w:rFonts w:hint="eastAsia" w:eastAsia="仿宋_GB2312"/>
          <w:sz w:val="32"/>
          <w:szCs w:val="32"/>
        </w:rPr>
        <w:t>相关规定</w:t>
      </w:r>
      <w:r>
        <w:rPr>
          <w:rFonts w:hint="eastAsia" w:eastAsia="仿宋_GB2312"/>
          <w:sz w:val="32"/>
          <w:szCs w:val="20"/>
        </w:rPr>
        <w:t>提交光辐射安全研究资料。</w:t>
      </w:r>
      <w:r>
        <w:rPr>
          <w:rFonts w:eastAsia="仿宋_GB2312"/>
          <w:bCs/>
          <w:sz w:val="32"/>
          <w:szCs w:val="32"/>
        </w:rPr>
        <w:t>对于非激光照明光源，需在研究资料中明确其光辐射安全等级分类并提供证明资料，可参考GB/T 20145标准进行分类。对于含有LED照明光源的，应同时考虑YY/T 1534标准。</w:t>
      </w:r>
    </w:p>
    <w:p w14:paraId="7C9001B0">
      <w:pPr>
        <w:pStyle w:val="60"/>
        <w:overflowPunct w:val="0"/>
        <w:autoSpaceDE w:val="0"/>
        <w:autoSpaceDN w:val="0"/>
        <w:spacing w:line="520" w:lineRule="exact"/>
        <w:ind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4.4可用性工程研究</w:t>
      </w:r>
    </w:p>
    <w:p w14:paraId="3B9DA5D7">
      <w:pPr>
        <w:spacing w:line="560" w:lineRule="exact"/>
        <w:ind w:firstLine="640" w:firstLineChars="200"/>
        <w:rPr>
          <w:rFonts w:eastAsia="仿宋_GB2312"/>
          <w:sz w:val="32"/>
          <w:szCs w:val="32"/>
        </w:rPr>
      </w:pPr>
      <w:r>
        <w:rPr>
          <w:rFonts w:hint="eastAsia" w:eastAsia="仿宋_GB2312"/>
          <w:sz w:val="32"/>
          <w:szCs w:val="32"/>
        </w:rPr>
        <w:t>本指导原则中的舌诊设备一般为中低风险设备，可参照《医疗器械可用性工程注册审查指导原则》及其应用说明要求提交使用错误评估报告。</w:t>
      </w:r>
    </w:p>
    <w:p w14:paraId="29EFF383">
      <w:pPr>
        <w:spacing w:line="560" w:lineRule="exact"/>
        <w:ind w:firstLine="640" w:firstLineChars="200"/>
        <w:outlineLvl w:val="3"/>
        <w:rPr>
          <w:rFonts w:eastAsia="仿宋_GB2312"/>
          <w:color w:val="000000"/>
          <w:sz w:val="32"/>
          <w:szCs w:val="32"/>
        </w:rPr>
      </w:pPr>
      <w:r>
        <w:rPr>
          <w:rFonts w:eastAsia="仿宋_GB2312"/>
          <w:color w:val="000000"/>
          <w:kern w:val="0"/>
          <w:sz w:val="32"/>
          <w:szCs w:val="32"/>
        </w:rPr>
        <w:t>4.</w:t>
      </w:r>
      <w:r>
        <w:rPr>
          <w:rFonts w:hint="eastAsia" w:eastAsia="仿宋_GB2312"/>
          <w:color w:val="000000"/>
          <w:kern w:val="0"/>
          <w:sz w:val="32"/>
          <w:szCs w:val="32"/>
        </w:rPr>
        <w:t>5</w:t>
      </w:r>
      <w:r>
        <w:rPr>
          <w:rFonts w:eastAsia="仿宋_GB2312"/>
          <w:color w:val="000000"/>
          <w:sz w:val="32"/>
          <w:szCs w:val="32"/>
        </w:rPr>
        <w:t>软件研究</w:t>
      </w:r>
    </w:p>
    <w:p w14:paraId="755DAA39">
      <w:pPr>
        <w:spacing w:line="560" w:lineRule="exact"/>
        <w:ind w:firstLine="640" w:firstLineChars="200"/>
        <w:rPr>
          <w:rFonts w:eastAsia="仿宋_GB2312"/>
          <w:sz w:val="32"/>
          <w:szCs w:val="20"/>
        </w:rPr>
      </w:pPr>
      <w:r>
        <w:rPr>
          <w:rFonts w:hint="eastAsia" w:eastAsia="仿宋_GB2312"/>
          <w:sz w:val="32"/>
          <w:szCs w:val="20"/>
        </w:rPr>
        <w:t>对于包含软件组件的中医舌诊设备，注册申请人应依据《医疗器械软件注册审查指导原则》（2022年修订版）的要求，提交软件研究资料。</w:t>
      </w:r>
    </w:p>
    <w:p w14:paraId="25585168">
      <w:pPr>
        <w:spacing w:line="560" w:lineRule="exact"/>
        <w:ind w:firstLine="640" w:firstLineChars="200"/>
        <w:rPr>
          <w:rFonts w:eastAsia="仿宋_GB2312"/>
          <w:sz w:val="32"/>
          <w:szCs w:val="20"/>
        </w:rPr>
      </w:pPr>
      <w:r>
        <w:rPr>
          <w:rFonts w:hint="eastAsia" w:eastAsia="仿宋_GB2312"/>
          <w:sz w:val="32"/>
          <w:szCs w:val="20"/>
        </w:rPr>
        <w:t>若具备电子数据交换、远程访问与控制、用户访问三种功能当中一种及以上功能的中医舌诊设备，应依据《医疗器械网络安全注册审查指导原则》（2022年修订版）的要求，提交网络安全研究资料。</w:t>
      </w:r>
    </w:p>
    <w:p w14:paraId="4837D0A2">
      <w:pPr>
        <w:spacing w:line="560" w:lineRule="exact"/>
        <w:ind w:firstLine="640" w:firstLineChars="200"/>
        <w:outlineLvl w:val="4"/>
        <w:rPr>
          <w:rFonts w:eastAsia="仿宋_GB2312"/>
          <w:color w:val="000000"/>
          <w:sz w:val="32"/>
          <w:szCs w:val="32"/>
        </w:rPr>
      </w:pPr>
      <w:r>
        <w:rPr>
          <w:rFonts w:hint="eastAsia" w:eastAsia="仿宋_GB2312"/>
          <w:color w:val="000000"/>
          <w:sz w:val="32"/>
          <w:szCs w:val="32"/>
        </w:rPr>
        <w:t>4.5.1</w:t>
      </w:r>
      <w:r>
        <w:rPr>
          <w:rFonts w:eastAsia="仿宋_GB2312"/>
          <w:color w:val="000000"/>
          <w:sz w:val="32"/>
          <w:szCs w:val="32"/>
        </w:rPr>
        <w:t>软件</w:t>
      </w:r>
    </w:p>
    <w:p w14:paraId="204BA621">
      <w:pPr>
        <w:spacing w:line="520" w:lineRule="exact"/>
        <w:ind w:firstLine="640" w:firstLineChars="200"/>
        <w:rPr>
          <w:rFonts w:eastAsia="仿宋_GB2312"/>
          <w:sz w:val="32"/>
          <w:szCs w:val="32"/>
        </w:rPr>
      </w:pPr>
      <w:r>
        <w:rPr>
          <w:rFonts w:eastAsia="仿宋_GB2312"/>
          <w:sz w:val="32"/>
          <w:szCs w:val="32"/>
        </w:rPr>
        <w:t>注册申请人在提交软件研究资料时应当提供</w:t>
      </w:r>
      <w:r>
        <w:rPr>
          <w:rFonts w:hint="eastAsia" w:eastAsia="仿宋_GB2312"/>
          <w:sz w:val="32"/>
          <w:szCs w:val="32"/>
        </w:rPr>
        <w:t>自研软件研究报告、外部软件环境评估报告（若适用）以及</w:t>
      </w:r>
      <w:r>
        <w:rPr>
          <w:rFonts w:eastAsia="仿宋_GB2312"/>
          <w:sz w:val="32"/>
          <w:szCs w:val="32"/>
        </w:rPr>
        <w:t>GB/T 25000.51</w:t>
      </w:r>
      <w:r>
        <w:rPr>
          <w:rFonts w:hint="eastAsia" w:eastAsia="仿宋_GB2312"/>
          <w:sz w:val="32"/>
          <w:szCs w:val="32"/>
        </w:rPr>
        <w:t>自测报告，亦可提交自检报告或检验报告代替自测报告。自研软件研究报告</w:t>
      </w:r>
      <w:r>
        <w:rPr>
          <w:rFonts w:eastAsia="仿宋_GB2312"/>
          <w:sz w:val="32"/>
          <w:szCs w:val="32"/>
        </w:rPr>
        <w:t>包括基本信息、实现过程、核心功能、结论等内容，详尽程度取决于软件安全性级别（严重、中等、轻微）。其中，基本信息包括软件标识、安全性级别、结构功能、物理拓扑、运行环境、注册历史，实现过程包括开发概况、风险管理、需求规范、生存周期、验证与确认、可追溯性分析、缺陷管理、更新历史，明确核心功能、核心算法、预期用途的对应关系。</w:t>
      </w:r>
    </w:p>
    <w:p w14:paraId="2D6D4225">
      <w:pPr>
        <w:spacing w:line="520" w:lineRule="exact"/>
        <w:ind w:firstLine="640" w:firstLineChars="200"/>
        <w:outlineLvl w:val="2"/>
        <w:rPr>
          <w:rFonts w:eastAsia="仿宋_GB2312"/>
          <w:color w:val="000000"/>
          <w:kern w:val="0"/>
          <w:sz w:val="32"/>
          <w:szCs w:val="32"/>
        </w:rPr>
      </w:pPr>
      <w:r>
        <w:rPr>
          <w:rFonts w:hint="eastAsia" w:eastAsia="仿宋_GB2312"/>
          <w:sz w:val="32"/>
          <w:szCs w:val="32"/>
          <w:lang w:val="en-US" w:eastAsia="zh-CN"/>
        </w:rPr>
        <w:t>4.5.2准确性</w:t>
      </w:r>
      <w:r>
        <w:rPr>
          <w:rFonts w:eastAsia="仿宋_GB2312"/>
          <w:color w:val="000000"/>
          <w:kern w:val="0"/>
          <w:sz w:val="32"/>
          <w:szCs w:val="32"/>
        </w:rPr>
        <w:t>研究资</w:t>
      </w:r>
      <w:bookmarkStart w:id="5" w:name="_GoBack"/>
      <w:bookmarkEnd w:id="5"/>
      <w:r>
        <w:rPr>
          <w:rFonts w:eastAsia="仿宋_GB2312"/>
          <w:color w:val="000000"/>
          <w:kern w:val="0"/>
          <w:sz w:val="32"/>
          <w:szCs w:val="32"/>
        </w:rPr>
        <w:t>料</w:t>
      </w:r>
    </w:p>
    <w:p w14:paraId="7E1ABF45">
      <w:pPr>
        <w:spacing w:line="520" w:lineRule="exact"/>
        <w:ind w:firstLine="640" w:firstLineChars="200"/>
        <w:jc w:val="left"/>
        <w:rPr>
          <w:rFonts w:eastAsia="仿宋_GB2312"/>
          <w:color w:val="000000"/>
          <w:kern w:val="0"/>
          <w:sz w:val="32"/>
          <w:szCs w:val="32"/>
        </w:rPr>
      </w:pPr>
      <w:r>
        <w:rPr>
          <w:rFonts w:eastAsia="仿宋_GB2312"/>
          <w:color w:val="000000"/>
          <w:kern w:val="0"/>
          <w:sz w:val="32"/>
          <w:szCs w:val="32"/>
        </w:rPr>
        <w:t>除根据申报产品适用范围和技术特征提供非临床研究综述外，还应针对中医</w:t>
      </w:r>
      <w:r>
        <w:rPr>
          <w:rFonts w:hint="eastAsia" w:eastAsia="仿宋_GB2312"/>
          <w:color w:val="000000"/>
          <w:kern w:val="0"/>
          <w:sz w:val="32"/>
          <w:szCs w:val="32"/>
        </w:rPr>
        <w:t>舌诊</w:t>
      </w:r>
      <w:r>
        <w:rPr>
          <w:rFonts w:eastAsia="仿宋_GB2312"/>
          <w:color w:val="000000"/>
          <w:kern w:val="0"/>
          <w:sz w:val="32"/>
          <w:szCs w:val="32"/>
        </w:rPr>
        <w:t>设备产品的具体特点，提供产品准确性的研究资料，如：</w:t>
      </w:r>
      <w:r>
        <w:rPr>
          <w:rFonts w:hint="eastAsia" w:eastAsia="仿宋_GB2312"/>
          <w:color w:val="000000"/>
          <w:kern w:val="0"/>
          <w:sz w:val="32"/>
          <w:szCs w:val="32"/>
        </w:rPr>
        <w:t>舌象图像</w:t>
      </w:r>
      <w:r>
        <w:rPr>
          <w:rFonts w:hint="eastAsia" w:eastAsia="仿宋_GB2312"/>
          <w:color w:val="000000"/>
          <w:sz w:val="32"/>
          <w:szCs w:val="32"/>
        </w:rPr>
        <w:t>颜色数值</w:t>
      </w:r>
      <w:r>
        <w:rPr>
          <w:rFonts w:eastAsia="仿宋_GB2312"/>
          <w:color w:val="000000"/>
          <w:kern w:val="0"/>
          <w:sz w:val="32"/>
          <w:szCs w:val="32"/>
        </w:rPr>
        <w:t>采集准确性研究资料</w:t>
      </w:r>
      <w:r>
        <w:rPr>
          <w:rFonts w:hint="eastAsia" w:eastAsia="仿宋_GB2312"/>
          <w:color w:val="000000"/>
          <w:kern w:val="0"/>
          <w:sz w:val="32"/>
          <w:szCs w:val="32"/>
        </w:rPr>
        <w:t>（如适用）</w:t>
      </w:r>
      <w:r>
        <w:rPr>
          <w:rFonts w:eastAsia="仿宋_GB2312"/>
          <w:color w:val="000000"/>
          <w:sz w:val="32"/>
          <w:szCs w:val="32"/>
        </w:rPr>
        <w:t>、</w:t>
      </w:r>
      <w:r>
        <w:rPr>
          <w:rFonts w:hint="eastAsia" w:eastAsia="仿宋_GB2312"/>
          <w:color w:val="000000"/>
          <w:sz w:val="32"/>
          <w:szCs w:val="32"/>
        </w:rPr>
        <w:t>点刺/裂纹等舌象特征判断准确性研究资料</w:t>
      </w:r>
      <w:r>
        <w:rPr>
          <w:rFonts w:hint="eastAsia" w:eastAsia="仿宋_GB2312"/>
          <w:color w:val="000000"/>
          <w:kern w:val="0"/>
          <w:sz w:val="32"/>
          <w:szCs w:val="32"/>
        </w:rPr>
        <w:t>（如适用）等</w:t>
      </w:r>
      <w:r>
        <w:rPr>
          <w:rFonts w:eastAsia="仿宋_GB2312"/>
          <w:color w:val="000000"/>
          <w:kern w:val="0"/>
          <w:sz w:val="32"/>
          <w:szCs w:val="32"/>
        </w:rPr>
        <w:t>。</w:t>
      </w:r>
    </w:p>
    <w:p w14:paraId="5A581455">
      <w:pPr>
        <w:spacing w:line="520" w:lineRule="exact"/>
        <w:ind w:firstLine="640" w:firstLineChars="200"/>
        <w:jc w:val="left"/>
        <w:rPr>
          <w:rFonts w:eastAsia="仿宋_GB2312"/>
          <w:color w:val="000000"/>
          <w:kern w:val="0"/>
          <w:sz w:val="32"/>
          <w:szCs w:val="32"/>
        </w:rPr>
      </w:pPr>
      <w:r>
        <w:rPr>
          <w:rFonts w:hint="eastAsia" w:eastAsia="仿宋_GB2312"/>
          <w:color w:val="000000"/>
          <w:kern w:val="0"/>
          <w:sz w:val="32"/>
          <w:szCs w:val="32"/>
        </w:rPr>
        <w:t>常见的舌象特征包括但不限于：</w:t>
      </w:r>
    </w:p>
    <w:p w14:paraId="553BF64F">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舌色（7 种）：淡白舌、淡红舌、红舌、绛舌、紫黯舌，舌边红、舌尖红；</w:t>
      </w:r>
    </w:p>
    <w:p w14:paraId="3D9F314F">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苔色（4 种）：白苔、黄苔、黄白相兼苔、灰黑苔；</w:t>
      </w:r>
    </w:p>
    <w:p w14:paraId="06F2A368">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苔质（7 种）：苔薄、苔厚、苔少、苔无、苔腻、苔腐腻、无腐腻；</w:t>
      </w:r>
    </w:p>
    <w:p w14:paraId="4E2C55A8">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干湿度（3 种）：干燥、湿润、正常；</w:t>
      </w:r>
    </w:p>
    <w:p w14:paraId="33D17B68">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舌形（3 种）：胖舌、瘦舌、正常；</w:t>
      </w:r>
    </w:p>
    <w:p w14:paraId="4BD8EB2D">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齿痕（2 种）：有齿痕、无齿痕；</w:t>
      </w:r>
    </w:p>
    <w:p w14:paraId="0F2FE619">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剥苔（2 种）：有剥苔、无剥苔；</w:t>
      </w:r>
    </w:p>
    <w:p w14:paraId="591025E1">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裂纹（2 种）：有裂纹、无裂纹；</w:t>
      </w:r>
    </w:p>
    <w:p w14:paraId="6F76B1E9">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点刺（2 种）：有点刺、无点刺；</w:t>
      </w:r>
    </w:p>
    <w:p w14:paraId="098E41D4">
      <w:pPr>
        <w:numPr>
          <w:ilvl w:val="0"/>
          <w:numId w:val="2"/>
        </w:numPr>
        <w:spacing w:line="520" w:lineRule="exact"/>
        <w:jc w:val="left"/>
        <w:rPr>
          <w:rFonts w:eastAsia="仿宋_GB2312"/>
          <w:color w:val="000000"/>
          <w:kern w:val="0"/>
          <w:sz w:val="32"/>
          <w:szCs w:val="32"/>
        </w:rPr>
      </w:pPr>
      <w:r>
        <w:rPr>
          <w:rFonts w:hint="eastAsia" w:eastAsia="仿宋_GB2312"/>
          <w:color w:val="000000"/>
          <w:kern w:val="0"/>
          <w:sz w:val="32"/>
          <w:szCs w:val="32"/>
        </w:rPr>
        <w:t>瘀斑瘀点（2 种）：有瘀斑瘀点、无瘀斑瘀点</w:t>
      </w:r>
    </w:p>
    <w:p w14:paraId="148D4435">
      <w:pPr>
        <w:spacing w:line="520" w:lineRule="exact"/>
        <w:ind w:firstLine="640" w:firstLineChars="200"/>
        <w:jc w:val="left"/>
        <w:rPr>
          <w:rFonts w:eastAsia="仿宋_GB2312"/>
          <w:color w:val="000000"/>
          <w:kern w:val="0"/>
          <w:sz w:val="32"/>
          <w:szCs w:val="32"/>
        </w:rPr>
      </w:pPr>
    </w:p>
    <w:p w14:paraId="7A5DC942">
      <w:pPr>
        <w:jc w:val="center"/>
        <w:rPr>
          <w:rFonts w:eastAsia="仿宋_GB2312"/>
          <w:color w:val="000000"/>
          <w:kern w:val="0"/>
          <w:sz w:val="32"/>
          <w:szCs w:val="32"/>
        </w:rPr>
      </w:pPr>
      <w:r>
        <w:rPr>
          <w:rFonts w:eastAsia="仿宋_GB2312"/>
          <w:color w:val="000000"/>
          <w:kern w:val="0"/>
          <w:sz w:val="32"/>
          <w:szCs w:val="32"/>
        </w:rPr>
        <w:drawing>
          <wp:inline distT="0" distB="0" distL="0" distR="0">
            <wp:extent cx="1671955" cy="2494915"/>
            <wp:effectExtent l="0" t="0" r="444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srcRect/>
                    <a:stretch>
                      <a:fillRect/>
                    </a:stretch>
                  </pic:blipFill>
                  <pic:spPr>
                    <a:xfrm>
                      <a:off x="0" y="0"/>
                      <a:ext cx="1671955" cy="2494915"/>
                    </a:xfrm>
                    <a:prstGeom prst="rect">
                      <a:avLst/>
                    </a:prstGeom>
                    <a:noFill/>
                    <a:ln w="9525" cmpd="sng">
                      <a:noFill/>
                      <a:miter lim="800000"/>
                      <a:headEnd/>
                      <a:tailEnd/>
                    </a:ln>
                  </pic:spPr>
                </pic:pic>
              </a:graphicData>
            </a:graphic>
          </wp:inline>
        </w:drawing>
      </w:r>
    </w:p>
    <w:p w14:paraId="4CD2D28B">
      <w:pPr>
        <w:pStyle w:val="2"/>
        <w:jc w:val="center"/>
        <w:rPr>
          <w:rFonts w:hint="default" w:eastAsia="仿宋_GB2312"/>
          <w:lang w:val="en-US" w:eastAsia="zh-CN"/>
        </w:rPr>
      </w:pPr>
      <w:r>
        <w:rPr>
          <w:rFonts w:eastAsia="黑体"/>
          <w:color w:val="000000"/>
          <w:sz w:val="28"/>
          <w:szCs w:val="28"/>
        </w:rPr>
        <w:t xml:space="preserve">图3 </w:t>
      </w:r>
      <w:r>
        <w:rPr>
          <w:rFonts w:hint="eastAsia" w:eastAsia="黑体"/>
          <w:color w:val="000000"/>
          <w:sz w:val="28"/>
          <w:szCs w:val="28"/>
        </w:rPr>
        <w:t>舌象图像特征</w:t>
      </w:r>
      <w:r>
        <w:rPr>
          <w:rFonts w:eastAsia="黑体"/>
          <w:color w:val="000000"/>
          <w:sz w:val="28"/>
          <w:szCs w:val="28"/>
        </w:rPr>
        <w:t>示意图</w:t>
      </w:r>
    </w:p>
    <w:p w14:paraId="1130FA36">
      <w:pPr>
        <w:spacing w:line="560" w:lineRule="exact"/>
        <w:ind w:firstLine="640" w:firstLineChars="200"/>
        <w:outlineLvl w:val="4"/>
        <w:rPr>
          <w:rFonts w:eastAsia="仿宋_GB2312"/>
          <w:color w:val="000000"/>
          <w:sz w:val="32"/>
          <w:szCs w:val="32"/>
        </w:rPr>
      </w:pPr>
      <w:r>
        <w:rPr>
          <w:rFonts w:hint="eastAsia" w:eastAsia="仿宋_GB2312"/>
          <w:color w:val="000000"/>
          <w:sz w:val="32"/>
          <w:szCs w:val="32"/>
        </w:rPr>
        <w:t>4.5.</w:t>
      </w:r>
      <w:r>
        <w:rPr>
          <w:rFonts w:hint="eastAsia" w:eastAsia="仿宋_GB2312"/>
          <w:color w:val="000000"/>
          <w:sz w:val="32"/>
          <w:szCs w:val="32"/>
          <w:lang w:val="en-US" w:eastAsia="zh-CN"/>
        </w:rPr>
        <w:t>3</w:t>
      </w:r>
      <w:r>
        <w:rPr>
          <w:rFonts w:eastAsia="仿宋_GB2312"/>
          <w:color w:val="000000"/>
          <w:sz w:val="32"/>
          <w:szCs w:val="32"/>
        </w:rPr>
        <w:t>网络安全</w:t>
      </w:r>
    </w:p>
    <w:p w14:paraId="1EFBA244">
      <w:pPr>
        <w:spacing w:line="520" w:lineRule="exact"/>
        <w:ind w:firstLine="640" w:firstLineChars="200"/>
        <w:jc w:val="left"/>
        <w:rPr>
          <w:rFonts w:eastAsia="仿宋_GB2312"/>
          <w:color w:val="000000"/>
          <w:sz w:val="32"/>
          <w:szCs w:val="32"/>
        </w:rPr>
      </w:pPr>
      <w:r>
        <w:rPr>
          <w:rFonts w:hint="eastAsia" w:eastAsia="仿宋_GB2312"/>
          <w:sz w:val="32"/>
          <w:szCs w:val="32"/>
        </w:rPr>
        <w:t>若申报产品</w:t>
      </w:r>
      <w:r>
        <w:rPr>
          <w:rFonts w:eastAsia="仿宋_GB2312"/>
          <w:sz w:val="32"/>
          <w:szCs w:val="32"/>
        </w:rPr>
        <w:t>具备电子数据交换、远程控制或用户访问功能，应当提供自研软件网络安全研究报告，包括基本信息、实现过程、漏洞评估、结论等内容，详尽程度取决于软件安全性级别。其中，基本信息包括软件信息、数据架构、网络安全能力、网络安全补丁、安全软件，实现过程包括风险管理、需求规范、验证与确认、可追溯性分析、更新维护计划，漏洞评估明确已知漏洞相关信息。</w:t>
      </w:r>
    </w:p>
    <w:p w14:paraId="368CCA78">
      <w:pPr>
        <w:spacing w:line="520" w:lineRule="exact"/>
        <w:ind w:firstLine="640" w:firstLineChars="200"/>
        <w:outlineLvl w:val="3"/>
        <w:rPr>
          <w:rFonts w:eastAsia="仿宋_GB2312"/>
          <w:color w:val="000000"/>
          <w:kern w:val="0"/>
          <w:sz w:val="32"/>
          <w:szCs w:val="32"/>
        </w:rPr>
      </w:pPr>
      <w:r>
        <w:rPr>
          <w:rFonts w:eastAsia="仿宋_GB2312"/>
          <w:color w:val="000000"/>
          <w:kern w:val="0"/>
          <w:sz w:val="32"/>
          <w:szCs w:val="32"/>
        </w:rPr>
        <w:t>4.</w:t>
      </w:r>
      <w:r>
        <w:rPr>
          <w:rFonts w:hint="eastAsia" w:eastAsia="仿宋_GB2312"/>
          <w:color w:val="000000"/>
          <w:kern w:val="0"/>
          <w:sz w:val="32"/>
          <w:szCs w:val="32"/>
        </w:rPr>
        <w:t>6生物学特性研究</w:t>
      </w:r>
    </w:p>
    <w:p w14:paraId="5240272C">
      <w:pPr>
        <w:spacing w:line="520" w:lineRule="exact"/>
        <w:ind w:firstLine="640" w:firstLineChars="200"/>
        <w:rPr>
          <w:rFonts w:eastAsia="仿宋_GB2312"/>
          <w:color w:val="000000"/>
          <w:sz w:val="32"/>
          <w:szCs w:val="32"/>
        </w:rPr>
      </w:pPr>
      <w:r>
        <w:rPr>
          <w:rFonts w:eastAsia="仿宋_GB2312"/>
          <w:color w:val="000000"/>
          <w:sz w:val="32"/>
          <w:szCs w:val="32"/>
        </w:rPr>
        <w:t>依据 GB /T 16886.1标准要求开展生物学评价。按照患者直接接触具体部件进行相应的评价。</w:t>
      </w:r>
      <w:r>
        <w:rPr>
          <w:rFonts w:eastAsia="仿宋_GB2312"/>
          <w:color w:val="000000"/>
          <w:kern w:val="0"/>
          <w:sz w:val="32"/>
          <w:szCs w:val="32"/>
        </w:rPr>
        <w:t>设备一般与人体皮肤接触的部件有</w:t>
      </w:r>
      <w:r>
        <w:rPr>
          <w:rFonts w:hint="eastAsia" w:eastAsia="仿宋_GB2312"/>
          <w:color w:val="000000"/>
          <w:kern w:val="0"/>
          <w:sz w:val="32"/>
          <w:szCs w:val="32"/>
        </w:rPr>
        <w:t>封闭光源结构部件</w:t>
      </w:r>
      <w:r>
        <w:rPr>
          <w:rFonts w:eastAsia="仿宋_GB2312"/>
          <w:color w:val="000000"/>
          <w:kern w:val="0"/>
          <w:sz w:val="32"/>
          <w:szCs w:val="32"/>
        </w:rPr>
        <w:t>。</w:t>
      </w:r>
      <w:r>
        <w:rPr>
          <w:rFonts w:eastAsia="仿宋_GB2312"/>
          <w:color w:val="000000"/>
          <w:sz w:val="32"/>
          <w:szCs w:val="32"/>
        </w:rPr>
        <w:t>例如，</w:t>
      </w:r>
      <w:r>
        <w:rPr>
          <w:rFonts w:hint="eastAsia" w:eastAsia="仿宋_GB2312"/>
          <w:color w:val="000000"/>
          <w:sz w:val="32"/>
          <w:szCs w:val="32"/>
        </w:rPr>
        <w:t>封闭光源结构放置下巴位置</w:t>
      </w:r>
      <w:r>
        <w:rPr>
          <w:rFonts w:eastAsia="仿宋_GB2312"/>
          <w:color w:val="000000"/>
          <w:sz w:val="32"/>
          <w:szCs w:val="32"/>
        </w:rPr>
        <w:t>与</w:t>
      </w:r>
      <w:r>
        <w:rPr>
          <w:rFonts w:hint="eastAsia" w:eastAsia="仿宋_GB2312"/>
          <w:color w:val="000000"/>
          <w:sz w:val="32"/>
          <w:szCs w:val="32"/>
        </w:rPr>
        <w:t>人体面部皮肤</w:t>
      </w:r>
      <w:r>
        <w:rPr>
          <w:rFonts w:eastAsia="仿宋_GB2312"/>
          <w:color w:val="000000"/>
          <w:sz w:val="32"/>
          <w:szCs w:val="32"/>
        </w:rPr>
        <w:t>短期接触</w:t>
      </w:r>
      <w:r>
        <w:rPr>
          <w:rFonts w:eastAsia="仿宋_GB2312"/>
          <w:bCs/>
          <w:color w:val="000000"/>
          <w:sz w:val="32"/>
          <w:szCs w:val="32"/>
        </w:rPr>
        <w:t>，按照</w:t>
      </w:r>
      <w:r>
        <w:rPr>
          <w:rFonts w:eastAsia="仿宋_GB2312"/>
          <w:color w:val="000000"/>
          <w:sz w:val="32"/>
          <w:szCs w:val="32"/>
        </w:rPr>
        <w:t>GB /T 16886.1标准的要求，生物相容性评价至少应考虑以下方面的要求：细胞毒性、致敏、刺激或皮内反应。</w:t>
      </w:r>
      <w:r>
        <w:rPr>
          <w:rFonts w:eastAsia="仿宋_GB2312"/>
          <w:bCs/>
          <w:color w:val="000000"/>
          <w:sz w:val="32"/>
          <w:szCs w:val="32"/>
        </w:rPr>
        <w:t>对不同接触类型的部件应分别进行评价。豁免进行试验的项目宜给出充分理由和论证。</w:t>
      </w:r>
    </w:p>
    <w:p w14:paraId="022BAB10">
      <w:pPr>
        <w:spacing w:line="520" w:lineRule="exact"/>
        <w:ind w:firstLine="640" w:firstLineChars="200"/>
        <w:jc w:val="left"/>
        <w:outlineLvl w:val="3"/>
        <w:rPr>
          <w:rFonts w:eastAsia="仿宋_GB2312"/>
          <w:color w:val="000000"/>
          <w:kern w:val="0"/>
          <w:sz w:val="32"/>
          <w:szCs w:val="32"/>
        </w:rPr>
      </w:pPr>
      <w:r>
        <w:rPr>
          <w:rFonts w:eastAsia="仿宋_GB2312"/>
          <w:color w:val="000000"/>
          <w:kern w:val="0"/>
          <w:sz w:val="32"/>
          <w:szCs w:val="32"/>
        </w:rPr>
        <w:t>4.</w:t>
      </w:r>
      <w:r>
        <w:rPr>
          <w:rFonts w:hint="eastAsia" w:eastAsia="仿宋_GB2312"/>
          <w:color w:val="000000"/>
          <w:kern w:val="0"/>
          <w:sz w:val="32"/>
          <w:szCs w:val="32"/>
        </w:rPr>
        <w:t>7</w:t>
      </w:r>
      <w:r>
        <w:rPr>
          <w:rFonts w:eastAsia="仿宋_GB2312"/>
          <w:color w:val="000000"/>
          <w:kern w:val="0"/>
          <w:sz w:val="32"/>
          <w:szCs w:val="32"/>
        </w:rPr>
        <w:t>清洁消毒研究</w:t>
      </w:r>
    </w:p>
    <w:p w14:paraId="604E43C0">
      <w:pPr>
        <w:spacing w:line="520" w:lineRule="exact"/>
        <w:ind w:firstLine="640" w:firstLineChars="200"/>
        <w:rPr>
          <w:rFonts w:eastAsia="仿宋_GB2312"/>
          <w:color w:val="000000"/>
          <w:kern w:val="0"/>
          <w:sz w:val="32"/>
          <w:szCs w:val="32"/>
        </w:rPr>
      </w:pPr>
      <w:r>
        <w:rPr>
          <w:rFonts w:eastAsia="仿宋_GB2312"/>
          <w:color w:val="000000"/>
          <w:kern w:val="0"/>
          <w:sz w:val="32"/>
          <w:szCs w:val="32"/>
        </w:rPr>
        <w:t>申请人应开展清洁消毒研究。申报产品在使用前应对与患者接触部件进行清洁消毒处理。应当明确推荐的清洗和消毒工艺（方法和参数）、工艺的确定依据以及验证的相关研究资料。</w:t>
      </w:r>
    </w:p>
    <w:p w14:paraId="358A0CC5">
      <w:pPr>
        <w:spacing w:line="520" w:lineRule="exact"/>
        <w:ind w:firstLine="640" w:firstLineChars="200"/>
        <w:outlineLvl w:val="2"/>
        <w:rPr>
          <w:rFonts w:eastAsia="仿宋_GB2312"/>
          <w:color w:val="000000"/>
          <w:kern w:val="0"/>
          <w:sz w:val="32"/>
          <w:szCs w:val="32"/>
        </w:rPr>
      </w:pPr>
      <w:r>
        <w:rPr>
          <w:rFonts w:eastAsia="仿宋_GB2312"/>
          <w:color w:val="000000"/>
          <w:kern w:val="0"/>
          <w:sz w:val="32"/>
          <w:szCs w:val="32"/>
        </w:rPr>
        <w:t>5.稳定性研究</w:t>
      </w:r>
    </w:p>
    <w:p w14:paraId="0C18C141">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5.1</w:t>
      </w:r>
      <w:r>
        <w:rPr>
          <w:rFonts w:eastAsia="仿宋_GB2312"/>
          <w:color w:val="000000"/>
          <w:sz w:val="32"/>
          <w:szCs w:val="32"/>
        </w:rPr>
        <w:t>使用期限一般主要取决于使用过程中部件、元器件的损耗、老化等，注册申请人应按照声称的使用期限对设备进行老化/疲劳试验，也可对影响设备使用期限的关键部件进行老化/疲劳试验，例如设备中不可更换（或更换成本高）的部件，并提供相应的研究资料。研究资料应能证明上述部件按照所声称的使用期限，经过老化/疲劳试验后，产品性能和安全仍符合预期的要求。使用期限也可基于已有数据进行合理的推断、分析、计算得出，但应提供详细的说明及支持性资料。可参考《有源医疗器械使用期限技术审查指导原则》的要求。</w:t>
      </w:r>
    </w:p>
    <w:p w14:paraId="2CBA8C5E">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5.2</w:t>
      </w:r>
      <w:r>
        <w:rPr>
          <w:rFonts w:eastAsia="仿宋_GB2312"/>
          <w:color w:val="000000"/>
          <w:sz w:val="32"/>
          <w:szCs w:val="32"/>
        </w:rPr>
        <w:t>注册申请人对包装和产品进行模拟试验，模拟在贮存和运输过程中，遇到极端情况时，例如环境（温湿度、气压等）变化、跌落、振动、加速度等，产品不会发生性能、功能改变，包装系统具有保护产品的能力。经过模拟试验后，观察包装外观是否有不可接受的异常现象，对产品进行性能测试，证明运输和环境测试后产品能够保持其完整性和功能性。环境试验可参考GB/T 14710的要求。</w:t>
      </w:r>
    </w:p>
    <w:p w14:paraId="7E98AEFC">
      <w:pPr>
        <w:jc w:val="center"/>
        <w:rPr>
          <w:rFonts w:eastAsia="黑体"/>
          <w:color w:val="000000"/>
          <w:sz w:val="28"/>
          <w:szCs w:val="28"/>
        </w:rPr>
      </w:pPr>
    </w:p>
    <w:p w14:paraId="427DE3F2">
      <w:pPr>
        <w:spacing w:line="520" w:lineRule="exact"/>
        <w:ind w:firstLine="640" w:firstLineChars="200"/>
        <w:jc w:val="left"/>
        <w:outlineLvl w:val="1"/>
        <w:rPr>
          <w:rFonts w:eastAsia="楷体_GB2312"/>
          <w:color w:val="000000"/>
          <w:sz w:val="32"/>
          <w:szCs w:val="32"/>
        </w:rPr>
      </w:pPr>
      <w:r>
        <w:rPr>
          <w:rFonts w:eastAsia="楷体_GB2312"/>
          <w:color w:val="000000"/>
          <w:sz w:val="32"/>
          <w:szCs w:val="32"/>
        </w:rPr>
        <w:t>（四）临床评价资料</w:t>
      </w:r>
    </w:p>
    <w:p w14:paraId="729E920E">
      <w:pPr>
        <w:spacing w:line="520" w:lineRule="exact"/>
        <w:ind w:firstLine="640" w:firstLineChars="200"/>
        <w:rPr>
          <w:rFonts w:eastAsia="仿宋_GB2312"/>
          <w:color w:val="000000"/>
          <w:kern w:val="0"/>
          <w:sz w:val="32"/>
          <w:szCs w:val="32"/>
        </w:rPr>
      </w:pPr>
      <w:r>
        <w:rPr>
          <w:rFonts w:eastAsia="仿宋_GB2312"/>
          <w:color w:val="000000"/>
          <w:kern w:val="0"/>
          <w:sz w:val="32"/>
          <w:szCs w:val="32"/>
        </w:rPr>
        <w:t>中医</w:t>
      </w:r>
      <w:r>
        <w:rPr>
          <w:rFonts w:hint="eastAsia" w:eastAsia="仿宋_GB2312"/>
          <w:color w:val="000000"/>
          <w:kern w:val="0"/>
          <w:sz w:val="32"/>
          <w:szCs w:val="32"/>
        </w:rPr>
        <w:t>舌诊</w:t>
      </w:r>
      <w:r>
        <w:rPr>
          <w:rFonts w:eastAsia="仿宋_GB2312"/>
          <w:color w:val="000000"/>
          <w:kern w:val="0"/>
          <w:sz w:val="32"/>
          <w:szCs w:val="32"/>
        </w:rPr>
        <w:t>设备的临床评价应遵循该类产品研发的基本规律以及中医理论和实践，通过科学的过程来评估产品临床</w:t>
      </w:r>
      <w:r>
        <w:rPr>
          <w:rFonts w:hint="eastAsia" w:eastAsia="仿宋_GB2312"/>
          <w:color w:val="000000"/>
          <w:kern w:val="0"/>
          <w:sz w:val="32"/>
          <w:szCs w:val="32"/>
        </w:rPr>
        <w:t>效果</w:t>
      </w:r>
      <w:r>
        <w:rPr>
          <w:rFonts w:eastAsia="仿宋_GB2312"/>
          <w:color w:val="000000"/>
          <w:kern w:val="0"/>
          <w:sz w:val="32"/>
          <w:szCs w:val="32"/>
        </w:rPr>
        <w:t>和潜在风险，最终确定产品在预期用途下的安全性和有效性。</w:t>
      </w:r>
    </w:p>
    <w:p w14:paraId="48560671">
      <w:pPr>
        <w:spacing w:line="520" w:lineRule="exact"/>
        <w:ind w:firstLine="640" w:firstLineChars="200"/>
        <w:rPr>
          <w:rFonts w:eastAsia="仿宋_GB2312"/>
          <w:color w:val="000000"/>
          <w:kern w:val="0"/>
          <w:sz w:val="32"/>
          <w:szCs w:val="32"/>
        </w:rPr>
      </w:pPr>
      <w:r>
        <w:rPr>
          <w:rFonts w:hint="eastAsia" w:eastAsia="仿宋_GB2312"/>
          <w:sz w:val="32"/>
          <w:szCs w:val="32"/>
        </w:rPr>
        <w:t>申请人</w:t>
      </w:r>
      <w:r>
        <w:rPr>
          <w:rFonts w:eastAsia="仿宋_GB2312"/>
          <w:sz w:val="32"/>
          <w:szCs w:val="32"/>
        </w:rPr>
        <w:t>宜按照《医疗器械临床评价技术指导原则》及相关文件要求提交临床评价资料。注册申请人可参考《决策是否开展医疗器械临床试验技术指导原则》选择临床评价路径。若注册申请人采用同品种对比路径，可参考《医疗器械临床评价等同性论证技术指导原则》开展临床评价。若开展临床试验，则需严格按照《医疗器械临床试验质量管理规范》进行临床试验，并提交完整的临床试验资料。</w:t>
      </w:r>
    </w:p>
    <w:p w14:paraId="2741F17F">
      <w:pPr>
        <w:spacing w:line="520" w:lineRule="exact"/>
        <w:ind w:firstLine="640" w:firstLineChars="200"/>
        <w:jc w:val="left"/>
        <w:outlineLvl w:val="1"/>
        <w:rPr>
          <w:rFonts w:eastAsia="楷体_GB2312"/>
          <w:color w:val="000000"/>
          <w:sz w:val="32"/>
          <w:szCs w:val="32"/>
        </w:rPr>
      </w:pPr>
      <w:r>
        <w:rPr>
          <w:rFonts w:eastAsia="楷体_GB2312"/>
          <w:color w:val="000000"/>
          <w:sz w:val="32"/>
          <w:szCs w:val="32"/>
        </w:rPr>
        <w:t>（五）产品说明书和标签样稿</w:t>
      </w:r>
    </w:p>
    <w:p w14:paraId="27DA63D0">
      <w:pPr>
        <w:spacing w:line="520" w:lineRule="exact"/>
        <w:ind w:firstLine="640" w:firstLineChars="200"/>
        <w:rPr>
          <w:rFonts w:eastAsia="仿宋_GB2312"/>
          <w:color w:val="000000"/>
          <w:kern w:val="0"/>
          <w:sz w:val="32"/>
          <w:szCs w:val="32"/>
        </w:rPr>
      </w:pPr>
      <w:r>
        <w:rPr>
          <w:rFonts w:eastAsia="仿宋_GB2312"/>
          <w:color w:val="000000"/>
          <w:kern w:val="0"/>
          <w:sz w:val="32"/>
          <w:szCs w:val="32"/>
        </w:rPr>
        <w:t>1.申报产品的说明书、标签样稿应当符合《</w:t>
      </w:r>
      <w:r>
        <w:rPr>
          <w:rFonts w:eastAsia="仿宋_GB2312"/>
          <w:bCs/>
          <w:color w:val="000000"/>
          <w:sz w:val="32"/>
          <w:szCs w:val="28"/>
        </w:rPr>
        <w:t>医疗器械说明书和标签管理规定</w:t>
      </w:r>
      <w:r>
        <w:rPr>
          <w:rFonts w:eastAsia="仿宋_GB2312"/>
          <w:color w:val="000000"/>
          <w:kern w:val="0"/>
          <w:sz w:val="32"/>
          <w:szCs w:val="32"/>
        </w:rPr>
        <w:t>》</w:t>
      </w:r>
      <w:r>
        <w:rPr>
          <w:rFonts w:hint="eastAsia" w:eastAsia="仿宋_GB2312"/>
          <w:color w:val="000000"/>
          <w:kern w:val="0"/>
          <w:sz w:val="32"/>
          <w:szCs w:val="32"/>
        </w:rPr>
        <w:t>、《医疗器械光辐射安全注册审查指导原则》、</w:t>
      </w:r>
      <w:r>
        <w:rPr>
          <w:rFonts w:eastAsia="仿宋_GB2312"/>
          <w:color w:val="000000"/>
          <w:kern w:val="0"/>
          <w:sz w:val="32"/>
          <w:szCs w:val="32"/>
        </w:rPr>
        <w:t>《医疗器械软件注册审查指导原则（2022年修订版）》以及GB 9706.1、YY 9706.102中有关要求，除此之外，说明书中还应包含以下内容：</w:t>
      </w:r>
    </w:p>
    <w:p w14:paraId="0033F1C4">
      <w:pPr>
        <w:spacing w:line="520" w:lineRule="exact"/>
        <w:ind w:firstLine="640" w:firstLineChars="200"/>
        <w:rPr>
          <w:rFonts w:eastAsia="仿宋_GB2312"/>
          <w:color w:val="000000"/>
          <w:kern w:val="0"/>
          <w:sz w:val="32"/>
          <w:szCs w:val="32"/>
        </w:rPr>
      </w:pPr>
      <w:r>
        <w:rPr>
          <w:rFonts w:eastAsia="仿宋_GB2312"/>
          <w:color w:val="000000"/>
          <w:kern w:val="0"/>
          <w:sz w:val="32"/>
          <w:szCs w:val="32"/>
        </w:rPr>
        <w:t>1.1</w:t>
      </w:r>
      <w:r>
        <w:rPr>
          <w:rFonts w:hint="eastAsia" w:eastAsia="仿宋_GB2312"/>
          <w:color w:val="000000"/>
          <w:kern w:val="0"/>
          <w:sz w:val="32"/>
          <w:szCs w:val="32"/>
        </w:rPr>
        <w:t>明确舌诊设备出具的报告模板及内容</w:t>
      </w:r>
      <w:r>
        <w:rPr>
          <w:rFonts w:eastAsia="仿宋_GB2312"/>
          <w:color w:val="000000"/>
          <w:kern w:val="0"/>
          <w:sz w:val="32"/>
          <w:szCs w:val="32"/>
        </w:rPr>
        <w:t>。</w:t>
      </w:r>
    </w:p>
    <w:p w14:paraId="63CE9F74">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1.2应说明产品可分析的全部参数及对应的定义信息。</w:t>
      </w:r>
    </w:p>
    <w:p w14:paraId="08C80847">
      <w:pPr>
        <w:spacing w:line="520" w:lineRule="exact"/>
        <w:ind w:firstLine="640" w:firstLineChars="200"/>
        <w:rPr>
          <w:rFonts w:eastAsia="仿宋_GB2312"/>
          <w:color w:val="000000"/>
          <w:kern w:val="0"/>
          <w:sz w:val="32"/>
          <w:szCs w:val="32"/>
        </w:rPr>
      </w:pPr>
      <w:r>
        <w:rPr>
          <w:rFonts w:eastAsia="仿宋_GB2312"/>
          <w:color w:val="000000"/>
          <w:kern w:val="0"/>
          <w:sz w:val="32"/>
          <w:szCs w:val="32"/>
        </w:rPr>
        <w:t>1.</w:t>
      </w:r>
      <w:r>
        <w:rPr>
          <w:rFonts w:hint="eastAsia" w:eastAsia="仿宋_GB2312"/>
          <w:color w:val="000000"/>
          <w:kern w:val="0"/>
          <w:sz w:val="32"/>
          <w:szCs w:val="32"/>
        </w:rPr>
        <w:t>3</w:t>
      </w:r>
      <w:r>
        <w:rPr>
          <w:rFonts w:eastAsia="仿宋_GB2312"/>
          <w:color w:val="000000"/>
          <w:kern w:val="0"/>
          <w:sz w:val="32"/>
          <w:szCs w:val="32"/>
        </w:rPr>
        <w:t>使用说明任何意外情况时，</w:t>
      </w:r>
      <w:r>
        <w:rPr>
          <w:rFonts w:hint="eastAsia" w:eastAsia="仿宋_GB2312"/>
          <w:color w:val="000000"/>
          <w:kern w:val="0"/>
          <w:sz w:val="32"/>
          <w:szCs w:val="32"/>
        </w:rPr>
        <w:t>当患者对光照过敏时，操作者可以快速安全地将患者脱离光照范围</w:t>
      </w:r>
      <w:r>
        <w:rPr>
          <w:rFonts w:eastAsia="仿宋_GB2312"/>
          <w:color w:val="000000"/>
          <w:kern w:val="0"/>
          <w:sz w:val="32"/>
          <w:szCs w:val="32"/>
        </w:rPr>
        <w:t>的操作步骤及方法。</w:t>
      </w:r>
    </w:p>
    <w:p w14:paraId="7CF23334">
      <w:pPr>
        <w:spacing w:line="520" w:lineRule="exact"/>
        <w:ind w:firstLine="640" w:firstLineChars="200"/>
        <w:rPr>
          <w:rFonts w:eastAsia="仿宋_GB2312"/>
          <w:color w:val="000000"/>
          <w:kern w:val="0"/>
          <w:sz w:val="32"/>
          <w:szCs w:val="32"/>
        </w:rPr>
      </w:pPr>
      <w:r>
        <w:rPr>
          <w:rFonts w:hint="eastAsia" w:eastAsia="仿宋_GB2312"/>
          <w:color w:val="000000"/>
          <w:kern w:val="0"/>
          <w:sz w:val="32"/>
          <w:szCs w:val="32"/>
        </w:rPr>
        <w:t>1.4使用舌诊设备前请勿进食可能会导致舌苔染色的食品或药品。</w:t>
      </w:r>
    </w:p>
    <w:p w14:paraId="72A3408F">
      <w:pPr>
        <w:spacing w:line="520" w:lineRule="exact"/>
        <w:ind w:firstLine="640" w:firstLineChars="200"/>
        <w:rPr>
          <w:rFonts w:eastAsia="仿宋_GB2312"/>
          <w:color w:val="000000"/>
          <w:kern w:val="0"/>
          <w:sz w:val="32"/>
          <w:szCs w:val="32"/>
        </w:rPr>
      </w:pPr>
      <w:r>
        <w:rPr>
          <w:rFonts w:eastAsia="仿宋_GB2312"/>
          <w:color w:val="000000"/>
          <w:kern w:val="0"/>
          <w:sz w:val="32"/>
          <w:szCs w:val="32"/>
        </w:rPr>
        <w:t>2.产品说明书还需结合产品特点明确以下内容：</w:t>
      </w:r>
    </w:p>
    <w:p w14:paraId="7BF092B9">
      <w:pPr>
        <w:spacing w:line="520" w:lineRule="exact"/>
        <w:ind w:firstLine="640" w:firstLineChars="200"/>
        <w:rPr>
          <w:rFonts w:eastAsia="仿宋_GB2312"/>
          <w:color w:val="000000"/>
          <w:kern w:val="0"/>
          <w:sz w:val="32"/>
          <w:szCs w:val="32"/>
        </w:rPr>
      </w:pPr>
      <w:r>
        <w:rPr>
          <w:rFonts w:eastAsia="仿宋_GB2312"/>
          <w:color w:val="000000"/>
          <w:kern w:val="0"/>
          <w:sz w:val="32"/>
          <w:szCs w:val="32"/>
        </w:rPr>
        <w:t>2.1设备的注意事项及警告信息。</w:t>
      </w:r>
    </w:p>
    <w:p w14:paraId="5739CF3F">
      <w:pPr>
        <w:spacing w:line="520" w:lineRule="exact"/>
        <w:ind w:firstLine="640" w:firstLineChars="200"/>
        <w:rPr>
          <w:rFonts w:eastAsia="仿宋_GB2312"/>
          <w:color w:val="000000"/>
          <w:kern w:val="0"/>
          <w:sz w:val="32"/>
          <w:szCs w:val="32"/>
        </w:rPr>
      </w:pPr>
      <w:r>
        <w:rPr>
          <w:rFonts w:eastAsia="仿宋_GB2312"/>
          <w:color w:val="000000"/>
          <w:kern w:val="0"/>
          <w:sz w:val="32"/>
          <w:szCs w:val="32"/>
        </w:rPr>
        <w:t>2.2</w:t>
      </w:r>
      <w:r>
        <w:rPr>
          <w:rFonts w:eastAsia="仿宋_GB2312"/>
          <w:bCs/>
          <w:color w:val="000000"/>
          <w:sz w:val="32"/>
          <w:szCs w:val="32"/>
        </w:rPr>
        <w:t>操作者应当</w:t>
      </w:r>
      <w:r>
        <w:rPr>
          <w:rFonts w:hint="eastAsia" w:eastAsia="仿宋_GB2312"/>
          <w:bCs/>
          <w:color w:val="000000"/>
          <w:sz w:val="32"/>
          <w:szCs w:val="32"/>
        </w:rPr>
        <w:t>具备</w:t>
      </w:r>
      <w:r>
        <w:rPr>
          <w:rFonts w:eastAsia="仿宋_GB2312"/>
          <w:bCs/>
          <w:color w:val="000000"/>
          <w:sz w:val="32"/>
          <w:szCs w:val="32"/>
        </w:rPr>
        <w:t>相关专业资质</w:t>
      </w:r>
      <w:r>
        <w:rPr>
          <w:rFonts w:eastAsia="仿宋_GB2312"/>
          <w:color w:val="000000"/>
          <w:kern w:val="0"/>
          <w:sz w:val="32"/>
          <w:szCs w:val="32"/>
        </w:rPr>
        <w:t>，并在使用前请务必详细阅读使用说明书。</w:t>
      </w:r>
    </w:p>
    <w:p w14:paraId="5FD09075">
      <w:pPr>
        <w:spacing w:line="520" w:lineRule="exact"/>
        <w:ind w:firstLine="640" w:firstLineChars="200"/>
        <w:rPr>
          <w:rFonts w:eastAsia="仿宋_GB2312"/>
          <w:color w:val="000000"/>
          <w:kern w:val="0"/>
          <w:sz w:val="32"/>
          <w:szCs w:val="32"/>
        </w:rPr>
      </w:pPr>
      <w:r>
        <w:rPr>
          <w:rFonts w:eastAsia="仿宋_GB2312"/>
          <w:color w:val="000000"/>
          <w:kern w:val="0"/>
          <w:sz w:val="32"/>
          <w:szCs w:val="32"/>
        </w:rPr>
        <w:t>2.3设备电磁兼容的相关信息。应给出设备电磁兼容信息的相关说明及工作环境。</w:t>
      </w:r>
    </w:p>
    <w:p w14:paraId="5F42B9E9">
      <w:pPr>
        <w:spacing w:line="520" w:lineRule="exact"/>
        <w:ind w:firstLine="640" w:firstLineChars="200"/>
        <w:jc w:val="left"/>
        <w:outlineLvl w:val="1"/>
        <w:rPr>
          <w:rFonts w:eastAsia="楷体_GB2312"/>
          <w:color w:val="000000"/>
          <w:sz w:val="32"/>
          <w:szCs w:val="32"/>
        </w:rPr>
      </w:pPr>
      <w:r>
        <w:rPr>
          <w:rFonts w:eastAsia="楷体_GB2312"/>
          <w:color w:val="000000"/>
          <w:sz w:val="32"/>
          <w:szCs w:val="32"/>
        </w:rPr>
        <w:t>（六）质量管理体系文件</w:t>
      </w:r>
    </w:p>
    <w:p w14:paraId="1DE2FE95">
      <w:pPr>
        <w:spacing w:line="520" w:lineRule="exact"/>
        <w:ind w:firstLine="640" w:firstLineChars="200"/>
        <w:rPr>
          <w:rFonts w:eastAsia="仿宋_GB2312"/>
          <w:color w:val="000000"/>
          <w:kern w:val="0"/>
          <w:sz w:val="32"/>
          <w:szCs w:val="32"/>
        </w:rPr>
      </w:pPr>
      <w:r>
        <w:rPr>
          <w:rFonts w:eastAsia="仿宋_GB2312"/>
          <w:color w:val="000000"/>
          <w:kern w:val="0"/>
          <w:sz w:val="32"/>
          <w:szCs w:val="32"/>
        </w:rPr>
        <w:t>产品的质量管理体系文件应符合《医疗器械生产质量管理规范》的要求，并按《医疗器械注册申报资料要求及说明》提交资料。</w:t>
      </w:r>
    </w:p>
    <w:p w14:paraId="284D52ED">
      <w:pPr>
        <w:spacing w:line="520" w:lineRule="exact"/>
        <w:ind w:firstLine="640" w:firstLineChars="200"/>
        <w:rPr>
          <w:rFonts w:eastAsia="仿宋_GB2312"/>
          <w:color w:val="000000"/>
          <w:kern w:val="0"/>
          <w:sz w:val="32"/>
          <w:szCs w:val="32"/>
        </w:rPr>
      </w:pPr>
      <w:r>
        <w:rPr>
          <w:rFonts w:eastAsia="仿宋_GB2312"/>
          <w:color w:val="000000"/>
          <w:kern w:val="0"/>
          <w:sz w:val="32"/>
          <w:szCs w:val="32"/>
        </w:rPr>
        <w:t>应明确产品生产工艺过程，可采用流程图的形式，并说明其过程控制点，且应结合产品实际生产过程细化产品生产工艺介绍，应能体现出外协加工部分（如有）、半成品加工过程，工艺流程图中应明示关键工序、特殊过程（如有）、过程控制点、各生产检验工序对环境的要求、使用的相关设备及对设备精度的要求等相关信息。</w:t>
      </w:r>
    </w:p>
    <w:p w14:paraId="39731BCD">
      <w:pPr>
        <w:spacing w:line="520" w:lineRule="exact"/>
        <w:ind w:firstLine="640" w:firstLineChars="200"/>
        <w:rPr>
          <w:rFonts w:eastAsia="仿宋_GB2312"/>
          <w:color w:val="000000"/>
          <w:kern w:val="0"/>
          <w:sz w:val="32"/>
          <w:szCs w:val="32"/>
        </w:rPr>
      </w:pPr>
      <w:r>
        <w:rPr>
          <w:rFonts w:eastAsia="仿宋_GB2312"/>
          <w:color w:val="000000"/>
          <w:kern w:val="0"/>
          <w:sz w:val="32"/>
          <w:szCs w:val="32"/>
        </w:rPr>
        <w:t xml:space="preserve">应详细介绍研制场地、生产场地情况，并应结合前面介绍的产品加工工艺，以及工序和工位的划分、预计产量、生产线划分等实际需求细化研发、生产、检验、库房场地面积、环境控制等相关情况说明。 </w:t>
      </w:r>
    </w:p>
    <w:p w14:paraId="0FFE48D0">
      <w:pPr>
        <w:spacing w:line="520" w:lineRule="exact"/>
        <w:ind w:firstLine="640" w:firstLineChars="200"/>
        <w:rPr>
          <w:rFonts w:eastAsia="仿宋_GB2312"/>
          <w:color w:val="000000"/>
          <w:kern w:val="0"/>
          <w:sz w:val="32"/>
          <w:szCs w:val="32"/>
        </w:rPr>
      </w:pPr>
      <w:r>
        <w:rPr>
          <w:rFonts w:eastAsia="仿宋_GB2312"/>
          <w:color w:val="000000"/>
          <w:kern w:val="0"/>
          <w:sz w:val="32"/>
          <w:szCs w:val="32"/>
        </w:rPr>
        <w:t>若产品有多个研制、生产场地，应概述每个研制、生产场地的实际情况。</w:t>
      </w:r>
    </w:p>
    <w:p w14:paraId="293C1607">
      <w:pPr>
        <w:pStyle w:val="2"/>
        <w:spacing w:line="520" w:lineRule="exact"/>
        <w:ind w:firstLine="640" w:firstLineChars="200"/>
        <w:outlineLvl w:val="0"/>
        <w:rPr>
          <w:rFonts w:ascii="Times New Roman" w:hAnsi="Times New Roman" w:eastAsia="黑体"/>
          <w:snapToGrid w:val="0"/>
          <w:color w:val="000000"/>
          <w:sz w:val="32"/>
          <w:szCs w:val="32"/>
        </w:rPr>
      </w:pPr>
      <w:r>
        <w:rPr>
          <w:rFonts w:ascii="Times New Roman" w:hAnsi="Times New Roman" w:eastAsia="黑体"/>
          <w:snapToGrid w:val="0"/>
          <w:color w:val="000000"/>
          <w:sz w:val="32"/>
          <w:szCs w:val="32"/>
        </w:rPr>
        <w:t>三、参考文献</w:t>
      </w:r>
    </w:p>
    <w:p w14:paraId="0125C272">
      <w:pPr>
        <w:spacing w:line="520" w:lineRule="exact"/>
        <w:ind w:firstLine="640" w:firstLineChars="200"/>
        <w:rPr>
          <w:rFonts w:eastAsia="仿宋_GB2312"/>
          <w:snapToGrid w:val="0"/>
          <w:color w:val="000000"/>
          <w:kern w:val="0"/>
          <w:sz w:val="32"/>
          <w:szCs w:val="32"/>
        </w:rPr>
      </w:pPr>
      <w:bookmarkStart w:id="1" w:name="_Ref455122128"/>
      <w:r>
        <w:rPr>
          <w:rFonts w:eastAsia="仿宋_GB2312"/>
          <w:snapToGrid w:val="0"/>
          <w:color w:val="000000"/>
          <w:kern w:val="0"/>
          <w:sz w:val="32"/>
          <w:szCs w:val="32"/>
        </w:rPr>
        <w:t>[1]</w:t>
      </w:r>
      <w:bookmarkEnd w:id="1"/>
      <w:bookmarkStart w:id="2" w:name="_Ref455122141"/>
      <w:r>
        <w:rPr>
          <w:rFonts w:eastAsia="仿宋_GB2312"/>
          <w:snapToGrid w:val="0"/>
          <w:color w:val="000000"/>
          <w:kern w:val="0"/>
          <w:sz w:val="32"/>
          <w:szCs w:val="32"/>
        </w:rPr>
        <w:t>中华人民共和国国务院.医疗器械监督管理条例:中华人民共和国国务院令第739号[Z].</w:t>
      </w:r>
    </w:p>
    <w:p w14:paraId="20A12FDC">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[2]</w:t>
      </w:r>
      <w:bookmarkEnd w:id="2"/>
      <w:r>
        <w:rPr>
          <w:rFonts w:eastAsia="仿宋_GB2312"/>
          <w:snapToGrid w:val="0"/>
          <w:color w:val="000000"/>
          <w:kern w:val="0"/>
          <w:sz w:val="32"/>
          <w:szCs w:val="32"/>
        </w:rPr>
        <w:t>国家市场监督管理总局.医疗器械注册与备案管理办法:国家市场监督管理总局令第47号[Z].</w:t>
      </w:r>
    </w:p>
    <w:p w14:paraId="62B5D759">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[3]国家食品药品监督管理局.医疗器械说明书和标签管理规定:国家食品药品监督管理总局令第6号[Z].</w:t>
      </w:r>
    </w:p>
    <w:p w14:paraId="75136129">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[4]</w:t>
      </w:r>
      <w:bookmarkStart w:id="3" w:name="_Ref455123912"/>
      <w:r>
        <w:rPr>
          <w:rFonts w:eastAsia="仿宋_GB2312"/>
          <w:snapToGrid w:val="0"/>
          <w:color w:val="000000"/>
          <w:kern w:val="0"/>
          <w:sz w:val="32"/>
          <w:szCs w:val="32"/>
        </w:rPr>
        <w:t>国家食品药品监督管理局.医疗器械分类规则:国家食品药品监督管理总局令第15号[Z].</w:t>
      </w:r>
    </w:p>
    <w:p w14:paraId="038352BE">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[5]</w:t>
      </w:r>
      <w:bookmarkEnd w:id="3"/>
      <w:r>
        <w:rPr>
          <w:rFonts w:eastAsia="仿宋_GB2312"/>
          <w:snapToGrid w:val="0"/>
          <w:color w:val="000000"/>
          <w:kern w:val="0"/>
          <w:sz w:val="32"/>
          <w:szCs w:val="32"/>
        </w:rPr>
        <w:t>国家食品药品监督管理局.医疗器械通用名称命名规则：国家食品药品监督管理总局令第19号[Z].</w:t>
      </w:r>
    </w:p>
    <w:p w14:paraId="6009E56A">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[6]国家药品监督管理局.中医器械通用名称命名指导原则:国家药监局关于发布医用康复器械通用名称命名指导原则等6项指导原则的通告2021年第48号[Z].</w:t>
      </w:r>
    </w:p>
    <w:p w14:paraId="76B2FBA8">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[7]国家食品药品监督管理局.医疗器械分类目录:国家食品药品监督管理总局关于发布医疗器械分类目录的公告2017年第104号[Z].</w:t>
      </w:r>
    </w:p>
    <w:p w14:paraId="4B6D484D">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[8]国家食品药品监督管理局.医疗器械注册单元划分指导原则:总局关于发布医疗器械注册单元划分指导原则的通告2017年第187号[Z].</w:t>
      </w:r>
    </w:p>
    <w:p w14:paraId="3A7B9DF2">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[9]国家药品监督管理局.有源医疗器械使用期限注册技术审查指导原则:国家药品监督管理局关于发布有源医疗器械使用期限注册技术审查指导原则的通告2019年第23号[Z].</w:t>
      </w:r>
    </w:p>
    <w:p w14:paraId="33671CF0">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[10]国家药品监督管理局医疗器械审评中心.医疗器械软件注册审查指导原则（2022年修订版）:国家药监局器审中心关于发布医疗器械软件注册审查指导原则（2022年修订版）的通告2022年第9号[Z].</w:t>
      </w:r>
    </w:p>
    <w:p w14:paraId="15CDFCBB">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[11]国家药品监督管理局.医疗器械临床评价技术指导原则:国家药监局关于发布医疗器械临床评价技术指导原则等5项技术指导原则的通告2021年第73号[Z].</w:t>
      </w:r>
    </w:p>
    <w:p w14:paraId="1A6547BC">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[12]国家食品药品监督管理局.医疗器械生物学评价和审查指南:关于印发医疗器械生物学评价和审查指南的通知2007年345号[Z].</w:t>
      </w:r>
    </w:p>
    <w:p w14:paraId="3A7DBACF">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[13]国家药品监督管理局.医疗器械产品技术要求编写指导原则:国家药监局关于发布医疗器械产品技术要求编写指导原则的通告2022年第8号[Z].</w:t>
      </w:r>
    </w:p>
    <w:p w14:paraId="047463EE">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[14]</w:t>
      </w:r>
      <w:bookmarkStart w:id="4" w:name="_Ref455127285"/>
      <w:r>
        <w:rPr>
          <w:rFonts w:eastAsia="仿宋_GB2312"/>
          <w:snapToGrid w:val="0"/>
          <w:color w:val="000000"/>
          <w:kern w:val="0"/>
          <w:sz w:val="32"/>
          <w:szCs w:val="32"/>
        </w:rPr>
        <w:t>国家药品监督管理局:医疗器械注册申报资料要求和批准证明文件格式:关于公布医疗器械注册申报资料要求和批准证明文件格式的公告2021年第121号[Z].</w:t>
      </w:r>
      <w:bookmarkEnd w:id="4"/>
    </w:p>
    <w:p w14:paraId="002A54F1">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[15]GB 9706.1-2020,医用电气设备 第1部分：基本安全和基本性能的通用要求[S].</w:t>
      </w:r>
    </w:p>
    <w:p w14:paraId="73094CDB">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[16]YY 9706.102-2021,医用电气设备　第1-2部分：基本安全和基本性能的通用要求　并列标准：电磁兼容要求和试验[S].</w:t>
      </w:r>
    </w:p>
    <w:p w14:paraId="46D66D50">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[17]YY/T 0466.1-2016,医疗器械用于医疗器械标签、标记和提供信息的符号第1部分：通用要求[S].</w:t>
      </w:r>
    </w:p>
    <w:p w14:paraId="2B2C72C0">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[18]YY/T 148</w:t>
      </w:r>
      <w:r>
        <w:rPr>
          <w:rFonts w:hint="eastAsia" w:eastAsia="仿宋_GB2312"/>
          <w:snapToGrid w:val="0"/>
          <w:color w:val="000000"/>
          <w:kern w:val="0"/>
          <w:sz w:val="32"/>
          <w:szCs w:val="32"/>
        </w:rPr>
        <w:t>8</w:t>
      </w:r>
      <w:r>
        <w:rPr>
          <w:rFonts w:eastAsia="仿宋_GB2312"/>
          <w:snapToGrid w:val="0"/>
          <w:color w:val="000000"/>
          <w:kern w:val="0"/>
          <w:sz w:val="32"/>
          <w:szCs w:val="32"/>
        </w:rPr>
        <w:t>-2016,</w:t>
      </w:r>
      <w:r>
        <w:rPr>
          <w:rFonts w:hint="eastAsia" w:eastAsia="仿宋_GB2312"/>
          <w:snapToGrid w:val="0"/>
          <w:color w:val="000000"/>
          <w:kern w:val="0"/>
          <w:sz w:val="32"/>
          <w:szCs w:val="32"/>
        </w:rPr>
        <w:t>舌象信息</w:t>
      </w:r>
      <w:r>
        <w:rPr>
          <w:rFonts w:eastAsia="仿宋_GB2312"/>
          <w:snapToGrid w:val="0"/>
          <w:color w:val="000000"/>
          <w:kern w:val="0"/>
          <w:sz w:val="32"/>
          <w:szCs w:val="32"/>
        </w:rPr>
        <w:t>采集设备[S].</w:t>
      </w:r>
    </w:p>
    <w:p w14:paraId="633AFDAC">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[19]GB/T 42062-2022,医疗器械风险管理对医疗器械的应用[S].</w:t>
      </w:r>
    </w:p>
    <w:p w14:paraId="6922AC17">
      <w:pPr>
        <w:spacing w:line="520" w:lineRule="exact"/>
        <w:ind w:firstLine="640" w:firstLineChars="200"/>
        <w:rPr>
          <w:rFonts w:eastAsia="仿宋_GB2312"/>
          <w:snapToGrid w:val="0"/>
          <w:color w:val="000000"/>
          <w:kern w:val="0"/>
          <w:sz w:val="32"/>
          <w:szCs w:val="32"/>
        </w:rPr>
      </w:pPr>
      <w:r>
        <w:rPr>
          <w:rFonts w:eastAsia="仿宋_GB2312"/>
          <w:snapToGrid w:val="0"/>
          <w:color w:val="000000"/>
          <w:kern w:val="0"/>
          <w:sz w:val="32"/>
          <w:szCs w:val="32"/>
        </w:rPr>
        <w:t>[20]WS/T367-2012,医疗机构消毒技术规范[S].</w:t>
      </w:r>
    </w:p>
    <w:p w14:paraId="7230CAD0"/>
    <w:sectPr>
      <w:footerReference r:id="rId3" w:type="default"/>
      <w:footerReference r:id="rId4" w:type="even"/>
      <w:pgSz w:w="11906" w:h="16838"/>
      <w:pgMar w:top="1701" w:right="1588" w:bottom="1701" w:left="1588" w:header="851" w:footer="992" w:gutter="0"/>
      <w:lnNumType w:countBy="1" w:restart="continuous"/>
      <w:pgNumType w:start="4" w:chapStyle="1" w:chapSep="em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Arial Unicode MS">
    <w:panose1 w:val="020B0604020202020204"/>
    <w:charset w:val="86"/>
    <w:family w:val="swiss"/>
    <w:pitch w:val="default"/>
    <w:sig w:usb0="FFFFFFFF" w:usb1="E9FFFFFF" w:usb2="0000003F" w:usb3="00000000" w:csb0="603F01FF" w:csb1="FFFF0000"/>
  </w:font>
  <w:font w:name="ArnoPro-Regular">
    <w:altName w:val="Times New Roman"/>
    <w:panose1 w:val="00000000000000000000"/>
    <w:charset w:val="00"/>
    <w:family w:val="roman"/>
    <w:pitch w:val="default"/>
    <w:sig w:usb0="00000000" w:usb1="00000000" w:usb2="00000000" w:usb3="00000000" w:csb0="00040001" w:csb1="00000000"/>
  </w:font>
  <w:font w:name="ArnoPro-Italic">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E83AD">
    <w:pPr>
      <w:pStyle w:val="15"/>
      <w:jc w:val="right"/>
      <w:rPr>
        <w:rFonts w:eastAsia="等线 Light"/>
        <w:sz w:val="28"/>
        <w:szCs w:val="28"/>
      </w:rPr>
    </w:pPr>
    <w:r>
      <w:rPr>
        <w:rFonts w:eastAsia="等线"/>
        <w:sz w:val="28"/>
        <w:szCs w:val="28"/>
      </w:rPr>
      <w:t xml:space="preserve">— </w:t>
    </w:r>
    <w:r>
      <w:rPr>
        <w:rFonts w:eastAsia="等线"/>
        <w:sz w:val="28"/>
        <w:szCs w:val="28"/>
      </w:rPr>
      <w:fldChar w:fldCharType="begin"/>
    </w:r>
    <w:r>
      <w:rPr>
        <w:sz w:val="28"/>
        <w:szCs w:val="28"/>
      </w:rPr>
      <w:instrText xml:space="preserve">PAGE    \* MERGEFORMAT</w:instrText>
    </w:r>
    <w:r>
      <w:rPr>
        <w:rFonts w:eastAsia="等线"/>
        <w:sz w:val="28"/>
        <w:szCs w:val="28"/>
      </w:rPr>
      <w:fldChar w:fldCharType="separate"/>
    </w:r>
    <w:r>
      <w:rPr>
        <w:rFonts w:eastAsia="等线 Light"/>
        <w:sz w:val="28"/>
        <w:szCs w:val="28"/>
        <w:lang w:val="zh-CN"/>
      </w:rPr>
      <w:t>5</w:t>
    </w:r>
    <w:r>
      <w:rPr>
        <w:rFonts w:eastAsia="等线 Light"/>
        <w:sz w:val="28"/>
        <w:szCs w:val="28"/>
      </w:rPr>
      <w:fldChar w:fldCharType="end"/>
    </w:r>
    <w:r>
      <w:rPr>
        <w:rFonts w:eastAsia="等线 Light"/>
        <w:sz w:val="28"/>
        <w:szCs w:val="28"/>
        <w:lang w:val="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20C67">
    <w:pPr>
      <w:pStyle w:val="15"/>
      <w:rPr>
        <w:sz w:val="28"/>
        <w:szCs w:val="28"/>
      </w:rPr>
    </w:pPr>
    <w:r>
      <w:rPr>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4</w:t>
    </w:r>
    <w:r>
      <w:rPr>
        <w:sz w:val="28"/>
        <w:szCs w:val="28"/>
      </w:rPr>
      <w:fldChar w:fldCharType="end"/>
    </w:r>
    <w:r>
      <w:rPr>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9E4AD4"/>
    <w:multiLevelType w:val="singleLevel"/>
    <w:tmpl w:val="B39E4AD4"/>
    <w:lvl w:ilvl="0" w:tentative="0">
      <w:start w:val="1"/>
      <w:numFmt w:val="decimal"/>
      <w:lvlText w:val="(%1)"/>
      <w:lvlJc w:val="left"/>
      <w:pPr>
        <w:ind w:left="425" w:hanging="425"/>
      </w:pPr>
      <w:rPr>
        <w:rFonts w:hint="default"/>
      </w:rPr>
    </w:lvl>
  </w:abstractNum>
  <w:abstractNum w:abstractNumId="1">
    <w:nsid w:val="02F51BEF"/>
    <w:multiLevelType w:val="multilevel"/>
    <w:tmpl w:val="02F51BEF"/>
    <w:lvl w:ilvl="0" w:tentative="0">
      <w:start w:val="1"/>
      <w:numFmt w:val="bullet"/>
      <w:pStyle w:val="72"/>
      <w:lvlText w:val=""/>
      <w:lvlJc w:val="left"/>
      <w:pPr>
        <w:tabs>
          <w:tab w:val="left" w:pos="420"/>
        </w:tabs>
        <w:ind w:left="420" w:hanging="420"/>
      </w:pPr>
      <w:rPr>
        <w:rFonts w:hint="default" w:ascii="Wingdings" w:hAnsi="Wingdings"/>
        <w:sz w:val="20"/>
      </w:rPr>
    </w:lvl>
    <w:lvl w:ilvl="1" w:tentative="0">
      <w:start w:val="1"/>
      <w:numFmt w:val="bullet"/>
      <w:lvlText w:val=""/>
      <w:lvlJc w:val="left"/>
      <w:pPr>
        <w:tabs>
          <w:tab w:val="left" w:pos="620"/>
        </w:tabs>
        <w:ind w:left="620" w:hanging="420"/>
      </w:pPr>
      <w:rPr>
        <w:rFonts w:hint="default" w:ascii="Wingdings" w:hAnsi="Wingdings"/>
      </w:rPr>
    </w:lvl>
    <w:lvl w:ilvl="2" w:tentative="0">
      <w:start w:val="1"/>
      <w:numFmt w:val="bullet"/>
      <w:lvlText w:val=""/>
      <w:lvlJc w:val="left"/>
      <w:pPr>
        <w:tabs>
          <w:tab w:val="left" w:pos="1040"/>
        </w:tabs>
        <w:ind w:left="1040" w:hanging="420"/>
      </w:pPr>
      <w:rPr>
        <w:rFonts w:hint="default" w:ascii="Wingdings" w:hAnsi="Wingdings"/>
      </w:rPr>
    </w:lvl>
    <w:lvl w:ilvl="3" w:tentative="0">
      <w:start w:val="1"/>
      <w:numFmt w:val="bullet"/>
      <w:lvlText w:val=""/>
      <w:lvlJc w:val="left"/>
      <w:pPr>
        <w:tabs>
          <w:tab w:val="left" w:pos="1460"/>
        </w:tabs>
        <w:ind w:left="1460" w:hanging="420"/>
      </w:pPr>
      <w:rPr>
        <w:rFonts w:hint="default" w:ascii="Wingdings" w:hAnsi="Wingdings"/>
      </w:rPr>
    </w:lvl>
    <w:lvl w:ilvl="4" w:tentative="0">
      <w:start w:val="1"/>
      <w:numFmt w:val="bullet"/>
      <w:lvlText w:val=""/>
      <w:lvlJc w:val="left"/>
      <w:pPr>
        <w:tabs>
          <w:tab w:val="left" w:pos="1880"/>
        </w:tabs>
        <w:ind w:left="1880" w:hanging="420"/>
      </w:pPr>
      <w:rPr>
        <w:rFonts w:hint="default" w:ascii="Wingdings" w:hAnsi="Wingdings"/>
      </w:rPr>
    </w:lvl>
    <w:lvl w:ilvl="5" w:tentative="0">
      <w:start w:val="1"/>
      <w:numFmt w:val="bullet"/>
      <w:lvlText w:val=""/>
      <w:lvlJc w:val="left"/>
      <w:pPr>
        <w:tabs>
          <w:tab w:val="left" w:pos="2300"/>
        </w:tabs>
        <w:ind w:left="2300" w:hanging="420"/>
      </w:pPr>
      <w:rPr>
        <w:rFonts w:hint="default" w:ascii="Wingdings" w:hAnsi="Wingdings"/>
      </w:rPr>
    </w:lvl>
    <w:lvl w:ilvl="6" w:tentative="0">
      <w:start w:val="1"/>
      <w:numFmt w:val="bullet"/>
      <w:lvlText w:val=""/>
      <w:lvlJc w:val="left"/>
      <w:pPr>
        <w:tabs>
          <w:tab w:val="left" w:pos="2720"/>
        </w:tabs>
        <w:ind w:left="2720" w:hanging="420"/>
      </w:pPr>
      <w:rPr>
        <w:rFonts w:hint="default" w:ascii="Wingdings" w:hAnsi="Wingdings"/>
      </w:rPr>
    </w:lvl>
    <w:lvl w:ilvl="7" w:tentative="0">
      <w:start w:val="1"/>
      <w:numFmt w:val="bullet"/>
      <w:lvlText w:val=""/>
      <w:lvlJc w:val="left"/>
      <w:pPr>
        <w:tabs>
          <w:tab w:val="left" w:pos="3140"/>
        </w:tabs>
        <w:ind w:left="3140" w:hanging="420"/>
      </w:pPr>
      <w:rPr>
        <w:rFonts w:hint="default" w:ascii="Wingdings" w:hAnsi="Wingdings"/>
      </w:rPr>
    </w:lvl>
    <w:lvl w:ilvl="8" w:tentative="0">
      <w:start w:val="1"/>
      <w:numFmt w:val="bullet"/>
      <w:lvlText w:val=""/>
      <w:lvlJc w:val="left"/>
      <w:pPr>
        <w:tabs>
          <w:tab w:val="left" w:pos="3560"/>
        </w:tabs>
        <w:ind w:left="356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3ZDQwMmNiOWFlYzZjYTcwOWJiZGQ0YTA5ODBmZGUifQ=="/>
  </w:docVars>
  <w:rsids>
    <w:rsidRoot w:val="002533D4"/>
    <w:rsid w:val="00003156"/>
    <w:rsid w:val="00003493"/>
    <w:rsid w:val="00005135"/>
    <w:rsid w:val="00005D32"/>
    <w:rsid w:val="0000618E"/>
    <w:rsid w:val="00006DBA"/>
    <w:rsid w:val="00006EEA"/>
    <w:rsid w:val="000073AA"/>
    <w:rsid w:val="000074A5"/>
    <w:rsid w:val="00010782"/>
    <w:rsid w:val="000110AA"/>
    <w:rsid w:val="00012A45"/>
    <w:rsid w:val="0001394C"/>
    <w:rsid w:val="000139EF"/>
    <w:rsid w:val="00013B03"/>
    <w:rsid w:val="000144F0"/>
    <w:rsid w:val="0001535B"/>
    <w:rsid w:val="00017CB3"/>
    <w:rsid w:val="00020571"/>
    <w:rsid w:val="00020B1E"/>
    <w:rsid w:val="0002174D"/>
    <w:rsid w:val="00022043"/>
    <w:rsid w:val="000223F4"/>
    <w:rsid w:val="0002254A"/>
    <w:rsid w:val="00022A1B"/>
    <w:rsid w:val="000233F3"/>
    <w:rsid w:val="00023DCB"/>
    <w:rsid w:val="00024713"/>
    <w:rsid w:val="00026670"/>
    <w:rsid w:val="0002670D"/>
    <w:rsid w:val="00027EDA"/>
    <w:rsid w:val="00030C95"/>
    <w:rsid w:val="0003125F"/>
    <w:rsid w:val="00031BD0"/>
    <w:rsid w:val="00033BD7"/>
    <w:rsid w:val="00035B4E"/>
    <w:rsid w:val="00040824"/>
    <w:rsid w:val="00040DA8"/>
    <w:rsid w:val="000433B9"/>
    <w:rsid w:val="00044235"/>
    <w:rsid w:val="00044EDB"/>
    <w:rsid w:val="000470D5"/>
    <w:rsid w:val="00047726"/>
    <w:rsid w:val="00053F52"/>
    <w:rsid w:val="00055297"/>
    <w:rsid w:val="000577CB"/>
    <w:rsid w:val="000579EB"/>
    <w:rsid w:val="0006169D"/>
    <w:rsid w:val="0006185F"/>
    <w:rsid w:val="00062B75"/>
    <w:rsid w:val="00062FED"/>
    <w:rsid w:val="00063739"/>
    <w:rsid w:val="000650E8"/>
    <w:rsid w:val="00065B62"/>
    <w:rsid w:val="00065D4E"/>
    <w:rsid w:val="00065EBA"/>
    <w:rsid w:val="000660E2"/>
    <w:rsid w:val="00067526"/>
    <w:rsid w:val="000676AA"/>
    <w:rsid w:val="00070374"/>
    <w:rsid w:val="00071A37"/>
    <w:rsid w:val="00071CD7"/>
    <w:rsid w:val="000723C6"/>
    <w:rsid w:val="00073E31"/>
    <w:rsid w:val="00074890"/>
    <w:rsid w:val="00075704"/>
    <w:rsid w:val="0007690B"/>
    <w:rsid w:val="00076B84"/>
    <w:rsid w:val="0007712E"/>
    <w:rsid w:val="000801E2"/>
    <w:rsid w:val="00081A69"/>
    <w:rsid w:val="00082288"/>
    <w:rsid w:val="00087FDA"/>
    <w:rsid w:val="00090439"/>
    <w:rsid w:val="00091C84"/>
    <w:rsid w:val="00092F19"/>
    <w:rsid w:val="00093CF6"/>
    <w:rsid w:val="00095042"/>
    <w:rsid w:val="0009523A"/>
    <w:rsid w:val="00096A16"/>
    <w:rsid w:val="000970EA"/>
    <w:rsid w:val="000A04FC"/>
    <w:rsid w:val="000A116A"/>
    <w:rsid w:val="000A2C01"/>
    <w:rsid w:val="000A3004"/>
    <w:rsid w:val="000A32FF"/>
    <w:rsid w:val="000A7604"/>
    <w:rsid w:val="000B0595"/>
    <w:rsid w:val="000B0751"/>
    <w:rsid w:val="000B15E3"/>
    <w:rsid w:val="000B1E8D"/>
    <w:rsid w:val="000B3AB8"/>
    <w:rsid w:val="000B4405"/>
    <w:rsid w:val="000B44A0"/>
    <w:rsid w:val="000B5035"/>
    <w:rsid w:val="000B6EB1"/>
    <w:rsid w:val="000C2025"/>
    <w:rsid w:val="000C2A23"/>
    <w:rsid w:val="000C42DB"/>
    <w:rsid w:val="000C46D4"/>
    <w:rsid w:val="000C5E42"/>
    <w:rsid w:val="000C6B4C"/>
    <w:rsid w:val="000C746B"/>
    <w:rsid w:val="000D07B7"/>
    <w:rsid w:val="000D1382"/>
    <w:rsid w:val="000D2817"/>
    <w:rsid w:val="000D39D7"/>
    <w:rsid w:val="000E3175"/>
    <w:rsid w:val="000E396F"/>
    <w:rsid w:val="000E4C5B"/>
    <w:rsid w:val="000E6245"/>
    <w:rsid w:val="000E6D00"/>
    <w:rsid w:val="000F38EB"/>
    <w:rsid w:val="000F4588"/>
    <w:rsid w:val="000F4C9F"/>
    <w:rsid w:val="000F507B"/>
    <w:rsid w:val="000F730A"/>
    <w:rsid w:val="001010CC"/>
    <w:rsid w:val="0010164F"/>
    <w:rsid w:val="00101981"/>
    <w:rsid w:val="00102456"/>
    <w:rsid w:val="00103210"/>
    <w:rsid w:val="0010397B"/>
    <w:rsid w:val="00103AE3"/>
    <w:rsid w:val="0010444E"/>
    <w:rsid w:val="00104659"/>
    <w:rsid w:val="00104F47"/>
    <w:rsid w:val="00104F8C"/>
    <w:rsid w:val="001051DB"/>
    <w:rsid w:val="0010666D"/>
    <w:rsid w:val="00107934"/>
    <w:rsid w:val="001145BD"/>
    <w:rsid w:val="00114ADB"/>
    <w:rsid w:val="001155C6"/>
    <w:rsid w:val="00115DC2"/>
    <w:rsid w:val="00116145"/>
    <w:rsid w:val="00116677"/>
    <w:rsid w:val="00120745"/>
    <w:rsid w:val="001208A0"/>
    <w:rsid w:val="00120AFE"/>
    <w:rsid w:val="00123540"/>
    <w:rsid w:val="00126E7F"/>
    <w:rsid w:val="00127F61"/>
    <w:rsid w:val="00131B46"/>
    <w:rsid w:val="0013290E"/>
    <w:rsid w:val="0013589A"/>
    <w:rsid w:val="001370B3"/>
    <w:rsid w:val="001457CD"/>
    <w:rsid w:val="00145EA5"/>
    <w:rsid w:val="00145F20"/>
    <w:rsid w:val="00146430"/>
    <w:rsid w:val="0014736E"/>
    <w:rsid w:val="00150068"/>
    <w:rsid w:val="0015016E"/>
    <w:rsid w:val="001509F0"/>
    <w:rsid w:val="00150D5B"/>
    <w:rsid w:val="00153A6C"/>
    <w:rsid w:val="00155976"/>
    <w:rsid w:val="00156EE9"/>
    <w:rsid w:val="00157D35"/>
    <w:rsid w:val="00160066"/>
    <w:rsid w:val="0016247C"/>
    <w:rsid w:val="00162739"/>
    <w:rsid w:val="00163660"/>
    <w:rsid w:val="0016389B"/>
    <w:rsid w:val="00163A12"/>
    <w:rsid w:val="00163D1F"/>
    <w:rsid w:val="001671D8"/>
    <w:rsid w:val="001672B9"/>
    <w:rsid w:val="00167452"/>
    <w:rsid w:val="00167686"/>
    <w:rsid w:val="0016772E"/>
    <w:rsid w:val="00171545"/>
    <w:rsid w:val="0017216F"/>
    <w:rsid w:val="0017420D"/>
    <w:rsid w:val="0017439D"/>
    <w:rsid w:val="0017566C"/>
    <w:rsid w:val="00176DDC"/>
    <w:rsid w:val="00176FAD"/>
    <w:rsid w:val="0017756E"/>
    <w:rsid w:val="00177592"/>
    <w:rsid w:val="00177CB9"/>
    <w:rsid w:val="00177CD1"/>
    <w:rsid w:val="0018094D"/>
    <w:rsid w:val="00181708"/>
    <w:rsid w:val="00181869"/>
    <w:rsid w:val="00181893"/>
    <w:rsid w:val="00183315"/>
    <w:rsid w:val="001834CB"/>
    <w:rsid w:val="00183DE1"/>
    <w:rsid w:val="00184713"/>
    <w:rsid w:val="00186D76"/>
    <w:rsid w:val="00187EA0"/>
    <w:rsid w:val="00190CC2"/>
    <w:rsid w:val="00194D93"/>
    <w:rsid w:val="00195058"/>
    <w:rsid w:val="001953C7"/>
    <w:rsid w:val="00195425"/>
    <w:rsid w:val="00196F89"/>
    <w:rsid w:val="001A18EF"/>
    <w:rsid w:val="001A1DB0"/>
    <w:rsid w:val="001A1DBC"/>
    <w:rsid w:val="001A1FAF"/>
    <w:rsid w:val="001A2D1F"/>
    <w:rsid w:val="001A30FE"/>
    <w:rsid w:val="001A3907"/>
    <w:rsid w:val="001A6630"/>
    <w:rsid w:val="001A6B82"/>
    <w:rsid w:val="001B0392"/>
    <w:rsid w:val="001B07CE"/>
    <w:rsid w:val="001B3501"/>
    <w:rsid w:val="001B3AA8"/>
    <w:rsid w:val="001B43E6"/>
    <w:rsid w:val="001B53B8"/>
    <w:rsid w:val="001B7F6C"/>
    <w:rsid w:val="001C0143"/>
    <w:rsid w:val="001C066A"/>
    <w:rsid w:val="001C083D"/>
    <w:rsid w:val="001C0EA9"/>
    <w:rsid w:val="001C19D1"/>
    <w:rsid w:val="001C3926"/>
    <w:rsid w:val="001C5713"/>
    <w:rsid w:val="001C610B"/>
    <w:rsid w:val="001D45CE"/>
    <w:rsid w:val="001D4674"/>
    <w:rsid w:val="001D5B87"/>
    <w:rsid w:val="001D5F3C"/>
    <w:rsid w:val="001D701E"/>
    <w:rsid w:val="001D7218"/>
    <w:rsid w:val="001D7AAF"/>
    <w:rsid w:val="001D7D5C"/>
    <w:rsid w:val="001E0851"/>
    <w:rsid w:val="001E089F"/>
    <w:rsid w:val="001E2A7A"/>
    <w:rsid w:val="001E2DA4"/>
    <w:rsid w:val="001E2F73"/>
    <w:rsid w:val="001E33F8"/>
    <w:rsid w:val="001E3C29"/>
    <w:rsid w:val="001E5DDE"/>
    <w:rsid w:val="001E74D2"/>
    <w:rsid w:val="001F09D2"/>
    <w:rsid w:val="001F1D76"/>
    <w:rsid w:val="001F1DED"/>
    <w:rsid w:val="001F2C17"/>
    <w:rsid w:val="001F3838"/>
    <w:rsid w:val="001F6A77"/>
    <w:rsid w:val="001F7039"/>
    <w:rsid w:val="00201BA6"/>
    <w:rsid w:val="002025BC"/>
    <w:rsid w:val="00202B82"/>
    <w:rsid w:val="002031E7"/>
    <w:rsid w:val="00205D8A"/>
    <w:rsid w:val="00205F25"/>
    <w:rsid w:val="00206C44"/>
    <w:rsid w:val="002115C3"/>
    <w:rsid w:val="002128AB"/>
    <w:rsid w:val="00213DCE"/>
    <w:rsid w:val="0021417B"/>
    <w:rsid w:val="00214B47"/>
    <w:rsid w:val="00215C9D"/>
    <w:rsid w:val="00217025"/>
    <w:rsid w:val="0021713A"/>
    <w:rsid w:val="002215E1"/>
    <w:rsid w:val="00221885"/>
    <w:rsid w:val="002220FE"/>
    <w:rsid w:val="00222C17"/>
    <w:rsid w:val="00222DE9"/>
    <w:rsid w:val="00224D7F"/>
    <w:rsid w:val="00226CC0"/>
    <w:rsid w:val="0022765B"/>
    <w:rsid w:val="00227F09"/>
    <w:rsid w:val="00231147"/>
    <w:rsid w:val="00231F9D"/>
    <w:rsid w:val="0023226D"/>
    <w:rsid w:val="00232D5F"/>
    <w:rsid w:val="002338F7"/>
    <w:rsid w:val="00235EBA"/>
    <w:rsid w:val="0024002C"/>
    <w:rsid w:val="00242231"/>
    <w:rsid w:val="002433F6"/>
    <w:rsid w:val="00243AAE"/>
    <w:rsid w:val="00245320"/>
    <w:rsid w:val="00246002"/>
    <w:rsid w:val="00246B04"/>
    <w:rsid w:val="00250D74"/>
    <w:rsid w:val="002519CB"/>
    <w:rsid w:val="0025296D"/>
    <w:rsid w:val="00252B65"/>
    <w:rsid w:val="00252DAC"/>
    <w:rsid w:val="002533D4"/>
    <w:rsid w:val="00253704"/>
    <w:rsid w:val="0025655C"/>
    <w:rsid w:val="00257FF0"/>
    <w:rsid w:val="00260055"/>
    <w:rsid w:val="0026056D"/>
    <w:rsid w:val="00261734"/>
    <w:rsid w:val="002617BE"/>
    <w:rsid w:val="00263D5B"/>
    <w:rsid w:val="00264FA9"/>
    <w:rsid w:val="00266A37"/>
    <w:rsid w:val="002703B7"/>
    <w:rsid w:val="00270BEF"/>
    <w:rsid w:val="0027520A"/>
    <w:rsid w:val="00275503"/>
    <w:rsid w:val="002774FB"/>
    <w:rsid w:val="002777E2"/>
    <w:rsid w:val="00277868"/>
    <w:rsid w:val="0028122C"/>
    <w:rsid w:val="0028192F"/>
    <w:rsid w:val="00283DCD"/>
    <w:rsid w:val="00283FD5"/>
    <w:rsid w:val="0028413F"/>
    <w:rsid w:val="00284B5E"/>
    <w:rsid w:val="00285154"/>
    <w:rsid w:val="0028686D"/>
    <w:rsid w:val="002914AC"/>
    <w:rsid w:val="00294741"/>
    <w:rsid w:val="00296044"/>
    <w:rsid w:val="002A3287"/>
    <w:rsid w:val="002A3578"/>
    <w:rsid w:val="002A45B5"/>
    <w:rsid w:val="002A5BF2"/>
    <w:rsid w:val="002A5F53"/>
    <w:rsid w:val="002A6478"/>
    <w:rsid w:val="002A6CEF"/>
    <w:rsid w:val="002A721E"/>
    <w:rsid w:val="002A7744"/>
    <w:rsid w:val="002B0A01"/>
    <w:rsid w:val="002B3A27"/>
    <w:rsid w:val="002B432A"/>
    <w:rsid w:val="002B4589"/>
    <w:rsid w:val="002B46A5"/>
    <w:rsid w:val="002B5FDB"/>
    <w:rsid w:val="002B6076"/>
    <w:rsid w:val="002B60E4"/>
    <w:rsid w:val="002C028F"/>
    <w:rsid w:val="002C10C9"/>
    <w:rsid w:val="002C5CBE"/>
    <w:rsid w:val="002C683E"/>
    <w:rsid w:val="002C6851"/>
    <w:rsid w:val="002C7363"/>
    <w:rsid w:val="002D05BF"/>
    <w:rsid w:val="002D07BF"/>
    <w:rsid w:val="002D1913"/>
    <w:rsid w:val="002D2367"/>
    <w:rsid w:val="002D42FA"/>
    <w:rsid w:val="002D55C5"/>
    <w:rsid w:val="002D7054"/>
    <w:rsid w:val="002D7AA4"/>
    <w:rsid w:val="002E219A"/>
    <w:rsid w:val="002E5D1F"/>
    <w:rsid w:val="002F04E6"/>
    <w:rsid w:val="002F3CDC"/>
    <w:rsid w:val="002F50F3"/>
    <w:rsid w:val="002F60C7"/>
    <w:rsid w:val="002F7366"/>
    <w:rsid w:val="002F7CF7"/>
    <w:rsid w:val="00301326"/>
    <w:rsid w:val="003028D2"/>
    <w:rsid w:val="00303231"/>
    <w:rsid w:val="0030366E"/>
    <w:rsid w:val="00304F07"/>
    <w:rsid w:val="00304FA4"/>
    <w:rsid w:val="00306436"/>
    <w:rsid w:val="00306757"/>
    <w:rsid w:val="003069DD"/>
    <w:rsid w:val="00310276"/>
    <w:rsid w:val="00310741"/>
    <w:rsid w:val="00310938"/>
    <w:rsid w:val="00312D12"/>
    <w:rsid w:val="00316B61"/>
    <w:rsid w:val="00317E5E"/>
    <w:rsid w:val="0032168D"/>
    <w:rsid w:val="003219FD"/>
    <w:rsid w:val="00322945"/>
    <w:rsid w:val="00324C52"/>
    <w:rsid w:val="0032700B"/>
    <w:rsid w:val="00327431"/>
    <w:rsid w:val="00327859"/>
    <w:rsid w:val="00327DE4"/>
    <w:rsid w:val="00331B8D"/>
    <w:rsid w:val="003332B8"/>
    <w:rsid w:val="003356F5"/>
    <w:rsid w:val="003378B9"/>
    <w:rsid w:val="00340495"/>
    <w:rsid w:val="00340EA8"/>
    <w:rsid w:val="0034155E"/>
    <w:rsid w:val="003423FC"/>
    <w:rsid w:val="003435B3"/>
    <w:rsid w:val="00343B05"/>
    <w:rsid w:val="00344960"/>
    <w:rsid w:val="00345381"/>
    <w:rsid w:val="00345747"/>
    <w:rsid w:val="0034638B"/>
    <w:rsid w:val="00346A69"/>
    <w:rsid w:val="003479DB"/>
    <w:rsid w:val="003500BD"/>
    <w:rsid w:val="00350D88"/>
    <w:rsid w:val="00352C65"/>
    <w:rsid w:val="00352E69"/>
    <w:rsid w:val="0035392D"/>
    <w:rsid w:val="00353F69"/>
    <w:rsid w:val="003541F0"/>
    <w:rsid w:val="00354C8A"/>
    <w:rsid w:val="00355BFF"/>
    <w:rsid w:val="00356C22"/>
    <w:rsid w:val="00361303"/>
    <w:rsid w:val="0036181B"/>
    <w:rsid w:val="0036339B"/>
    <w:rsid w:val="0036394E"/>
    <w:rsid w:val="00364091"/>
    <w:rsid w:val="00364476"/>
    <w:rsid w:val="00364D9F"/>
    <w:rsid w:val="00364EB8"/>
    <w:rsid w:val="0036660D"/>
    <w:rsid w:val="00371649"/>
    <w:rsid w:val="00372398"/>
    <w:rsid w:val="00372F59"/>
    <w:rsid w:val="00373F69"/>
    <w:rsid w:val="0037448C"/>
    <w:rsid w:val="00374FE2"/>
    <w:rsid w:val="00375616"/>
    <w:rsid w:val="00375DCC"/>
    <w:rsid w:val="00376932"/>
    <w:rsid w:val="003803CD"/>
    <w:rsid w:val="00381719"/>
    <w:rsid w:val="00381C8B"/>
    <w:rsid w:val="003822B6"/>
    <w:rsid w:val="003833EF"/>
    <w:rsid w:val="0038409D"/>
    <w:rsid w:val="003848FF"/>
    <w:rsid w:val="00384A6C"/>
    <w:rsid w:val="00385A86"/>
    <w:rsid w:val="00385DD9"/>
    <w:rsid w:val="00386331"/>
    <w:rsid w:val="003869C3"/>
    <w:rsid w:val="00386E4F"/>
    <w:rsid w:val="00390D3E"/>
    <w:rsid w:val="003925C6"/>
    <w:rsid w:val="003926B7"/>
    <w:rsid w:val="003926DA"/>
    <w:rsid w:val="003935B7"/>
    <w:rsid w:val="00394582"/>
    <w:rsid w:val="003953AE"/>
    <w:rsid w:val="0039587E"/>
    <w:rsid w:val="003965B3"/>
    <w:rsid w:val="003975A5"/>
    <w:rsid w:val="003A08F1"/>
    <w:rsid w:val="003A0B58"/>
    <w:rsid w:val="003A2524"/>
    <w:rsid w:val="003A37AA"/>
    <w:rsid w:val="003A4F00"/>
    <w:rsid w:val="003A5063"/>
    <w:rsid w:val="003A63EA"/>
    <w:rsid w:val="003A7B58"/>
    <w:rsid w:val="003B077E"/>
    <w:rsid w:val="003B0AD1"/>
    <w:rsid w:val="003B0E5C"/>
    <w:rsid w:val="003B222C"/>
    <w:rsid w:val="003B2775"/>
    <w:rsid w:val="003B361C"/>
    <w:rsid w:val="003B37AD"/>
    <w:rsid w:val="003B44C2"/>
    <w:rsid w:val="003B5792"/>
    <w:rsid w:val="003C1106"/>
    <w:rsid w:val="003C1333"/>
    <w:rsid w:val="003C1FAE"/>
    <w:rsid w:val="003C273B"/>
    <w:rsid w:val="003C3586"/>
    <w:rsid w:val="003C3EE0"/>
    <w:rsid w:val="003C4EED"/>
    <w:rsid w:val="003C6E42"/>
    <w:rsid w:val="003C7EA9"/>
    <w:rsid w:val="003D086F"/>
    <w:rsid w:val="003D0BE0"/>
    <w:rsid w:val="003D139B"/>
    <w:rsid w:val="003D42AB"/>
    <w:rsid w:val="003D503E"/>
    <w:rsid w:val="003D7C92"/>
    <w:rsid w:val="003E0502"/>
    <w:rsid w:val="003E063B"/>
    <w:rsid w:val="003E0B20"/>
    <w:rsid w:val="003E0B38"/>
    <w:rsid w:val="003E1838"/>
    <w:rsid w:val="003E2B70"/>
    <w:rsid w:val="003E3665"/>
    <w:rsid w:val="003E3B8D"/>
    <w:rsid w:val="003E3C82"/>
    <w:rsid w:val="003E49E0"/>
    <w:rsid w:val="003E4B88"/>
    <w:rsid w:val="003E577C"/>
    <w:rsid w:val="003E5E52"/>
    <w:rsid w:val="003E77CD"/>
    <w:rsid w:val="003E7C81"/>
    <w:rsid w:val="003F02F0"/>
    <w:rsid w:val="003F5B6A"/>
    <w:rsid w:val="003F6555"/>
    <w:rsid w:val="003F6942"/>
    <w:rsid w:val="003F6B2F"/>
    <w:rsid w:val="00400B5E"/>
    <w:rsid w:val="00403909"/>
    <w:rsid w:val="00404735"/>
    <w:rsid w:val="00405A53"/>
    <w:rsid w:val="00406D03"/>
    <w:rsid w:val="00410039"/>
    <w:rsid w:val="0041056A"/>
    <w:rsid w:val="00411223"/>
    <w:rsid w:val="00412BD3"/>
    <w:rsid w:val="00414FFE"/>
    <w:rsid w:val="004152B4"/>
    <w:rsid w:val="00415F23"/>
    <w:rsid w:val="004164BF"/>
    <w:rsid w:val="00420D75"/>
    <w:rsid w:val="004211E3"/>
    <w:rsid w:val="0042378D"/>
    <w:rsid w:val="00423F63"/>
    <w:rsid w:val="004253BE"/>
    <w:rsid w:val="00427A01"/>
    <w:rsid w:val="00427DC0"/>
    <w:rsid w:val="00427E33"/>
    <w:rsid w:val="004303F7"/>
    <w:rsid w:val="004316BD"/>
    <w:rsid w:val="00431E5A"/>
    <w:rsid w:val="00433130"/>
    <w:rsid w:val="00433806"/>
    <w:rsid w:val="0043785A"/>
    <w:rsid w:val="00437FE7"/>
    <w:rsid w:val="00440151"/>
    <w:rsid w:val="00441345"/>
    <w:rsid w:val="00441DDA"/>
    <w:rsid w:val="004466AA"/>
    <w:rsid w:val="00446B7B"/>
    <w:rsid w:val="00446DE3"/>
    <w:rsid w:val="00450BB7"/>
    <w:rsid w:val="0045143D"/>
    <w:rsid w:val="004514CF"/>
    <w:rsid w:val="004515F7"/>
    <w:rsid w:val="00451A05"/>
    <w:rsid w:val="00453550"/>
    <w:rsid w:val="00453B46"/>
    <w:rsid w:val="00454840"/>
    <w:rsid w:val="00455339"/>
    <w:rsid w:val="00455B98"/>
    <w:rsid w:val="00455FDD"/>
    <w:rsid w:val="004560F6"/>
    <w:rsid w:val="00457267"/>
    <w:rsid w:val="0045787E"/>
    <w:rsid w:val="00460316"/>
    <w:rsid w:val="0046218F"/>
    <w:rsid w:val="00463ACA"/>
    <w:rsid w:val="00464420"/>
    <w:rsid w:val="00465702"/>
    <w:rsid w:val="004705E9"/>
    <w:rsid w:val="00471377"/>
    <w:rsid w:val="00471948"/>
    <w:rsid w:val="00472890"/>
    <w:rsid w:val="00473F75"/>
    <w:rsid w:val="0047483B"/>
    <w:rsid w:val="00474ACD"/>
    <w:rsid w:val="0048115B"/>
    <w:rsid w:val="00485F8C"/>
    <w:rsid w:val="0048636E"/>
    <w:rsid w:val="00486B4C"/>
    <w:rsid w:val="00490A86"/>
    <w:rsid w:val="0049103F"/>
    <w:rsid w:val="0049269C"/>
    <w:rsid w:val="0049552E"/>
    <w:rsid w:val="00496B2A"/>
    <w:rsid w:val="00497DA4"/>
    <w:rsid w:val="00497F38"/>
    <w:rsid w:val="004A2499"/>
    <w:rsid w:val="004A30EE"/>
    <w:rsid w:val="004A4A8D"/>
    <w:rsid w:val="004A57E7"/>
    <w:rsid w:val="004A59B4"/>
    <w:rsid w:val="004A6F56"/>
    <w:rsid w:val="004B1055"/>
    <w:rsid w:val="004B2660"/>
    <w:rsid w:val="004B3855"/>
    <w:rsid w:val="004B52F9"/>
    <w:rsid w:val="004B5FAA"/>
    <w:rsid w:val="004B608E"/>
    <w:rsid w:val="004B669D"/>
    <w:rsid w:val="004C034F"/>
    <w:rsid w:val="004C0BB0"/>
    <w:rsid w:val="004C1396"/>
    <w:rsid w:val="004C197D"/>
    <w:rsid w:val="004C1BF6"/>
    <w:rsid w:val="004C3998"/>
    <w:rsid w:val="004C3CFD"/>
    <w:rsid w:val="004C4813"/>
    <w:rsid w:val="004C4A27"/>
    <w:rsid w:val="004C4A9D"/>
    <w:rsid w:val="004C5F83"/>
    <w:rsid w:val="004C7A88"/>
    <w:rsid w:val="004D0FFE"/>
    <w:rsid w:val="004D1F54"/>
    <w:rsid w:val="004D2100"/>
    <w:rsid w:val="004D3C22"/>
    <w:rsid w:val="004D636D"/>
    <w:rsid w:val="004E1DF0"/>
    <w:rsid w:val="004E5770"/>
    <w:rsid w:val="004E5FF0"/>
    <w:rsid w:val="004E604E"/>
    <w:rsid w:val="004E6AA1"/>
    <w:rsid w:val="004E7E22"/>
    <w:rsid w:val="004F0897"/>
    <w:rsid w:val="004F166F"/>
    <w:rsid w:val="004F20F8"/>
    <w:rsid w:val="004F2835"/>
    <w:rsid w:val="004F4C65"/>
    <w:rsid w:val="004F4D92"/>
    <w:rsid w:val="004F582A"/>
    <w:rsid w:val="004F60B3"/>
    <w:rsid w:val="004F71DE"/>
    <w:rsid w:val="004F7EF9"/>
    <w:rsid w:val="00500B70"/>
    <w:rsid w:val="005010AA"/>
    <w:rsid w:val="005021B3"/>
    <w:rsid w:val="005024FA"/>
    <w:rsid w:val="0050259C"/>
    <w:rsid w:val="005028CD"/>
    <w:rsid w:val="00502CF0"/>
    <w:rsid w:val="0050306A"/>
    <w:rsid w:val="005031F5"/>
    <w:rsid w:val="00505992"/>
    <w:rsid w:val="00506564"/>
    <w:rsid w:val="0050687F"/>
    <w:rsid w:val="00506D11"/>
    <w:rsid w:val="00510FB8"/>
    <w:rsid w:val="00514CB8"/>
    <w:rsid w:val="005200C2"/>
    <w:rsid w:val="005219C0"/>
    <w:rsid w:val="00521CEB"/>
    <w:rsid w:val="00521E34"/>
    <w:rsid w:val="005235C7"/>
    <w:rsid w:val="00523B2C"/>
    <w:rsid w:val="0052469F"/>
    <w:rsid w:val="0052558E"/>
    <w:rsid w:val="005262E7"/>
    <w:rsid w:val="0053092F"/>
    <w:rsid w:val="00530F55"/>
    <w:rsid w:val="00531080"/>
    <w:rsid w:val="00531AED"/>
    <w:rsid w:val="00532001"/>
    <w:rsid w:val="00532193"/>
    <w:rsid w:val="005350EF"/>
    <w:rsid w:val="005351D1"/>
    <w:rsid w:val="0053599C"/>
    <w:rsid w:val="00535E2F"/>
    <w:rsid w:val="00536BB0"/>
    <w:rsid w:val="0053709E"/>
    <w:rsid w:val="00537976"/>
    <w:rsid w:val="00540693"/>
    <w:rsid w:val="005426EE"/>
    <w:rsid w:val="00543A78"/>
    <w:rsid w:val="00545705"/>
    <w:rsid w:val="0054571A"/>
    <w:rsid w:val="00546545"/>
    <w:rsid w:val="0054684B"/>
    <w:rsid w:val="00546EC2"/>
    <w:rsid w:val="00547042"/>
    <w:rsid w:val="00547B77"/>
    <w:rsid w:val="005510D8"/>
    <w:rsid w:val="00552286"/>
    <w:rsid w:val="00552FA8"/>
    <w:rsid w:val="005539C7"/>
    <w:rsid w:val="00553E97"/>
    <w:rsid w:val="005546BF"/>
    <w:rsid w:val="005555BF"/>
    <w:rsid w:val="00555930"/>
    <w:rsid w:val="00556F63"/>
    <w:rsid w:val="0055763B"/>
    <w:rsid w:val="005576CD"/>
    <w:rsid w:val="00560199"/>
    <w:rsid w:val="00560D81"/>
    <w:rsid w:val="00561F07"/>
    <w:rsid w:val="00562314"/>
    <w:rsid w:val="005632FA"/>
    <w:rsid w:val="005638A5"/>
    <w:rsid w:val="00563946"/>
    <w:rsid w:val="00563E34"/>
    <w:rsid w:val="00564042"/>
    <w:rsid w:val="00564175"/>
    <w:rsid w:val="005660C3"/>
    <w:rsid w:val="00566A5B"/>
    <w:rsid w:val="005675C7"/>
    <w:rsid w:val="00572003"/>
    <w:rsid w:val="00572151"/>
    <w:rsid w:val="0057254F"/>
    <w:rsid w:val="005742C5"/>
    <w:rsid w:val="00574C49"/>
    <w:rsid w:val="00574E92"/>
    <w:rsid w:val="0057519D"/>
    <w:rsid w:val="00576706"/>
    <w:rsid w:val="00577A97"/>
    <w:rsid w:val="00581AB7"/>
    <w:rsid w:val="00582C24"/>
    <w:rsid w:val="00582FDF"/>
    <w:rsid w:val="00584C30"/>
    <w:rsid w:val="005852C5"/>
    <w:rsid w:val="00585CEC"/>
    <w:rsid w:val="0058662B"/>
    <w:rsid w:val="005869F0"/>
    <w:rsid w:val="00586D3B"/>
    <w:rsid w:val="00587CBC"/>
    <w:rsid w:val="00587CC3"/>
    <w:rsid w:val="00587E36"/>
    <w:rsid w:val="00594BD6"/>
    <w:rsid w:val="00595826"/>
    <w:rsid w:val="0059759D"/>
    <w:rsid w:val="005A021C"/>
    <w:rsid w:val="005A02AB"/>
    <w:rsid w:val="005A1665"/>
    <w:rsid w:val="005A27C4"/>
    <w:rsid w:val="005A34F6"/>
    <w:rsid w:val="005A3C97"/>
    <w:rsid w:val="005A410D"/>
    <w:rsid w:val="005A49B0"/>
    <w:rsid w:val="005A5099"/>
    <w:rsid w:val="005A5EB0"/>
    <w:rsid w:val="005A6A02"/>
    <w:rsid w:val="005A7776"/>
    <w:rsid w:val="005B1652"/>
    <w:rsid w:val="005B1B07"/>
    <w:rsid w:val="005B4DF6"/>
    <w:rsid w:val="005B7145"/>
    <w:rsid w:val="005B7DE4"/>
    <w:rsid w:val="005C0BD3"/>
    <w:rsid w:val="005C0ED1"/>
    <w:rsid w:val="005C150C"/>
    <w:rsid w:val="005C1B87"/>
    <w:rsid w:val="005C1BFB"/>
    <w:rsid w:val="005C1D32"/>
    <w:rsid w:val="005C2BB7"/>
    <w:rsid w:val="005C3273"/>
    <w:rsid w:val="005C4497"/>
    <w:rsid w:val="005C4B0A"/>
    <w:rsid w:val="005C51FC"/>
    <w:rsid w:val="005C5442"/>
    <w:rsid w:val="005C563C"/>
    <w:rsid w:val="005C692E"/>
    <w:rsid w:val="005C6AD0"/>
    <w:rsid w:val="005D0421"/>
    <w:rsid w:val="005D1C49"/>
    <w:rsid w:val="005D2D58"/>
    <w:rsid w:val="005D3BDC"/>
    <w:rsid w:val="005D40E3"/>
    <w:rsid w:val="005D71B3"/>
    <w:rsid w:val="005D7722"/>
    <w:rsid w:val="005D7828"/>
    <w:rsid w:val="005D7A7B"/>
    <w:rsid w:val="005E238F"/>
    <w:rsid w:val="005E3A33"/>
    <w:rsid w:val="005E598E"/>
    <w:rsid w:val="005E6227"/>
    <w:rsid w:val="005E71B7"/>
    <w:rsid w:val="005F201E"/>
    <w:rsid w:val="005F3DC1"/>
    <w:rsid w:val="005F44BD"/>
    <w:rsid w:val="005F4667"/>
    <w:rsid w:val="0060059F"/>
    <w:rsid w:val="00600B43"/>
    <w:rsid w:val="006012A9"/>
    <w:rsid w:val="00602AED"/>
    <w:rsid w:val="006037B0"/>
    <w:rsid w:val="0060408F"/>
    <w:rsid w:val="0060536E"/>
    <w:rsid w:val="00607359"/>
    <w:rsid w:val="006078DD"/>
    <w:rsid w:val="00611919"/>
    <w:rsid w:val="00613725"/>
    <w:rsid w:val="00615D25"/>
    <w:rsid w:val="00620CEE"/>
    <w:rsid w:val="00621758"/>
    <w:rsid w:val="00621EC6"/>
    <w:rsid w:val="006239BA"/>
    <w:rsid w:val="00623D51"/>
    <w:rsid w:val="00623EBA"/>
    <w:rsid w:val="00624D92"/>
    <w:rsid w:val="0062539A"/>
    <w:rsid w:val="006254DA"/>
    <w:rsid w:val="006268FB"/>
    <w:rsid w:val="00627310"/>
    <w:rsid w:val="00627606"/>
    <w:rsid w:val="00631010"/>
    <w:rsid w:val="00633135"/>
    <w:rsid w:val="00633D8D"/>
    <w:rsid w:val="00633E6D"/>
    <w:rsid w:val="006340BD"/>
    <w:rsid w:val="006349A0"/>
    <w:rsid w:val="00634CF6"/>
    <w:rsid w:val="00635B7E"/>
    <w:rsid w:val="00636329"/>
    <w:rsid w:val="00636B72"/>
    <w:rsid w:val="00637986"/>
    <w:rsid w:val="00641D83"/>
    <w:rsid w:val="0064388C"/>
    <w:rsid w:val="00643AB4"/>
    <w:rsid w:val="00650790"/>
    <w:rsid w:val="00650BE4"/>
    <w:rsid w:val="00650D24"/>
    <w:rsid w:val="00652E20"/>
    <w:rsid w:val="006557CC"/>
    <w:rsid w:val="00655A5A"/>
    <w:rsid w:val="0065655F"/>
    <w:rsid w:val="006600AA"/>
    <w:rsid w:val="00664A00"/>
    <w:rsid w:val="00666E23"/>
    <w:rsid w:val="006702FC"/>
    <w:rsid w:val="00670733"/>
    <w:rsid w:val="00670E24"/>
    <w:rsid w:val="00671186"/>
    <w:rsid w:val="006714B7"/>
    <w:rsid w:val="0067270A"/>
    <w:rsid w:val="006733C9"/>
    <w:rsid w:val="00673505"/>
    <w:rsid w:val="00673F2A"/>
    <w:rsid w:val="006748AC"/>
    <w:rsid w:val="006769DE"/>
    <w:rsid w:val="00677E7C"/>
    <w:rsid w:val="00680AB2"/>
    <w:rsid w:val="00680C42"/>
    <w:rsid w:val="00681546"/>
    <w:rsid w:val="006815E1"/>
    <w:rsid w:val="00681D77"/>
    <w:rsid w:val="0068246D"/>
    <w:rsid w:val="00682FB7"/>
    <w:rsid w:val="0068341F"/>
    <w:rsid w:val="00685A22"/>
    <w:rsid w:val="006868BE"/>
    <w:rsid w:val="00687540"/>
    <w:rsid w:val="00692531"/>
    <w:rsid w:val="006925F8"/>
    <w:rsid w:val="00695177"/>
    <w:rsid w:val="0069633C"/>
    <w:rsid w:val="00696C84"/>
    <w:rsid w:val="006973A0"/>
    <w:rsid w:val="006A0C00"/>
    <w:rsid w:val="006A1BAF"/>
    <w:rsid w:val="006A2D61"/>
    <w:rsid w:val="006A30E5"/>
    <w:rsid w:val="006A3CF5"/>
    <w:rsid w:val="006A441D"/>
    <w:rsid w:val="006A4864"/>
    <w:rsid w:val="006A7EC8"/>
    <w:rsid w:val="006B4B61"/>
    <w:rsid w:val="006B5C00"/>
    <w:rsid w:val="006B668B"/>
    <w:rsid w:val="006B784F"/>
    <w:rsid w:val="006B7BBB"/>
    <w:rsid w:val="006B7EB1"/>
    <w:rsid w:val="006B7F2D"/>
    <w:rsid w:val="006C0F8D"/>
    <w:rsid w:val="006C242B"/>
    <w:rsid w:val="006C4F4D"/>
    <w:rsid w:val="006C5389"/>
    <w:rsid w:val="006C58E2"/>
    <w:rsid w:val="006C599E"/>
    <w:rsid w:val="006C6621"/>
    <w:rsid w:val="006D0C70"/>
    <w:rsid w:val="006D218B"/>
    <w:rsid w:val="006D22B9"/>
    <w:rsid w:val="006D2F07"/>
    <w:rsid w:val="006D4FFB"/>
    <w:rsid w:val="006D547D"/>
    <w:rsid w:val="006D6CC6"/>
    <w:rsid w:val="006D7109"/>
    <w:rsid w:val="006D77D2"/>
    <w:rsid w:val="006E129D"/>
    <w:rsid w:val="006E226B"/>
    <w:rsid w:val="006E256D"/>
    <w:rsid w:val="006E2922"/>
    <w:rsid w:val="006E2998"/>
    <w:rsid w:val="006E3587"/>
    <w:rsid w:val="006E4924"/>
    <w:rsid w:val="006E51D9"/>
    <w:rsid w:val="006E6DBB"/>
    <w:rsid w:val="006F15E5"/>
    <w:rsid w:val="006F2588"/>
    <w:rsid w:val="006F358A"/>
    <w:rsid w:val="006F4AAB"/>
    <w:rsid w:val="006F4C26"/>
    <w:rsid w:val="006F634B"/>
    <w:rsid w:val="00700B19"/>
    <w:rsid w:val="00701008"/>
    <w:rsid w:val="0070125A"/>
    <w:rsid w:val="00702007"/>
    <w:rsid w:val="0070578D"/>
    <w:rsid w:val="00706405"/>
    <w:rsid w:val="00707908"/>
    <w:rsid w:val="007101E5"/>
    <w:rsid w:val="0071124E"/>
    <w:rsid w:val="007122DA"/>
    <w:rsid w:val="00712F35"/>
    <w:rsid w:val="007143CD"/>
    <w:rsid w:val="00714C1F"/>
    <w:rsid w:val="00720241"/>
    <w:rsid w:val="0072184E"/>
    <w:rsid w:val="00721E22"/>
    <w:rsid w:val="00723AB6"/>
    <w:rsid w:val="007311E0"/>
    <w:rsid w:val="00732729"/>
    <w:rsid w:val="00732FD7"/>
    <w:rsid w:val="00734015"/>
    <w:rsid w:val="007341A8"/>
    <w:rsid w:val="00735091"/>
    <w:rsid w:val="00736440"/>
    <w:rsid w:val="007365C2"/>
    <w:rsid w:val="00736B05"/>
    <w:rsid w:val="0073716D"/>
    <w:rsid w:val="00740389"/>
    <w:rsid w:val="00740C08"/>
    <w:rsid w:val="00743465"/>
    <w:rsid w:val="007507A4"/>
    <w:rsid w:val="00752CF7"/>
    <w:rsid w:val="007536D1"/>
    <w:rsid w:val="00753B4A"/>
    <w:rsid w:val="00753CCF"/>
    <w:rsid w:val="00753E3E"/>
    <w:rsid w:val="00754B24"/>
    <w:rsid w:val="007570DF"/>
    <w:rsid w:val="00761119"/>
    <w:rsid w:val="007616C9"/>
    <w:rsid w:val="0076174A"/>
    <w:rsid w:val="00761E9D"/>
    <w:rsid w:val="007629B4"/>
    <w:rsid w:val="00763991"/>
    <w:rsid w:val="007648A2"/>
    <w:rsid w:val="007649C4"/>
    <w:rsid w:val="007674A7"/>
    <w:rsid w:val="0077087C"/>
    <w:rsid w:val="00770B36"/>
    <w:rsid w:val="007751A1"/>
    <w:rsid w:val="00775F79"/>
    <w:rsid w:val="00776FDC"/>
    <w:rsid w:val="0078053D"/>
    <w:rsid w:val="007811BF"/>
    <w:rsid w:val="00781C09"/>
    <w:rsid w:val="007820BB"/>
    <w:rsid w:val="0078293F"/>
    <w:rsid w:val="00783DCD"/>
    <w:rsid w:val="00783F7B"/>
    <w:rsid w:val="00784285"/>
    <w:rsid w:val="007849B5"/>
    <w:rsid w:val="0078675C"/>
    <w:rsid w:val="00790927"/>
    <w:rsid w:val="00790DC7"/>
    <w:rsid w:val="00790EB6"/>
    <w:rsid w:val="007910A0"/>
    <w:rsid w:val="00791E02"/>
    <w:rsid w:val="007924E2"/>
    <w:rsid w:val="00793921"/>
    <w:rsid w:val="00793EBF"/>
    <w:rsid w:val="00794A42"/>
    <w:rsid w:val="00794DB7"/>
    <w:rsid w:val="007958A4"/>
    <w:rsid w:val="00795E34"/>
    <w:rsid w:val="00797BE6"/>
    <w:rsid w:val="007A06E7"/>
    <w:rsid w:val="007A3586"/>
    <w:rsid w:val="007A3622"/>
    <w:rsid w:val="007A3A84"/>
    <w:rsid w:val="007A545B"/>
    <w:rsid w:val="007A5A9E"/>
    <w:rsid w:val="007B10D5"/>
    <w:rsid w:val="007B1C37"/>
    <w:rsid w:val="007B204D"/>
    <w:rsid w:val="007B2262"/>
    <w:rsid w:val="007B48CB"/>
    <w:rsid w:val="007B4A4F"/>
    <w:rsid w:val="007B53FE"/>
    <w:rsid w:val="007B5FF0"/>
    <w:rsid w:val="007B6BD9"/>
    <w:rsid w:val="007C4ECF"/>
    <w:rsid w:val="007C5FC4"/>
    <w:rsid w:val="007C6DDE"/>
    <w:rsid w:val="007D1170"/>
    <w:rsid w:val="007D1BB9"/>
    <w:rsid w:val="007D2C2F"/>
    <w:rsid w:val="007D4321"/>
    <w:rsid w:val="007D600B"/>
    <w:rsid w:val="007E0E06"/>
    <w:rsid w:val="007E3714"/>
    <w:rsid w:val="007E4D89"/>
    <w:rsid w:val="007E607A"/>
    <w:rsid w:val="007E60A2"/>
    <w:rsid w:val="007E77BA"/>
    <w:rsid w:val="007E7ECC"/>
    <w:rsid w:val="007F06F2"/>
    <w:rsid w:val="007F080D"/>
    <w:rsid w:val="007F211F"/>
    <w:rsid w:val="007F2F50"/>
    <w:rsid w:val="007F3A04"/>
    <w:rsid w:val="007F4D3F"/>
    <w:rsid w:val="007F4DE2"/>
    <w:rsid w:val="007F5D28"/>
    <w:rsid w:val="007F63CF"/>
    <w:rsid w:val="007F6DC4"/>
    <w:rsid w:val="00800419"/>
    <w:rsid w:val="0080048D"/>
    <w:rsid w:val="00800E21"/>
    <w:rsid w:val="0080275D"/>
    <w:rsid w:val="008032F2"/>
    <w:rsid w:val="00803833"/>
    <w:rsid w:val="008057C6"/>
    <w:rsid w:val="00805869"/>
    <w:rsid w:val="00805ED5"/>
    <w:rsid w:val="0080733E"/>
    <w:rsid w:val="0081005D"/>
    <w:rsid w:val="00810EAA"/>
    <w:rsid w:val="00811D80"/>
    <w:rsid w:val="0081203A"/>
    <w:rsid w:val="0081433E"/>
    <w:rsid w:val="008145F2"/>
    <w:rsid w:val="0081478F"/>
    <w:rsid w:val="00814DA0"/>
    <w:rsid w:val="00815397"/>
    <w:rsid w:val="008153B4"/>
    <w:rsid w:val="00816A8C"/>
    <w:rsid w:val="00816F5C"/>
    <w:rsid w:val="00820134"/>
    <w:rsid w:val="0082063F"/>
    <w:rsid w:val="00821F9E"/>
    <w:rsid w:val="008233A9"/>
    <w:rsid w:val="00823CBC"/>
    <w:rsid w:val="00824E4D"/>
    <w:rsid w:val="00825C5D"/>
    <w:rsid w:val="00825CB0"/>
    <w:rsid w:val="00826354"/>
    <w:rsid w:val="0083001B"/>
    <w:rsid w:val="0083227F"/>
    <w:rsid w:val="00832A40"/>
    <w:rsid w:val="00832DDF"/>
    <w:rsid w:val="00834C57"/>
    <w:rsid w:val="00835A65"/>
    <w:rsid w:val="00837725"/>
    <w:rsid w:val="0084055A"/>
    <w:rsid w:val="00840A4D"/>
    <w:rsid w:val="00841077"/>
    <w:rsid w:val="00841D5F"/>
    <w:rsid w:val="00842DFB"/>
    <w:rsid w:val="008445EC"/>
    <w:rsid w:val="00844727"/>
    <w:rsid w:val="008456F4"/>
    <w:rsid w:val="00845CEC"/>
    <w:rsid w:val="00846048"/>
    <w:rsid w:val="008472C5"/>
    <w:rsid w:val="008478A2"/>
    <w:rsid w:val="00850206"/>
    <w:rsid w:val="00850D83"/>
    <w:rsid w:val="0085507B"/>
    <w:rsid w:val="00856F11"/>
    <w:rsid w:val="00857036"/>
    <w:rsid w:val="0085728E"/>
    <w:rsid w:val="00857BFD"/>
    <w:rsid w:val="00862771"/>
    <w:rsid w:val="0086375E"/>
    <w:rsid w:val="00864168"/>
    <w:rsid w:val="00864CAF"/>
    <w:rsid w:val="0086590D"/>
    <w:rsid w:val="00865AEE"/>
    <w:rsid w:val="00865C6F"/>
    <w:rsid w:val="0086658F"/>
    <w:rsid w:val="00866F2F"/>
    <w:rsid w:val="00867178"/>
    <w:rsid w:val="00867961"/>
    <w:rsid w:val="00867ECB"/>
    <w:rsid w:val="008708BE"/>
    <w:rsid w:val="0087129E"/>
    <w:rsid w:val="00872B68"/>
    <w:rsid w:val="00874F9C"/>
    <w:rsid w:val="008755D3"/>
    <w:rsid w:val="008759B3"/>
    <w:rsid w:val="008762C4"/>
    <w:rsid w:val="008772E8"/>
    <w:rsid w:val="00880A53"/>
    <w:rsid w:val="00881AD1"/>
    <w:rsid w:val="0088424A"/>
    <w:rsid w:val="0088473A"/>
    <w:rsid w:val="00884971"/>
    <w:rsid w:val="008871E4"/>
    <w:rsid w:val="00890963"/>
    <w:rsid w:val="00890D8F"/>
    <w:rsid w:val="00892C65"/>
    <w:rsid w:val="00892E8D"/>
    <w:rsid w:val="0089374C"/>
    <w:rsid w:val="00893C70"/>
    <w:rsid w:val="00894328"/>
    <w:rsid w:val="008945B5"/>
    <w:rsid w:val="00894F1C"/>
    <w:rsid w:val="00896CE1"/>
    <w:rsid w:val="008A21C5"/>
    <w:rsid w:val="008A287F"/>
    <w:rsid w:val="008A37CF"/>
    <w:rsid w:val="008A4521"/>
    <w:rsid w:val="008A560D"/>
    <w:rsid w:val="008A5DD5"/>
    <w:rsid w:val="008B0C54"/>
    <w:rsid w:val="008B210F"/>
    <w:rsid w:val="008B2E2C"/>
    <w:rsid w:val="008B533E"/>
    <w:rsid w:val="008B5AEE"/>
    <w:rsid w:val="008B63E7"/>
    <w:rsid w:val="008B65A0"/>
    <w:rsid w:val="008B6732"/>
    <w:rsid w:val="008B6C96"/>
    <w:rsid w:val="008B7545"/>
    <w:rsid w:val="008B78FB"/>
    <w:rsid w:val="008C2F3C"/>
    <w:rsid w:val="008C4C6E"/>
    <w:rsid w:val="008C5B7B"/>
    <w:rsid w:val="008C5EDA"/>
    <w:rsid w:val="008C6771"/>
    <w:rsid w:val="008C6F1F"/>
    <w:rsid w:val="008C7657"/>
    <w:rsid w:val="008D01DA"/>
    <w:rsid w:val="008D08CE"/>
    <w:rsid w:val="008D2989"/>
    <w:rsid w:val="008D3783"/>
    <w:rsid w:val="008D42C3"/>
    <w:rsid w:val="008D5155"/>
    <w:rsid w:val="008D5277"/>
    <w:rsid w:val="008D6A75"/>
    <w:rsid w:val="008D6C52"/>
    <w:rsid w:val="008D7472"/>
    <w:rsid w:val="008D7727"/>
    <w:rsid w:val="008E0076"/>
    <w:rsid w:val="008E0736"/>
    <w:rsid w:val="008E0B97"/>
    <w:rsid w:val="008E190D"/>
    <w:rsid w:val="008E4286"/>
    <w:rsid w:val="008E5A11"/>
    <w:rsid w:val="008E6439"/>
    <w:rsid w:val="008E6FA5"/>
    <w:rsid w:val="008E73C5"/>
    <w:rsid w:val="008F007B"/>
    <w:rsid w:val="008F0961"/>
    <w:rsid w:val="008F0C96"/>
    <w:rsid w:val="008F1539"/>
    <w:rsid w:val="008F1644"/>
    <w:rsid w:val="008F16F3"/>
    <w:rsid w:val="008F23D7"/>
    <w:rsid w:val="008F322B"/>
    <w:rsid w:val="008F39E0"/>
    <w:rsid w:val="008F4582"/>
    <w:rsid w:val="008F4F27"/>
    <w:rsid w:val="008F53B7"/>
    <w:rsid w:val="008F5A2C"/>
    <w:rsid w:val="008F5B9A"/>
    <w:rsid w:val="008F6545"/>
    <w:rsid w:val="008F6B8F"/>
    <w:rsid w:val="008F6CE0"/>
    <w:rsid w:val="008F74B1"/>
    <w:rsid w:val="008F786B"/>
    <w:rsid w:val="00901E71"/>
    <w:rsid w:val="00903695"/>
    <w:rsid w:val="00904168"/>
    <w:rsid w:val="00905E71"/>
    <w:rsid w:val="0091062C"/>
    <w:rsid w:val="0091182E"/>
    <w:rsid w:val="00912343"/>
    <w:rsid w:val="009123C8"/>
    <w:rsid w:val="009132D0"/>
    <w:rsid w:val="009160AB"/>
    <w:rsid w:val="00916568"/>
    <w:rsid w:val="009171E4"/>
    <w:rsid w:val="00917E57"/>
    <w:rsid w:val="00920331"/>
    <w:rsid w:val="00921858"/>
    <w:rsid w:val="00921C96"/>
    <w:rsid w:val="00921DC6"/>
    <w:rsid w:val="00923555"/>
    <w:rsid w:val="00924356"/>
    <w:rsid w:val="00924433"/>
    <w:rsid w:val="00926E8B"/>
    <w:rsid w:val="00932D52"/>
    <w:rsid w:val="00933257"/>
    <w:rsid w:val="00933A74"/>
    <w:rsid w:val="00933C83"/>
    <w:rsid w:val="00934778"/>
    <w:rsid w:val="00934D6D"/>
    <w:rsid w:val="00934E96"/>
    <w:rsid w:val="009405D2"/>
    <w:rsid w:val="00941E94"/>
    <w:rsid w:val="00941F9E"/>
    <w:rsid w:val="009427B4"/>
    <w:rsid w:val="00944445"/>
    <w:rsid w:val="00944EEF"/>
    <w:rsid w:val="009458FC"/>
    <w:rsid w:val="0094719D"/>
    <w:rsid w:val="0094736D"/>
    <w:rsid w:val="009503B4"/>
    <w:rsid w:val="00950975"/>
    <w:rsid w:val="0095237E"/>
    <w:rsid w:val="009525B9"/>
    <w:rsid w:val="00953997"/>
    <w:rsid w:val="00953B14"/>
    <w:rsid w:val="00953ED3"/>
    <w:rsid w:val="009544F0"/>
    <w:rsid w:val="00955BF9"/>
    <w:rsid w:val="00956F8E"/>
    <w:rsid w:val="00957294"/>
    <w:rsid w:val="00963D04"/>
    <w:rsid w:val="00964B4A"/>
    <w:rsid w:val="009655E8"/>
    <w:rsid w:val="0096575D"/>
    <w:rsid w:val="0097082F"/>
    <w:rsid w:val="00970903"/>
    <w:rsid w:val="0097155E"/>
    <w:rsid w:val="00973827"/>
    <w:rsid w:val="009749DE"/>
    <w:rsid w:val="0097560B"/>
    <w:rsid w:val="00977E7C"/>
    <w:rsid w:val="00980535"/>
    <w:rsid w:val="009812DC"/>
    <w:rsid w:val="0098141A"/>
    <w:rsid w:val="00981A34"/>
    <w:rsid w:val="00983CA3"/>
    <w:rsid w:val="009857E1"/>
    <w:rsid w:val="00986968"/>
    <w:rsid w:val="00986B66"/>
    <w:rsid w:val="0099060C"/>
    <w:rsid w:val="00990CDB"/>
    <w:rsid w:val="00991303"/>
    <w:rsid w:val="009919A9"/>
    <w:rsid w:val="00991A81"/>
    <w:rsid w:val="009921AF"/>
    <w:rsid w:val="0099228F"/>
    <w:rsid w:val="0099462A"/>
    <w:rsid w:val="00995108"/>
    <w:rsid w:val="0099635E"/>
    <w:rsid w:val="009A0F9F"/>
    <w:rsid w:val="009A43F6"/>
    <w:rsid w:val="009A4BF9"/>
    <w:rsid w:val="009B0082"/>
    <w:rsid w:val="009B0A77"/>
    <w:rsid w:val="009B0E4C"/>
    <w:rsid w:val="009B28F1"/>
    <w:rsid w:val="009B2FFE"/>
    <w:rsid w:val="009B4629"/>
    <w:rsid w:val="009B5A72"/>
    <w:rsid w:val="009B6272"/>
    <w:rsid w:val="009B65EE"/>
    <w:rsid w:val="009C0644"/>
    <w:rsid w:val="009C07E8"/>
    <w:rsid w:val="009C0A66"/>
    <w:rsid w:val="009C14B0"/>
    <w:rsid w:val="009C30D8"/>
    <w:rsid w:val="009C36FF"/>
    <w:rsid w:val="009C3855"/>
    <w:rsid w:val="009C4021"/>
    <w:rsid w:val="009C7678"/>
    <w:rsid w:val="009C7811"/>
    <w:rsid w:val="009D0124"/>
    <w:rsid w:val="009D05BD"/>
    <w:rsid w:val="009D0EDD"/>
    <w:rsid w:val="009D1A20"/>
    <w:rsid w:val="009D3023"/>
    <w:rsid w:val="009D5925"/>
    <w:rsid w:val="009D5CD1"/>
    <w:rsid w:val="009D646C"/>
    <w:rsid w:val="009D7B92"/>
    <w:rsid w:val="009E1096"/>
    <w:rsid w:val="009E276D"/>
    <w:rsid w:val="009E29EB"/>
    <w:rsid w:val="009E763F"/>
    <w:rsid w:val="009E7E67"/>
    <w:rsid w:val="009F134B"/>
    <w:rsid w:val="009F2D25"/>
    <w:rsid w:val="009F2D4B"/>
    <w:rsid w:val="009F3975"/>
    <w:rsid w:val="009F3C63"/>
    <w:rsid w:val="009F4C3C"/>
    <w:rsid w:val="009F5377"/>
    <w:rsid w:val="009F779D"/>
    <w:rsid w:val="00A0215A"/>
    <w:rsid w:val="00A04216"/>
    <w:rsid w:val="00A0628C"/>
    <w:rsid w:val="00A062E3"/>
    <w:rsid w:val="00A06FB6"/>
    <w:rsid w:val="00A0781D"/>
    <w:rsid w:val="00A11062"/>
    <w:rsid w:val="00A11077"/>
    <w:rsid w:val="00A11BC4"/>
    <w:rsid w:val="00A12ABE"/>
    <w:rsid w:val="00A12CEC"/>
    <w:rsid w:val="00A13F48"/>
    <w:rsid w:val="00A14B05"/>
    <w:rsid w:val="00A1549B"/>
    <w:rsid w:val="00A157DE"/>
    <w:rsid w:val="00A21B9A"/>
    <w:rsid w:val="00A231B4"/>
    <w:rsid w:val="00A25865"/>
    <w:rsid w:val="00A266D9"/>
    <w:rsid w:val="00A2672B"/>
    <w:rsid w:val="00A268A9"/>
    <w:rsid w:val="00A26A37"/>
    <w:rsid w:val="00A30741"/>
    <w:rsid w:val="00A3100D"/>
    <w:rsid w:val="00A3122D"/>
    <w:rsid w:val="00A323D0"/>
    <w:rsid w:val="00A36E26"/>
    <w:rsid w:val="00A37860"/>
    <w:rsid w:val="00A405C9"/>
    <w:rsid w:val="00A40FC0"/>
    <w:rsid w:val="00A439AB"/>
    <w:rsid w:val="00A443EC"/>
    <w:rsid w:val="00A4457B"/>
    <w:rsid w:val="00A4650F"/>
    <w:rsid w:val="00A46AA0"/>
    <w:rsid w:val="00A479C1"/>
    <w:rsid w:val="00A501BF"/>
    <w:rsid w:val="00A52B1F"/>
    <w:rsid w:val="00A53ED2"/>
    <w:rsid w:val="00A5448B"/>
    <w:rsid w:val="00A547EF"/>
    <w:rsid w:val="00A55059"/>
    <w:rsid w:val="00A5546D"/>
    <w:rsid w:val="00A56572"/>
    <w:rsid w:val="00A56C64"/>
    <w:rsid w:val="00A60089"/>
    <w:rsid w:val="00A60C82"/>
    <w:rsid w:val="00A6133E"/>
    <w:rsid w:val="00A624C7"/>
    <w:rsid w:val="00A63914"/>
    <w:rsid w:val="00A63B08"/>
    <w:rsid w:val="00A64057"/>
    <w:rsid w:val="00A650A4"/>
    <w:rsid w:val="00A66F98"/>
    <w:rsid w:val="00A672F3"/>
    <w:rsid w:val="00A7070B"/>
    <w:rsid w:val="00A70C41"/>
    <w:rsid w:val="00A71AA8"/>
    <w:rsid w:val="00A726C9"/>
    <w:rsid w:val="00A73034"/>
    <w:rsid w:val="00A741D5"/>
    <w:rsid w:val="00A768D9"/>
    <w:rsid w:val="00A76B30"/>
    <w:rsid w:val="00A7727E"/>
    <w:rsid w:val="00A77414"/>
    <w:rsid w:val="00A80BFB"/>
    <w:rsid w:val="00A80F4A"/>
    <w:rsid w:val="00A81FAF"/>
    <w:rsid w:val="00A84EB7"/>
    <w:rsid w:val="00A850AF"/>
    <w:rsid w:val="00A86031"/>
    <w:rsid w:val="00A92816"/>
    <w:rsid w:val="00A92C05"/>
    <w:rsid w:val="00A93708"/>
    <w:rsid w:val="00A9476F"/>
    <w:rsid w:val="00A94D5C"/>
    <w:rsid w:val="00A97B4B"/>
    <w:rsid w:val="00AA2D63"/>
    <w:rsid w:val="00AA467E"/>
    <w:rsid w:val="00AA4910"/>
    <w:rsid w:val="00AA499F"/>
    <w:rsid w:val="00AA5AB6"/>
    <w:rsid w:val="00AA6342"/>
    <w:rsid w:val="00AA7085"/>
    <w:rsid w:val="00AA7E77"/>
    <w:rsid w:val="00AB01E9"/>
    <w:rsid w:val="00AB0428"/>
    <w:rsid w:val="00AB09B4"/>
    <w:rsid w:val="00AB0E1B"/>
    <w:rsid w:val="00AB23C9"/>
    <w:rsid w:val="00AB2FF2"/>
    <w:rsid w:val="00AB6212"/>
    <w:rsid w:val="00AB6E7E"/>
    <w:rsid w:val="00AC0269"/>
    <w:rsid w:val="00AC0DB6"/>
    <w:rsid w:val="00AC1163"/>
    <w:rsid w:val="00AC1514"/>
    <w:rsid w:val="00AC16DB"/>
    <w:rsid w:val="00AC2858"/>
    <w:rsid w:val="00AC35B6"/>
    <w:rsid w:val="00AC42C6"/>
    <w:rsid w:val="00AC49CC"/>
    <w:rsid w:val="00AC52ED"/>
    <w:rsid w:val="00AC5B8D"/>
    <w:rsid w:val="00AC5CE9"/>
    <w:rsid w:val="00AC66EE"/>
    <w:rsid w:val="00AC6EEC"/>
    <w:rsid w:val="00AC7D00"/>
    <w:rsid w:val="00AD097D"/>
    <w:rsid w:val="00AD0A40"/>
    <w:rsid w:val="00AD1B5E"/>
    <w:rsid w:val="00AD1CFF"/>
    <w:rsid w:val="00AD211E"/>
    <w:rsid w:val="00AD228E"/>
    <w:rsid w:val="00AD25CF"/>
    <w:rsid w:val="00AD3DF3"/>
    <w:rsid w:val="00AD4573"/>
    <w:rsid w:val="00AD60C2"/>
    <w:rsid w:val="00AD6824"/>
    <w:rsid w:val="00AD75AE"/>
    <w:rsid w:val="00AE072D"/>
    <w:rsid w:val="00AE0E63"/>
    <w:rsid w:val="00AE1322"/>
    <w:rsid w:val="00AE2330"/>
    <w:rsid w:val="00AE26D7"/>
    <w:rsid w:val="00AE6743"/>
    <w:rsid w:val="00AE6AE7"/>
    <w:rsid w:val="00AE6D25"/>
    <w:rsid w:val="00AF0A17"/>
    <w:rsid w:val="00AF1571"/>
    <w:rsid w:val="00AF17F7"/>
    <w:rsid w:val="00AF251C"/>
    <w:rsid w:val="00AF309E"/>
    <w:rsid w:val="00AF3A3E"/>
    <w:rsid w:val="00AF3A4A"/>
    <w:rsid w:val="00AF4CA4"/>
    <w:rsid w:val="00AF52E8"/>
    <w:rsid w:val="00B00CD5"/>
    <w:rsid w:val="00B00DA3"/>
    <w:rsid w:val="00B012D0"/>
    <w:rsid w:val="00B035FE"/>
    <w:rsid w:val="00B0453D"/>
    <w:rsid w:val="00B04B84"/>
    <w:rsid w:val="00B04C4E"/>
    <w:rsid w:val="00B05271"/>
    <w:rsid w:val="00B05F80"/>
    <w:rsid w:val="00B06E21"/>
    <w:rsid w:val="00B06F73"/>
    <w:rsid w:val="00B07A9B"/>
    <w:rsid w:val="00B106CE"/>
    <w:rsid w:val="00B114BE"/>
    <w:rsid w:val="00B11AFE"/>
    <w:rsid w:val="00B1342C"/>
    <w:rsid w:val="00B141BE"/>
    <w:rsid w:val="00B15164"/>
    <w:rsid w:val="00B16551"/>
    <w:rsid w:val="00B165D7"/>
    <w:rsid w:val="00B20306"/>
    <w:rsid w:val="00B233E7"/>
    <w:rsid w:val="00B247CB"/>
    <w:rsid w:val="00B254C3"/>
    <w:rsid w:val="00B25512"/>
    <w:rsid w:val="00B25A9A"/>
    <w:rsid w:val="00B25D7A"/>
    <w:rsid w:val="00B312EF"/>
    <w:rsid w:val="00B325C3"/>
    <w:rsid w:val="00B3269A"/>
    <w:rsid w:val="00B32793"/>
    <w:rsid w:val="00B33355"/>
    <w:rsid w:val="00B33FE6"/>
    <w:rsid w:val="00B3467E"/>
    <w:rsid w:val="00B34E49"/>
    <w:rsid w:val="00B367D9"/>
    <w:rsid w:val="00B373FE"/>
    <w:rsid w:val="00B40161"/>
    <w:rsid w:val="00B43BDE"/>
    <w:rsid w:val="00B45465"/>
    <w:rsid w:val="00B457B2"/>
    <w:rsid w:val="00B469B3"/>
    <w:rsid w:val="00B50B25"/>
    <w:rsid w:val="00B5147D"/>
    <w:rsid w:val="00B51BBA"/>
    <w:rsid w:val="00B53857"/>
    <w:rsid w:val="00B543AF"/>
    <w:rsid w:val="00B551C3"/>
    <w:rsid w:val="00B5543A"/>
    <w:rsid w:val="00B55E4B"/>
    <w:rsid w:val="00B56667"/>
    <w:rsid w:val="00B56D62"/>
    <w:rsid w:val="00B62C57"/>
    <w:rsid w:val="00B63142"/>
    <w:rsid w:val="00B63C45"/>
    <w:rsid w:val="00B64E86"/>
    <w:rsid w:val="00B667B9"/>
    <w:rsid w:val="00B67873"/>
    <w:rsid w:val="00B70D7C"/>
    <w:rsid w:val="00B70DD0"/>
    <w:rsid w:val="00B720D0"/>
    <w:rsid w:val="00B72D5B"/>
    <w:rsid w:val="00B759E8"/>
    <w:rsid w:val="00B778E6"/>
    <w:rsid w:val="00B77A56"/>
    <w:rsid w:val="00B81716"/>
    <w:rsid w:val="00B84B44"/>
    <w:rsid w:val="00B85B55"/>
    <w:rsid w:val="00B86097"/>
    <w:rsid w:val="00B87579"/>
    <w:rsid w:val="00B8777F"/>
    <w:rsid w:val="00B91E05"/>
    <w:rsid w:val="00B937B0"/>
    <w:rsid w:val="00B969EC"/>
    <w:rsid w:val="00B97185"/>
    <w:rsid w:val="00BA047C"/>
    <w:rsid w:val="00BA3084"/>
    <w:rsid w:val="00BA3C37"/>
    <w:rsid w:val="00BA46D5"/>
    <w:rsid w:val="00BA539C"/>
    <w:rsid w:val="00BA75BA"/>
    <w:rsid w:val="00BB00BC"/>
    <w:rsid w:val="00BB0194"/>
    <w:rsid w:val="00BB0417"/>
    <w:rsid w:val="00BB0612"/>
    <w:rsid w:val="00BB08E9"/>
    <w:rsid w:val="00BB1596"/>
    <w:rsid w:val="00BB398D"/>
    <w:rsid w:val="00BB4ABA"/>
    <w:rsid w:val="00BB4E4A"/>
    <w:rsid w:val="00BB563E"/>
    <w:rsid w:val="00BB5C2F"/>
    <w:rsid w:val="00BB6821"/>
    <w:rsid w:val="00BB6A83"/>
    <w:rsid w:val="00BC10BB"/>
    <w:rsid w:val="00BC1EF2"/>
    <w:rsid w:val="00BC24E0"/>
    <w:rsid w:val="00BC2E4D"/>
    <w:rsid w:val="00BC3122"/>
    <w:rsid w:val="00BC31D0"/>
    <w:rsid w:val="00BC34BE"/>
    <w:rsid w:val="00BC49B5"/>
    <w:rsid w:val="00BC55AB"/>
    <w:rsid w:val="00BD1974"/>
    <w:rsid w:val="00BD1DCA"/>
    <w:rsid w:val="00BD3F89"/>
    <w:rsid w:val="00BD57E1"/>
    <w:rsid w:val="00BD6093"/>
    <w:rsid w:val="00BD60EE"/>
    <w:rsid w:val="00BD77A7"/>
    <w:rsid w:val="00BD7D9E"/>
    <w:rsid w:val="00BE1147"/>
    <w:rsid w:val="00BE1627"/>
    <w:rsid w:val="00BE1F1D"/>
    <w:rsid w:val="00BE4054"/>
    <w:rsid w:val="00BE4201"/>
    <w:rsid w:val="00BE5AF1"/>
    <w:rsid w:val="00BE6B98"/>
    <w:rsid w:val="00BE7879"/>
    <w:rsid w:val="00BF0372"/>
    <w:rsid w:val="00BF0467"/>
    <w:rsid w:val="00BF06E7"/>
    <w:rsid w:val="00BF15E0"/>
    <w:rsid w:val="00BF257A"/>
    <w:rsid w:val="00BF2B88"/>
    <w:rsid w:val="00BF3025"/>
    <w:rsid w:val="00BF350F"/>
    <w:rsid w:val="00BF43C3"/>
    <w:rsid w:val="00BF4B23"/>
    <w:rsid w:val="00BF5B28"/>
    <w:rsid w:val="00BF6AF2"/>
    <w:rsid w:val="00BF6DDE"/>
    <w:rsid w:val="00BF6FFF"/>
    <w:rsid w:val="00BF7611"/>
    <w:rsid w:val="00BF7A48"/>
    <w:rsid w:val="00C00133"/>
    <w:rsid w:val="00C0076C"/>
    <w:rsid w:val="00C00D1B"/>
    <w:rsid w:val="00C00E87"/>
    <w:rsid w:val="00C021B1"/>
    <w:rsid w:val="00C03858"/>
    <w:rsid w:val="00C03AF4"/>
    <w:rsid w:val="00C0555D"/>
    <w:rsid w:val="00C072D0"/>
    <w:rsid w:val="00C07FC4"/>
    <w:rsid w:val="00C110CD"/>
    <w:rsid w:val="00C12799"/>
    <w:rsid w:val="00C1578A"/>
    <w:rsid w:val="00C15992"/>
    <w:rsid w:val="00C15E2B"/>
    <w:rsid w:val="00C16308"/>
    <w:rsid w:val="00C16B27"/>
    <w:rsid w:val="00C16DD9"/>
    <w:rsid w:val="00C17956"/>
    <w:rsid w:val="00C218BC"/>
    <w:rsid w:val="00C21A1F"/>
    <w:rsid w:val="00C23FF8"/>
    <w:rsid w:val="00C26AE2"/>
    <w:rsid w:val="00C3024E"/>
    <w:rsid w:val="00C30DC1"/>
    <w:rsid w:val="00C3197C"/>
    <w:rsid w:val="00C3212D"/>
    <w:rsid w:val="00C3296F"/>
    <w:rsid w:val="00C3351E"/>
    <w:rsid w:val="00C33AFE"/>
    <w:rsid w:val="00C3717B"/>
    <w:rsid w:val="00C37C72"/>
    <w:rsid w:val="00C40E45"/>
    <w:rsid w:val="00C419AD"/>
    <w:rsid w:val="00C41EC6"/>
    <w:rsid w:val="00C42EE1"/>
    <w:rsid w:val="00C45153"/>
    <w:rsid w:val="00C45406"/>
    <w:rsid w:val="00C45D83"/>
    <w:rsid w:val="00C46FB2"/>
    <w:rsid w:val="00C47456"/>
    <w:rsid w:val="00C50666"/>
    <w:rsid w:val="00C52B93"/>
    <w:rsid w:val="00C534BB"/>
    <w:rsid w:val="00C553F1"/>
    <w:rsid w:val="00C55BC5"/>
    <w:rsid w:val="00C5608E"/>
    <w:rsid w:val="00C5703B"/>
    <w:rsid w:val="00C575AB"/>
    <w:rsid w:val="00C604F5"/>
    <w:rsid w:val="00C60D44"/>
    <w:rsid w:val="00C629AB"/>
    <w:rsid w:val="00C62D79"/>
    <w:rsid w:val="00C62F0F"/>
    <w:rsid w:val="00C64AE9"/>
    <w:rsid w:val="00C651D3"/>
    <w:rsid w:val="00C707C6"/>
    <w:rsid w:val="00C713E3"/>
    <w:rsid w:val="00C7242A"/>
    <w:rsid w:val="00C73867"/>
    <w:rsid w:val="00C74001"/>
    <w:rsid w:val="00C74072"/>
    <w:rsid w:val="00C74E83"/>
    <w:rsid w:val="00C75397"/>
    <w:rsid w:val="00C75BA5"/>
    <w:rsid w:val="00C77655"/>
    <w:rsid w:val="00C808F4"/>
    <w:rsid w:val="00C8305C"/>
    <w:rsid w:val="00C83A08"/>
    <w:rsid w:val="00C83C32"/>
    <w:rsid w:val="00C844DF"/>
    <w:rsid w:val="00C86C50"/>
    <w:rsid w:val="00C871CC"/>
    <w:rsid w:val="00C907DC"/>
    <w:rsid w:val="00C91676"/>
    <w:rsid w:val="00C944FD"/>
    <w:rsid w:val="00C94E88"/>
    <w:rsid w:val="00C9677C"/>
    <w:rsid w:val="00C96B97"/>
    <w:rsid w:val="00C96C0C"/>
    <w:rsid w:val="00C96DE9"/>
    <w:rsid w:val="00C97A85"/>
    <w:rsid w:val="00C97BA0"/>
    <w:rsid w:val="00CA243C"/>
    <w:rsid w:val="00CA40F4"/>
    <w:rsid w:val="00CA79C9"/>
    <w:rsid w:val="00CB027C"/>
    <w:rsid w:val="00CB0473"/>
    <w:rsid w:val="00CB0F25"/>
    <w:rsid w:val="00CB1099"/>
    <w:rsid w:val="00CB2F6F"/>
    <w:rsid w:val="00CB4045"/>
    <w:rsid w:val="00CB4D17"/>
    <w:rsid w:val="00CB52D5"/>
    <w:rsid w:val="00CB539B"/>
    <w:rsid w:val="00CB68F1"/>
    <w:rsid w:val="00CB6DA0"/>
    <w:rsid w:val="00CC024B"/>
    <w:rsid w:val="00CC1003"/>
    <w:rsid w:val="00CC1BE9"/>
    <w:rsid w:val="00CC1C2A"/>
    <w:rsid w:val="00CC36C4"/>
    <w:rsid w:val="00CC4070"/>
    <w:rsid w:val="00CC4A46"/>
    <w:rsid w:val="00CC4E8E"/>
    <w:rsid w:val="00CC7962"/>
    <w:rsid w:val="00CD384B"/>
    <w:rsid w:val="00CD3BA4"/>
    <w:rsid w:val="00CD3CE6"/>
    <w:rsid w:val="00CD724F"/>
    <w:rsid w:val="00CE13B8"/>
    <w:rsid w:val="00CE2031"/>
    <w:rsid w:val="00CE3078"/>
    <w:rsid w:val="00CE41C3"/>
    <w:rsid w:val="00CE4252"/>
    <w:rsid w:val="00CE4F24"/>
    <w:rsid w:val="00CE5E3F"/>
    <w:rsid w:val="00CE6000"/>
    <w:rsid w:val="00CE656B"/>
    <w:rsid w:val="00CF1673"/>
    <w:rsid w:val="00CF4648"/>
    <w:rsid w:val="00CF5442"/>
    <w:rsid w:val="00D00602"/>
    <w:rsid w:val="00D01719"/>
    <w:rsid w:val="00D04051"/>
    <w:rsid w:val="00D05DD0"/>
    <w:rsid w:val="00D0664B"/>
    <w:rsid w:val="00D11401"/>
    <w:rsid w:val="00D11EB0"/>
    <w:rsid w:val="00D127E5"/>
    <w:rsid w:val="00D13CD1"/>
    <w:rsid w:val="00D143B3"/>
    <w:rsid w:val="00D1506C"/>
    <w:rsid w:val="00D1682F"/>
    <w:rsid w:val="00D20216"/>
    <w:rsid w:val="00D204FB"/>
    <w:rsid w:val="00D20D20"/>
    <w:rsid w:val="00D212BC"/>
    <w:rsid w:val="00D22E56"/>
    <w:rsid w:val="00D24FD0"/>
    <w:rsid w:val="00D26C4F"/>
    <w:rsid w:val="00D27C00"/>
    <w:rsid w:val="00D30332"/>
    <w:rsid w:val="00D30DE2"/>
    <w:rsid w:val="00D34528"/>
    <w:rsid w:val="00D36023"/>
    <w:rsid w:val="00D36773"/>
    <w:rsid w:val="00D36EFD"/>
    <w:rsid w:val="00D3773B"/>
    <w:rsid w:val="00D406BA"/>
    <w:rsid w:val="00D43322"/>
    <w:rsid w:val="00D44101"/>
    <w:rsid w:val="00D4413D"/>
    <w:rsid w:val="00D444B1"/>
    <w:rsid w:val="00D44723"/>
    <w:rsid w:val="00D454F0"/>
    <w:rsid w:val="00D4554E"/>
    <w:rsid w:val="00D462FF"/>
    <w:rsid w:val="00D46C64"/>
    <w:rsid w:val="00D472C6"/>
    <w:rsid w:val="00D47EEA"/>
    <w:rsid w:val="00D51382"/>
    <w:rsid w:val="00D5214A"/>
    <w:rsid w:val="00D52830"/>
    <w:rsid w:val="00D54B77"/>
    <w:rsid w:val="00D55AC4"/>
    <w:rsid w:val="00D61AA1"/>
    <w:rsid w:val="00D62880"/>
    <w:rsid w:val="00D62DFB"/>
    <w:rsid w:val="00D64067"/>
    <w:rsid w:val="00D65A07"/>
    <w:rsid w:val="00D65DD0"/>
    <w:rsid w:val="00D66778"/>
    <w:rsid w:val="00D66AFA"/>
    <w:rsid w:val="00D711FB"/>
    <w:rsid w:val="00D72545"/>
    <w:rsid w:val="00D74A70"/>
    <w:rsid w:val="00D74C9C"/>
    <w:rsid w:val="00D7648F"/>
    <w:rsid w:val="00D827D3"/>
    <w:rsid w:val="00D83ECA"/>
    <w:rsid w:val="00D867D1"/>
    <w:rsid w:val="00D8687D"/>
    <w:rsid w:val="00D90566"/>
    <w:rsid w:val="00D925F2"/>
    <w:rsid w:val="00D932F7"/>
    <w:rsid w:val="00D93CA4"/>
    <w:rsid w:val="00D947FA"/>
    <w:rsid w:val="00D95236"/>
    <w:rsid w:val="00D95A13"/>
    <w:rsid w:val="00D95CE4"/>
    <w:rsid w:val="00D97741"/>
    <w:rsid w:val="00D979A2"/>
    <w:rsid w:val="00DA33FD"/>
    <w:rsid w:val="00DA41E7"/>
    <w:rsid w:val="00DA57F0"/>
    <w:rsid w:val="00DB2143"/>
    <w:rsid w:val="00DB251C"/>
    <w:rsid w:val="00DB2FA6"/>
    <w:rsid w:val="00DB52D8"/>
    <w:rsid w:val="00DB69A3"/>
    <w:rsid w:val="00DC4A34"/>
    <w:rsid w:val="00DC4B98"/>
    <w:rsid w:val="00DC5C28"/>
    <w:rsid w:val="00DC5F7E"/>
    <w:rsid w:val="00DC752B"/>
    <w:rsid w:val="00DD0199"/>
    <w:rsid w:val="00DD0593"/>
    <w:rsid w:val="00DD1158"/>
    <w:rsid w:val="00DD2558"/>
    <w:rsid w:val="00DD2760"/>
    <w:rsid w:val="00DD5189"/>
    <w:rsid w:val="00DD5723"/>
    <w:rsid w:val="00DD6BD8"/>
    <w:rsid w:val="00DD6CED"/>
    <w:rsid w:val="00DD71F0"/>
    <w:rsid w:val="00DD786F"/>
    <w:rsid w:val="00DE1BA9"/>
    <w:rsid w:val="00DE2592"/>
    <w:rsid w:val="00DE2B32"/>
    <w:rsid w:val="00DE3130"/>
    <w:rsid w:val="00DE343F"/>
    <w:rsid w:val="00DE3BE6"/>
    <w:rsid w:val="00DE639C"/>
    <w:rsid w:val="00DE6D96"/>
    <w:rsid w:val="00DE7293"/>
    <w:rsid w:val="00DE7AFA"/>
    <w:rsid w:val="00DF10BF"/>
    <w:rsid w:val="00DF4295"/>
    <w:rsid w:val="00DF4A7B"/>
    <w:rsid w:val="00E00AF5"/>
    <w:rsid w:val="00E02CCD"/>
    <w:rsid w:val="00E0359E"/>
    <w:rsid w:val="00E038A1"/>
    <w:rsid w:val="00E03E5D"/>
    <w:rsid w:val="00E048C8"/>
    <w:rsid w:val="00E04D61"/>
    <w:rsid w:val="00E04D8E"/>
    <w:rsid w:val="00E0780B"/>
    <w:rsid w:val="00E10E4B"/>
    <w:rsid w:val="00E1117A"/>
    <w:rsid w:val="00E11507"/>
    <w:rsid w:val="00E1208E"/>
    <w:rsid w:val="00E12991"/>
    <w:rsid w:val="00E134CC"/>
    <w:rsid w:val="00E135DA"/>
    <w:rsid w:val="00E1362A"/>
    <w:rsid w:val="00E13799"/>
    <w:rsid w:val="00E138BA"/>
    <w:rsid w:val="00E172C7"/>
    <w:rsid w:val="00E17DF0"/>
    <w:rsid w:val="00E2001D"/>
    <w:rsid w:val="00E234BE"/>
    <w:rsid w:val="00E255A5"/>
    <w:rsid w:val="00E25CF6"/>
    <w:rsid w:val="00E2651C"/>
    <w:rsid w:val="00E2682D"/>
    <w:rsid w:val="00E30D2B"/>
    <w:rsid w:val="00E3125F"/>
    <w:rsid w:val="00E31C0C"/>
    <w:rsid w:val="00E31F4D"/>
    <w:rsid w:val="00E32A00"/>
    <w:rsid w:val="00E32BD5"/>
    <w:rsid w:val="00E342AE"/>
    <w:rsid w:val="00E351D1"/>
    <w:rsid w:val="00E40277"/>
    <w:rsid w:val="00E41003"/>
    <w:rsid w:val="00E4223F"/>
    <w:rsid w:val="00E43E2A"/>
    <w:rsid w:val="00E43E8E"/>
    <w:rsid w:val="00E473C4"/>
    <w:rsid w:val="00E50280"/>
    <w:rsid w:val="00E5032E"/>
    <w:rsid w:val="00E5065F"/>
    <w:rsid w:val="00E53466"/>
    <w:rsid w:val="00E55221"/>
    <w:rsid w:val="00E559D1"/>
    <w:rsid w:val="00E561F6"/>
    <w:rsid w:val="00E61057"/>
    <w:rsid w:val="00E61118"/>
    <w:rsid w:val="00E61996"/>
    <w:rsid w:val="00E63949"/>
    <w:rsid w:val="00E642D2"/>
    <w:rsid w:val="00E64A6A"/>
    <w:rsid w:val="00E6563B"/>
    <w:rsid w:val="00E6699A"/>
    <w:rsid w:val="00E677F7"/>
    <w:rsid w:val="00E67C6D"/>
    <w:rsid w:val="00E711E1"/>
    <w:rsid w:val="00E722ED"/>
    <w:rsid w:val="00E72459"/>
    <w:rsid w:val="00E73D66"/>
    <w:rsid w:val="00E7534D"/>
    <w:rsid w:val="00E77103"/>
    <w:rsid w:val="00E77405"/>
    <w:rsid w:val="00E822AD"/>
    <w:rsid w:val="00E831AB"/>
    <w:rsid w:val="00E8363E"/>
    <w:rsid w:val="00E854F6"/>
    <w:rsid w:val="00E85F3E"/>
    <w:rsid w:val="00E87441"/>
    <w:rsid w:val="00E90AB7"/>
    <w:rsid w:val="00E90BC1"/>
    <w:rsid w:val="00E91085"/>
    <w:rsid w:val="00E91A1E"/>
    <w:rsid w:val="00E92CB5"/>
    <w:rsid w:val="00E93AD6"/>
    <w:rsid w:val="00E945EE"/>
    <w:rsid w:val="00E95ABF"/>
    <w:rsid w:val="00E96280"/>
    <w:rsid w:val="00E965A3"/>
    <w:rsid w:val="00E97803"/>
    <w:rsid w:val="00E97CB5"/>
    <w:rsid w:val="00EA04EE"/>
    <w:rsid w:val="00EA0A49"/>
    <w:rsid w:val="00EA23DF"/>
    <w:rsid w:val="00EA242A"/>
    <w:rsid w:val="00EA3981"/>
    <w:rsid w:val="00EA73B6"/>
    <w:rsid w:val="00EA7F90"/>
    <w:rsid w:val="00EB0B1D"/>
    <w:rsid w:val="00EB0FCE"/>
    <w:rsid w:val="00EB2F60"/>
    <w:rsid w:val="00EB4249"/>
    <w:rsid w:val="00EB49C7"/>
    <w:rsid w:val="00EB56B3"/>
    <w:rsid w:val="00EB62EE"/>
    <w:rsid w:val="00EB71CA"/>
    <w:rsid w:val="00EC105E"/>
    <w:rsid w:val="00EC21EA"/>
    <w:rsid w:val="00EC26E5"/>
    <w:rsid w:val="00EC484C"/>
    <w:rsid w:val="00EC492B"/>
    <w:rsid w:val="00EC55B1"/>
    <w:rsid w:val="00EC5ADA"/>
    <w:rsid w:val="00EC7582"/>
    <w:rsid w:val="00EC7594"/>
    <w:rsid w:val="00ED0435"/>
    <w:rsid w:val="00ED21EB"/>
    <w:rsid w:val="00ED2672"/>
    <w:rsid w:val="00ED3421"/>
    <w:rsid w:val="00ED365F"/>
    <w:rsid w:val="00ED61C7"/>
    <w:rsid w:val="00ED69D1"/>
    <w:rsid w:val="00ED6E8C"/>
    <w:rsid w:val="00EE1286"/>
    <w:rsid w:val="00EE2639"/>
    <w:rsid w:val="00EE4BB5"/>
    <w:rsid w:val="00EE6360"/>
    <w:rsid w:val="00EE6871"/>
    <w:rsid w:val="00EE72D3"/>
    <w:rsid w:val="00EF0C76"/>
    <w:rsid w:val="00EF212A"/>
    <w:rsid w:val="00EF3F6F"/>
    <w:rsid w:val="00EF4E49"/>
    <w:rsid w:val="00EF70FE"/>
    <w:rsid w:val="00EF79FF"/>
    <w:rsid w:val="00F035F5"/>
    <w:rsid w:val="00F057A8"/>
    <w:rsid w:val="00F060E6"/>
    <w:rsid w:val="00F06FEA"/>
    <w:rsid w:val="00F071CB"/>
    <w:rsid w:val="00F076CE"/>
    <w:rsid w:val="00F104B1"/>
    <w:rsid w:val="00F104C1"/>
    <w:rsid w:val="00F1223A"/>
    <w:rsid w:val="00F130F2"/>
    <w:rsid w:val="00F137DB"/>
    <w:rsid w:val="00F13A8A"/>
    <w:rsid w:val="00F13AFB"/>
    <w:rsid w:val="00F14F1E"/>
    <w:rsid w:val="00F14F61"/>
    <w:rsid w:val="00F1505A"/>
    <w:rsid w:val="00F15325"/>
    <w:rsid w:val="00F15B40"/>
    <w:rsid w:val="00F16831"/>
    <w:rsid w:val="00F203B8"/>
    <w:rsid w:val="00F22297"/>
    <w:rsid w:val="00F225CB"/>
    <w:rsid w:val="00F238AC"/>
    <w:rsid w:val="00F24AB4"/>
    <w:rsid w:val="00F2550B"/>
    <w:rsid w:val="00F26BA9"/>
    <w:rsid w:val="00F305D5"/>
    <w:rsid w:val="00F30A21"/>
    <w:rsid w:val="00F32008"/>
    <w:rsid w:val="00F32C51"/>
    <w:rsid w:val="00F3388B"/>
    <w:rsid w:val="00F35BC6"/>
    <w:rsid w:val="00F35E76"/>
    <w:rsid w:val="00F3650D"/>
    <w:rsid w:val="00F36C89"/>
    <w:rsid w:val="00F372C8"/>
    <w:rsid w:val="00F40814"/>
    <w:rsid w:val="00F41E16"/>
    <w:rsid w:val="00F42AF3"/>
    <w:rsid w:val="00F42BA2"/>
    <w:rsid w:val="00F42E29"/>
    <w:rsid w:val="00F43724"/>
    <w:rsid w:val="00F472C6"/>
    <w:rsid w:val="00F4785C"/>
    <w:rsid w:val="00F47988"/>
    <w:rsid w:val="00F501DF"/>
    <w:rsid w:val="00F5031D"/>
    <w:rsid w:val="00F50408"/>
    <w:rsid w:val="00F50F37"/>
    <w:rsid w:val="00F51E2E"/>
    <w:rsid w:val="00F52D6E"/>
    <w:rsid w:val="00F53067"/>
    <w:rsid w:val="00F5396F"/>
    <w:rsid w:val="00F5417E"/>
    <w:rsid w:val="00F54558"/>
    <w:rsid w:val="00F55867"/>
    <w:rsid w:val="00F56D05"/>
    <w:rsid w:val="00F57BC5"/>
    <w:rsid w:val="00F611A6"/>
    <w:rsid w:val="00F62A31"/>
    <w:rsid w:val="00F636B7"/>
    <w:rsid w:val="00F63959"/>
    <w:rsid w:val="00F63D61"/>
    <w:rsid w:val="00F64A1D"/>
    <w:rsid w:val="00F656C3"/>
    <w:rsid w:val="00F66204"/>
    <w:rsid w:val="00F6647A"/>
    <w:rsid w:val="00F715F4"/>
    <w:rsid w:val="00F7271E"/>
    <w:rsid w:val="00F7312A"/>
    <w:rsid w:val="00F75B5D"/>
    <w:rsid w:val="00F7738A"/>
    <w:rsid w:val="00F800E7"/>
    <w:rsid w:val="00F80ED5"/>
    <w:rsid w:val="00F81542"/>
    <w:rsid w:val="00F82DCD"/>
    <w:rsid w:val="00F8694F"/>
    <w:rsid w:val="00F92598"/>
    <w:rsid w:val="00F929DA"/>
    <w:rsid w:val="00F93C5B"/>
    <w:rsid w:val="00F955FB"/>
    <w:rsid w:val="00F95AEB"/>
    <w:rsid w:val="00FA0A48"/>
    <w:rsid w:val="00FA1800"/>
    <w:rsid w:val="00FA1B20"/>
    <w:rsid w:val="00FA20AC"/>
    <w:rsid w:val="00FA32DA"/>
    <w:rsid w:val="00FA4238"/>
    <w:rsid w:val="00FA5F02"/>
    <w:rsid w:val="00FA6087"/>
    <w:rsid w:val="00FA61FA"/>
    <w:rsid w:val="00FA65DC"/>
    <w:rsid w:val="00FA67E9"/>
    <w:rsid w:val="00FA684D"/>
    <w:rsid w:val="00FA7B81"/>
    <w:rsid w:val="00FA7EF9"/>
    <w:rsid w:val="00FB0B08"/>
    <w:rsid w:val="00FB3886"/>
    <w:rsid w:val="00FB435F"/>
    <w:rsid w:val="00FB45DB"/>
    <w:rsid w:val="00FB4AB2"/>
    <w:rsid w:val="00FB4F35"/>
    <w:rsid w:val="00FB548D"/>
    <w:rsid w:val="00FB5C30"/>
    <w:rsid w:val="00FB5FCA"/>
    <w:rsid w:val="00FB60E3"/>
    <w:rsid w:val="00FC0469"/>
    <w:rsid w:val="00FC0998"/>
    <w:rsid w:val="00FC245D"/>
    <w:rsid w:val="00FC2DCE"/>
    <w:rsid w:val="00FC3CD3"/>
    <w:rsid w:val="00FC52C7"/>
    <w:rsid w:val="00FC604A"/>
    <w:rsid w:val="00FC7D00"/>
    <w:rsid w:val="00FD1B68"/>
    <w:rsid w:val="00FD2883"/>
    <w:rsid w:val="00FD45EA"/>
    <w:rsid w:val="00FD489B"/>
    <w:rsid w:val="00FD5A8B"/>
    <w:rsid w:val="00FD62BA"/>
    <w:rsid w:val="00FD6D4E"/>
    <w:rsid w:val="00FE1897"/>
    <w:rsid w:val="00FE2048"/>
    <w:rsid w:val="00FE3041"/>
    <w:rsid w:val="00FE349D"/>
    <w:rsid w:val="00FE466A"/>
    <w:rsid w:val="00FE48AB"/>
    <w:rsid w:val="00FE63CB"/>
    <w:rsid w:val="00FE6D05"/>
    <w:rsid w:val="00FE6DDC"/>
    <w:rsid w:val="00FE7AC5"/>
    <w:rsid w:val="00FE7B90"/>
    <w:rsid w:val="00FF18FB"/>
    <w:rsid w:val="00FF3A9B"/>
    <w:rsid w:val="00FF4CE2"/>
    <w:rsid w:val="010A32F0"/>
    <w:rsid w:val="01653C43"/>
    <w:rsid w:val="02107B5C"/>
    <w:rsid w:val="028C55DD"/>
    <w:rsid w:val="02D4312D"/>
    <w:rsid w:val="03666B5A"/>
    <w:rsid w:val="037C44AF"/>
    <w:rsid w:val="04372CA8"/>
    <w:rsid w:val="04425600"/>
    <w:rsid w:val="04601CA9"/>
    <w:rsid w:val="046F3736"/>
    <w:rsid w:val="057933F7"/>
    <w:rsid w:val="05B178E3"/>
    <w:rsid w:val="06011770"/>
    <w:rsid w:val="061331A3"/>
    <w:rsid w:val="072D1343"/>
    <w:rsid w:val="07C60F85"/>
    <w:rsid w:val="08482EC1"/>
    <w:rsid w:val="08525F08"/>
    <w:rsid w:val="0962402C"/>
    <w:rsid w:val="09BA5194"/>
    <w:rsid w:val="0A375B31"/>
    <w:rsid w:val="0C383023"/>
    <w:rsid w:val="0CFC48D1"/>
    <w:rsid w:val="0E2E3EEC"/>
    <w:rsid w:val="0E6F10BC"/>
    <w:rsid w:val="0F3F5408"/>
    <w:rsid w:val="0F6C228C"/>
    <w:rsid w:val="104F3C6E"/>
    <w:rsid w:val="1101153C"/>
    <w:rsid w:val="11511160"/>
    <w:rsid w:val="12504D05"/>
    <w:rsid w:val="13456EB3"/>
    <w:rsid w:val="142E5A78"/>
    <w:rsid w:val="159D03F5"/>
    <w:rsid w:val="15BD39A8"/>
    <w:rsid w:val="15BD7B36"/>
    <w:rsid w:val="16760333"/>
    <w:rsid w:val="16BC42DB"/>
    <w:rsid w:val="17314A2D"/>
    <w:rsid w:val="18BA7D50"/>
    <w:rsid w:val="1900173C"/>
    <w:rsid w:val="1919733A"/>
    <w:rsid w:val="194E79EE"/>
    <w:rsid w:val="19632314"/>
    <w:rsid w:val="197F60F8"/>
    <w:rsid w:val="1B466E13"/>
    <w:rsid w:val="1B7D3A59"/>
    <w:rsid w:val="1C07351B"/>
    <w:rsid w:val="1DE37A6B"/>
    <w:rsid w:val="1E4B21E5"/>
    <w:rsid w:val="1ECA0940"/>
    <w:rsid w:val="1EDC3AC2"/>
    <w:rsid w:val="20D153E2"/>
    <w:rsid w:val="21417BBB"/>
    <w:rsid w:val="218B28D6"/>
    <w:rsid w:val="226E48F4"/>
    <w:rsid w:val="22CC7306"/>
    <w:rsid w:val="23105431"/>
    <w:rsid w:val="233A69CA"/>
    <w:rsid w:val="23D5439F"/>
    <w:rsid w:val="240F1DF7"/>
    <w:rsid w:val="249B061C"/>
    <w:rsid w:val="254259F1"/>
    <w:rsid w:val="27261ABB"/>
    <w:rsid w:val="272E5593"/>
    <w:rsid w:val="27864EE7"/>
    <w:rsid w:val="286A44B4"/>
    <w:rsid w:val="294C2026"/>
    <w:rsid w:val="2B453DB1"/>
    <w:rsid w:val="2B8D2C6F"/>
    <w:rsid w:val="2BF27A28"/>
    <w:rsid w:val="2F2634F6"/>
    <w:rsid w:val="2F8111E1"/>
    <w:rsid w:val="2FA16275"/>
    <w:rsid w:val="301669ED"/>
    <w:rsid w:val="30E57AFE"/>
    <w:rsid w:val="30F93C52"/>
    <w:rsid w:val="314B5B2D"/>
    <w:rsid w:val="31AA76EF"/>
    <w:rsid w:val="31E97560"/>
    <w:rsid w:val="32202B8F"/>
    <w:rsid w:val="3312101D"/>
    <w:rsid w:val="333117AB"/>
    <w:rsid w:val="337D3B92"/>
    <w:rsid w:val="33F9467B"/>
    <w:rsid w:val="34A80487"/>
    <w:rsid w:val="34C440BC"/>
    <w:rsid w:val="34D9542F"/>
    <w:rsid w:val="354C51E4"/>
    <w:rsid w:val="35537C19"/>
    <w:rsid w:val="359A566F"/>
    <w:rsid w:val="36BA5AAE"/>
    <w:rsid w:val="375F4F50"/>
    <w:rsid w:val="37A94A71"/>
    <w:rsid w:val="387311A0"/>
    <w:rsid w:val="39057B3E"/>
    <w:rsid w:val="390B168F"/>
    <w:rsid w:val="3A4253AF"/>
    <w:rsid w:val="3ADF780E"/>
    <w:rsid w:val="3B31149A"/>
    <w:rsid w:val="3C7445C0"/>
    <w:rsid w:val="3C82303A"/>
    <w:rsid w:val="3CD2520D"/>
    <w:rsid w:val="3D2F3816"/>
    <w:rsid w:val="3D662619"/>
    <w:rsid w:val="3D6E0245"/>
    <w:rsid w:val="3E422702"/>
    <w:rsid w:val="3F2672E1"/>
    <w:rsid w:val="3F7A3757"/>
    <w:rsid w:val="3F833896"/>
    <w:rsid w:val="3FB7922A"/>
    <w:rsid w:val="4033757C"/>
    <w:rsid w:val="409A7415"/>
    <w:rsid w:val="4138409A"/>
    <w:rsid w:val="41C07489"/>
    <w:rsid w:val="424A433D"/>
    <w:rsid w:val="424B1882"/>
    <w:rsid w:val="443E2DB6"/>
    <w:rsid w:val="44DF5F29"/>
    <w:rsid w:val="450902BE"/>
    <w:rsid w:val="459F2980"/>
    <w:rsid w:val="46CB12A4"/>
    <w:rsid w:val="478F59E1"/>
    <w:rsid w:val="47D95A21"/>
    <w:rsid w:val="48360ECA"/>
    <w:rsid w:val="484B775B"/>
    <w:rsid w:val="488A7DA1"/>
    <w:rsid w:val="48CD6036"/>
    <w:rsid w:val="4998236C"/>
    <w:rsid w:val="4C6306E7"/>
    <w:rsid w:val="4D58305C"/>
    <w:rsid w:val="4DB07E00"/>
    <w:rsid w:val="4DB3157B"/>
    <w:rsid w:val="4F9667B6"/>
    <w:rsid w:val="4FA0479A"/>
    <w:rsid w:val="514C3B1D"/>
    <w:rsid w:val="521720FD"/>
    <w:rsid w:val="52E63773"/>
    <w:rsid w:val="531E6336"/>
    <w:rsid w:val="5376059B"/>
    <w:rsid w:val="5594029C"/>
    <w:rsid w:val="55952C3A"/>
    <w:rsid w:val="559B7A75"/>
    <w:rsid w:val="55DF6CC3"/>
    <w:rsid w:val="56105E40"/>
    <w:rsid w:val="567F61F6"/>
    <w:rsid w:val="57A25B5B"/>
    <w:rsid w:val="57AD6573"/>
    <w:rsid w:val="57B83170"/>
    <w:rsid w:val="592668D6"/>
    <w:rsid w:val="59583A76"/>
    <w:rsid w:val="59B0158A"/>
    <w:rsid w:val="5AFE5F45"/>
    <w:rsid w:val="5B687259"/>
    <w:rsid w:val="5BFC8D6F"/>
    <w:rsid w:val="5C056F97"/>
    <w:rsid w:val="5C136463"/>
    <w:rsid w:val="5C8502BE"/>
    <w:rsid w:val="5CCA2307"/>
    <w:rsid w:val="5F73441E"/>
    <w:rsid w:val="5FEB280C"/>
    <w:rsid w:val="5FFF02A6"/>
    <w:rsid w:val="60B562DB"/>
    <w:rsid w:val="617172A2"/>
    <w:rsid w:val="61863EF1"/>
    <w:rsid w:val="61A04B43"/>
    <w:rsid w:val="622950C7"/>
    <w:rsid w:val="64E2625D"/>
    <w:rsid w:val="64FB74FB"/>
    <w:rsid w:val="654E5281"/>
    <w:rsid w:val="65B55790"/>
    <w:rsid w:val="66BB1938"/>
    <w:rsid w:val="66DF5675"/>
    <w:rsid w:val="67695D70"/>
    <w:rsid w:val="67831843"/>
    <w:rsid w:val="67EE740C"/>
    <w:rsid w:val="68291780"/>
    <w:rsid w:val="684549BC"/>
    <w:rsid w:val="684B47D6"/>
    <w:rsid w:val="68AF3751"/>
    <w:rsid w:val="68C12039"/>
    <w:rsid w:val="698869DE"/>
    <w:rsid w:val="6B280551"/>
    <w:rsid w:val="6BC4437E"/>
    <w:rsid w:val="6BCA6218"/>
    <w:rsid w:val="6C231DEF"/>
    <w:rsid w:val="6D993991"/>
    <w:rsid w:val="6DEB2465"/>
    <w:rsid w:val="6E4305E1"/>
    <w:rsid w:val="6EF2562D"/>
    <w:rsid w:val="6F6860A6"/>
    <w:rsid w:val="724845BB"/>
    <w:rsid w:val="72490332"/>
    <w:rsid w:val="72585492"/>
    <w:rsid w:val="729F0C6B"/>
    <w:rsid w:val="72DC3BA4"/>
    <w:rsid w:val="732775D8"/>
    <w:rsid w:val="73BE4AFE"/>
    <w:rsid w:val="7511499B"/>
    <w:rsid w:val="755523CC"/>
    <w:rsid w:val="757E794D"/>
    <w:rsid w:val="762A164A"/>
    <w:rsid w:val="76736F89"/>
    <w:rsid w:val="77067579"/>
    <w:rsid w:val="77424F14"/>
    <w:rsid w:val="77C37461"/>
    <w:rsid w:val="77E46B9D"/>
    <w:rsid w:val="789B38C4"/>
    <w:rsid w:val="78CB66E0"/>
    <w:rsid w:val="78EE2E9F"/>
    <w:rsid w:val="7921037A"/>
    <w:rsid w:val="799A6677"/>
    <w:rsid w:val="7A6424D0"/>
    <w:rsid w:val="7A95479A"/>
    <w:rsid w:val="7B4F7EE5"/>
    <w:rsid w:val="7B6A44CF"/>
    <w:rsid w:val="7C6ED532"/>
    <w:rsid w:val="7CD922D0"/>
    <w:rsid w:val="7DAEFFE0"/>
    <w:rsid w:val="7E3BF063"/>
    <w:rsid w:val="7E4F6A09"/>
    <w:rsid w:val="7EDA4DF2"/>
    <w:rsid w:val="7EFFD11E"/>
    <w:rsid w:val="7FC39A57"/>
    <w:rsid w:val="7FD2736B"/>
    <w:rsid w:val="7FE91E78"/>
    <w:rsid w:val="7FFEDEC6"/>
    <w:rsid w:val="7FFF6C95"/>
    <w:rsid w:val="8FBBD163"/>
    <w:rsid w:val="9FDF0A61"/>
    <w:rsid w:val="A9D5702B"/>
    <w:rsid w:val="AD97424F"/>
    <w:rsid w:val="B87CE2AF"/>
    <w:rsid w:val="B8DF9ECB"/>
    <w:rsid w:val="BF3B21B6"/>
    <w:rsid w:val="DFF7791D"/>
    <w:rsid w:val="DFFB8774"/>
    <w:rsid w:val="DFFF85DA"/>
    <w:rsid w:val="E6F79D0A"/>
    <w:rsid w:val="EFEE3D89"/>
    <w:rsid w:val="F7CDCA7A"/>
    <w:rsid w:val="FB17DB0A"/>
    <w:rsid w:val="FEFFA06F"/>
    <w:rsid w:val="FF1FC5DE"/>
    <w:rsid w:val="FF7D6709"/>
    <w:rsid w:val="FFE747FE"/>
    <w:rsid w:val="FFFE033F"/>
    <w:rsid w:val="FFFF6F82"/>
    <w:rsid w:val="FFFFB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38"/>
    <w:qFormat/>
    <w:uiPriority w:val="0"/>
    <w:pPr>
      <w:autoSpaceDE w:val="0"/>
      <w:autoSpaceDN w:val="0"/>
      <w:adjustRightInd w:val="0"/>
      <w:ind w:left="964" w:hanging="504"/>
      <w:jc w:val="left"/>
      <w:outlineLvl w:val="2"/>
    </w:pPr>
    <w:rPr>
      <w:b/>
      <w:bCs/>
      <w:kern w:val="0"/>
      <w:sz w:val="28"/>
      <w:szCs w:val="28"/>
      <w:lang w:val="zh-CN"/>
    </w:rPr>
  </w:style>
  <w:style w:type="paragraph" w:styleId="6">
    <w:name w:val="heading 4"/>
    <w:basedOn w:val="1"/>
    <w:next w:val="1"/>
    <w:link w:val="39"/>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7">
    <w:name w:val="Normal Indent"/>
    <w:basedOn w:val="1"/>
    <w:link w:val="40"/>
    <w:qFormat/>
    <w:uiPriority w:val="0"/>
    <w:pPr>
      <w:ind w:firstLine="420" w:firstLineChars="200"/>
    </w:pPr>
    <w:rPr>
      <w:kern w:val="0"/>
      <w:sz w:val="20"/>
    </w:rPr>
  </w:style>
  <w:style w:type="paragraph" w:styleId="8">
    <w:name w:val="caption"/>
    <w:basedOn w:val="1"/>
    <w:next w:val="1"/>
    <w:qFormat/>
    <w:uiPriority w:val="35"/>
    <w:pPr>
      <w:spacing w:line="360" w:lineRule="auto"/>
      <w:ind w:firstLine="200" w:firstLineChars="200"/>
      <w:jc w:val="center"/>
    </w:pPr>
    <w:rPr>
      <w:rFonts w:ascii="Cambria" w:hAnsi="Cambria" w:cs="宋体"/>
      <w:b/>
      <w:szCs w:val="28"/>
    </w:rPr>
  </w:style>
  <w:style w:type="paragraph" w:styleId="9">
    <w:name w:val="annotation text"/>
    <w:basedOn w:val="1"/>
    <w:link w:val="41"/>
    <w:qFormat/>
    <w:uiPriority w:val="99"/>
    <w:pPr>
      <w:jc w:val="left"/>
    </w:pPr>
  </w:style>
  <w:style w:type="paragraph" w:styleId="10">
    <w:name w:val="Body Text"/>
    <w:basedOn w:val="1"/>
    <w:link w:val="42"/>
    <w:qFormat/>
    <w:uiPriority w:val="1"/>
    <w:pPr>
      <w:autoSpaceDE w:val="0"/>
      <w:autoSpaceDN w:val="0"/>
      <w:adjustRightInd w:val="0"/>
      <w:ind w:left="840" w:hanging="361"/>
      <w:jc w:val="left"/>
    </w:pPr>
    <w:rPr>
      <w:kern w:val="0"/>
      <w:sz w:val="24"/>
      <w:lang w:val="zh-CN"/>
    </w:rPr>
  </w:style>
  <w:style w:type="paragraph" w:styleId="11">
    <w:name w:val="toc 3"/>
    <w:basedOn w:val="1"/>
    <w:next w:val="1"/>
    <w:unhideWhenUsed/>
    <w:qFormat/>
    <w:uiPriority w:val="39"/>
    <w:pPr>
      <w:ind w:left="840" w:leftChars="400"/>
    </w:pPr>
  </w:style>
  <w:style w:type="paragraph" w:styleId="12">
    <w:name w:val="Plain Text"/>
    <w:basedOn w:val="1"/>
    <w:link w:val="43"/>
    <w:qFormat/>
    <w:uiPriority w:val="0"/>
    <w:rPr>
      <w:rFonts w:ascii="宋体" w:hAnsi="Courier New"/>
      <w:kern w:val="0"/>
      <w:sz w:val="20"/>
      <w:szCs w:val="21"/>
    </w:rPr>
  </w:style>
  <w:style w:type="paragraph" w:styleId="13">
    <w:name w:val="Date"/>
    <w:basedOn w:val="1"/>
    <w:next w:val="1"/>
    <w:link w:val="44"/>
    <w:qFormat/>
    <w:uiPriority w:val="0"/>
    <w:pPr>
      <w:ind w:left="100" w:leftChars="2500"/>
    </w:pPr>
  </w:style>
  <w:style w:type="paragraph" w:styleId="14">
    <w:name w:val="Balloon Text"/>
    <w:basedOn w:val="1"/>
    <w:link w:val="45"/>
    <w:qFormat/>
    <w:uiPriority w:val="99"/>
    <w:rPr>
      <w:sz w:val="18"/>
      <w:szCs w:val="18"/>
    </w:rPr>
  </w:style>
  <w:style w:type="paragraph" w:styleId="15">
    <w:name w:val="footer"/>
    <w:basedOn w:val="1"/>
    <w:link w:val="46"/>
    <w:qFormat/>
    <w:uiPriority w:val="99"/>
    <w:pPr>
      <w:tabs>
        <w:tab w:val="center" w:pos="4153"/>
        <w:tab w:val="right" w:pos="8306"/>
      </w:tabs>
      <w:snapToGrid w:val="0"/>
      <w:jc w:val="left"/>
    </w:pPr>
    <w:rPr>
      <w:sz w:val="18"/>
      <w:szCs w:val="18"/>
    </w:rPr>
  </w:style>
  <w:style w:type="paragraph" w:styleId="16">
    <w:name w:val="header"/>
    <w:basedOn w:val="1"/>
    <w:link w:val="47"/>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footnote text"/>
    <w:basedOn w:val="1"/>
    <w:link w:val="48"/>
    <w:unhideWhenUsed/>
    <w:qFormat/>
    <w:uiPriority w:val="99"/>
    <w:pPr>
      <w:snapToGrid w:val="0"/>
      <w:jc w:val="left"/>
    </w:pPr>
    <w:rPr>
      <w:sz w:val="18"/>
    </w:rPr>
  </w:style>
  <w:style w:type="paragraph" w:styleId="19">
    <w:name w:val="Normal (Web)"/>
    <w:basedOn w:val="1"/>
    <w:qFormat/>
    <w:uiPriority w:val="99"/>
    <w:pPr>
      <w:spacing w:before="42" w:after="42"/>
      <w:jc w:val="left"/>
    </w:pPr>
    <w:rPr>
      <w:kern w:val="0"/>
      <w:sz w:val="24"/>
    </w:rPr>
  </w:style>
  <w:style w:type="paragraph" w:styleId="20">
    <w:name w:val="Title"/>
    <w:basedOn w:val="1"/>
    <w:next w:val="1"/>
    <w:link w:val="49"/>
    <w:qFormat/>
    <w:uiPriority w:val="10"/>
    <w:pPr>
      <w:spacing w:before="240" w:after="60"/>
      <w:jc w:val="center"/>
      <w:outlineLvl w:val="0"/>
    </w:pPr>
    <w:rPr>
      <w:rFonts w:ascii="Cambria" w:hAnsi="Cambria"/>
      <w:b/>
      <w:bCs/>
      <w:sz w:val="32"/>
      <w:szCs w:val="32"/>
    </w:rPr>
  </w:style>
  <w:style w:type="paragraph" w:styleId="21">
    <w:name w:val="annotation subject"/>
    <w:basedOn w:val="9"/>
    <w:next w:val="9"/>
    <w:link w:val="50"/>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bCs/>
    </w:rPr>
  </w:style>
  <w:style w:type="character" w:styleId="26">
    <w:name w:val="page number"/>
    <w:qFormat/>
    <w:uiPriority w:val="0"/>
  </w:style>
  <w:style w:type="character" w:styleId="27">
    <w:name w:val="FollowedHyperlink"/>
    <w:qFormat/>
    <w:uiPriority w:val="0"/>
    <w:rPr>
      <w:color w:val="337AB7"/>
      <w:u w:val="none"/>
    </w:rPr>
  </w:style>
  <w:style w:type="character" w:styleId="28">
    <w:name w:val="line number"/>
    <w:qFormat/>
    <w:uiPriority w:val="0"/>
  </w:style>
  <w:style w:type="character" w:styleId="29">
    <w:name w:val="HTML Definition"/>
    <w:qFormat/>
    <w:uiPriority w:val="0"/>
    <w:rPr>
      <w:i/>
    </w:rPr>
  </w:style>
  <w:style w:type="character" w:styleId="30">
    <w:name w:val="Hyperlink"/>
    <w:qFormat/>
    <w:uiPriority w:val="99"/>
    <w:rPr>
      <w:color w:val="337AB7"/>
      <w:u w:val="none"/>
    </w:rPr>
  </w:style>
  <w:style w:type="character" w:styleId="31">
    <w:name w:val="HTML Code"/>
    <w:qFormat/>
    <w:uiPriority w:val="0"/>
    <w:rPr>
      <w:rFonts w:ascii="Consolas" w:hAnsi="Consolas" w:eastAsia="Consolas" w:cs="Consolas"/>
      <w:color w:val="C7254E"/>
      <w:sz w:val="21"/>
      <w:szCs w:val="21"/>
      <w:shd w:val="clear" w:color="auto" w:fill="F9F2F4"/>
    </w:rPr>
  </w:style>
  <w:style w:type="character" w:styleId="32">
    <w:name w:val="annotation reference"/>
    <w:qFormat/>
    <w:uiPriority w:val="99"/>
    <w:rPr>
      <w:sz w:val="21"/>
      <w:szCs w:val="21"/>
    </w:rPr>
  </w:style>
  <w:style w:type="character" w:styleId="33">
    <w:name w:val="footnote reference"/>
    <w:unhideWhenUsed/>
    <w:qFormat/>
    <w:uiPriority w:val="99"/>
    <w:rPr>
      <w:vertAlign w:val="superscript"/>
    </w:rPr>
  </w:style>
  <w:style w:type="character" w:styleId="34">
    <w:name w:val="HTML Keyboard"/>
    <w:qFormat/>
    <w:uiPriority w:val="0"/>
    <w:rPr>
      <w:rFonts w:hint="default" w:ascii="Consolas" w:hAnsi="Consolas" w:eastAsia="Consolas" w:cs="Consolas"/>
      <w:color w:val="FFFFFF"/>
      <w:sz w:val="21"/>
      <w:szCs w:val="21"/>
      <w:shd w:val="clear" w:color="auto" w:fill="333333"/>
    </w:rPr>
  </w:style>
  <w:style w:type="character" w:styleId="35">
    <w:name w:val="HTML Sample"/>
    <w:qFormat/>
    <w:uiPriority w:val="0"/>
    <w:rPr>
      <w:rFonts w:hint="default" w:ascii="Consolas" w:hAnsi="Consolas" w:eastAsia="Consolas" w:cs="Consolas"/>
      <w:sz w:val="21"/>
      <w:szCs w:val="21"/>
    </w:rPr>
  </w:style>
  <w:style w:type="character" w:customStyle="1" w:styleId="36">
    <w:name w:val="标题 1 字符"/>
    <w:link w:val="3"/>
    <w:qFormat/>
    <w:uiPriority w:val="9"/>
    <w:rPr>
      <w:b/>
      <w:bCs/>
      <w:kern w:val="44"/>
      <w:sz w:val="44"/>
      <w:szCs w:val="44"/>
    </w:rPr>
  </w:style>
  <w:style w:type="character" w:customStyle="1" w:styleId="37">
    <w:name w:val="标题 2 字符1"/>
    <w:link w:val="4"/>
    <w:semiHidden/>
    <w:qFormat/>
    <w:uiPriority w:val="0"/>
    <w:rPr>
      <w:rFonts w:ascii="等线 Light" w:hAnsi="等线 Light" w:eastAsia="等线 Light" w:cs="Times New Roman"/>
      <w:b/>
      <w:bCs/>
      <w:kern w:val="2"/>
      <w:sz w:val="32"/>
      <w:szCs w:val="32"/>
    </w:rPr>
  </w:style>
  <w:style w:type="character" w:customStyle="1" w:styleId="38">
    <w:name w:val="标题 3 字符"/>
    <w:link w:val="5"/>
    <w:qFormat/>
    <w:uiPriority w:val="0"/>
    <w:rPr>
      <w:b/>
      <w:bCs/>
      <w:sz w:val="28"/>
      <w:szCs w:val="28"/>
      <w:lang w:val="zh-CN"/>
    </w:rPr>
  </w:style>
  <w:style w:type="character" w:customStyle="1" w:styleId="39">
    <w:name w:val="标题 4 字符"/>
    <w:link w:val="6"/>
    <w:qFormat/>
    <w:uiPriority w:val="9"/>
    <w:rPr>
      <w:rFonts w:ascii="等线 Light" w:hAnsi="等线 Light" w:eastAsia="等线 Light" w:cs="Times New Roman"/>
      <w:b/>
      <w:bCs/>
      <w:kern w:val="2"/>
      <w:sz w:val="28"/>
      <w:szCs w:val="28"/>
    </w:rPr>
  </w:style>
  <w:style w:type="character" w:customStyle="1" w:styleId="40">
    <w:name w:val="正文缩进 字符"/>
    <w:link w:val="7"/>
    <w:qFormat/>
    <w:locked/>
    <w:uiPriority w:val="0"/>
    <w:rPr>
      <w:szCs w:val="24"/>
    </w:rPr>
  </w:style>
  <w:style w:type="character" w:customStyle="1" w:styleId="41">
    <w:name w:val="批注文字 字符"/>
    <w:link w:val="9"/>
    <w:qFormat/>
    <w:uiPriority w:val="99"/>
    <w:rPr>
      <w:kern w:val="2"/>
      <w:sz w:val="21"/>
      <w:szCs w:val="24"/>
    </w:rPr>
  </w:style>
  <w:style w:type="character" w:customStyle="1" w:styleId="42">
    <w:name w:val="正文文本 字符"/>
    <w:link w:val="10"/>
    <w:qFormat/>
    <w:uiPriority w:val="1"/>
    <w:rPr>
      <w:sz w:val="24"/>
      <w:szCs w:val="24"/>
      <w:lang w:val="zh-CN"/>
    </w:rPr>
  </w:style>
  <w:style w:type="character" w:customStyle="1" w:styleId="43">
    <w:name w:val="纯文本 字符"/>
    <w:link w:val="12"/>
    <w:qFormat/>
    <w:uiPriority w:val="0"/>
    <w:rPr>
      <w:rFonts w:ascii="宋体" w:hAnsi="Courier New"/>
      <w:szCs w:val="21"/>
    </w:rPr>
  </w:style>
  <w:style w:type="character" w:customStyle="1" w:styleId="44">
    <w:name w:val="日期 字符"/>
    <w:link w:val="13"/>
    <w:qFormat/>
    <w:uiPriority w:val="0"/>
    <w:rPr>
      <w:kern w:val="2"/>
      <w:sz w:val="21"/>
      <w:szCs w:val="24"/>
    </w:rPr>
  </w:style>
  <w:style w:type="character" w:customStyle="1" w:styleId="45">
    <w:name w:val="批注框文本 字符"/>
    <w:link w:val="14"/>
    <w:qFormat/>
    <w:uiPriority w:val="99"/>
    <w:rPr>
      <w:kern w:val="2"/>
      <w:sz w:val="18"/>
      <w:szCs w:val="18"/>
    </w:rPr>
  </w:style>
  <w:style w:type="character" w:customStyle="1" w:styleId="46">
    <w:name w:val="页脚 字符"/>
    <w:link w:val="15"/>
    <w:qFormat/>
    <w:uiPriority w:val="99"/>
    <w:rPr>
      <w:kern w:val="2"/>
      <w:sz w:val="18"/>
      <w:szCs w:val="18"/>
    </w:rPr>
  </w:style>
  <w:style w:type="character" w:customStyle="1" w:styleId="47">
    <w:name w:val="页眉 字符"/>
    <w:link w:val="16"/>
    <w:qFormat/>
    <w:uiPriority w:val="99"/>
    <w:rPr>
      <w:kern w:val="2"/>
      <w:sz w:val="18"/>
      <w:szCs w:val="18"/>
    </w:rPr>
  </w:style>
  <w:style w:type="character" w:customStyle="1" w:styleId="48">
    <w:name w:val="脚注文本 字符"/>
    <w:link w:val="18"/>
    <w:qFormat/>
    <w:uiPriority w:val="99"/>
    <w:rPr>
      <w:kern w:val="2"/>
      <w:sz w:val="18"/>
      <w:szCs w:val="24"/>
    </w:rPr>
  </w:style>
  <w:style w:type="character" w:customStyle="1" w:styleId="49">
    <w:name w:val="标题 字符"/>
    <w:link w:val="20"/>
    <w:qFormat/>
    <w:uiPriority w:val="10"/>
    <w:rPr>
      <w:rFonts w:ascii="Cambria" w:hAnsi="Cambria"/>
      <w:b/>
      <w:bCs/>
      <w:kern w:val="2"/>
      <w:sz w:val="32"/>
      <w:szCs w:val="32"/>
    </w:rPr>
  </w:style>
  <w:style w:type="character" w:customStyle="1" w:styleId="50">
    <w:name w:val="批注主题 字符"/>
    <w:link w:val="21"/>
    <w:qFormat/>
    <w:uiPriority w:val="99"/>
    <w:rPr>
      <w:b/>
      <w:bCs/>
      <w:kern w:val="2"/>
      <w:sz w:val="21"/>
      <w:szCs w:val="24"/>
    </w:rPr>
  </w:style>
  <w:style w:type="character" w:customStyle="1" w:styleId="51">
    <w:name w:val="标题 2 字符"/>
    <w:semiHidden/>
    <w:qFormat/>
    <w:uiPriority w:val="9"/>
    <w:rPr>
      <w:rFonts w:ascii="Cambria" w:hAnsi="Cambria" w:eastAsia="宋体" w:cs="Times New Roman"/>
      <w:b/>
      <w:bCs/>
      <w:sz w:val="32"/>
      <w:szCs w:val="32"/>
    </w:rPr>
  </w:style>
  <w:style w:type="character" w:customStyle="1" w:styleId="52">
    <w:name w:val="shoulihao"/>
    <w:qFormat/>
    <w:uiPriority w:val="0"/>
    <w:rPr>
      <w:b/>
      <w:color w:val="2884CD"/>
    </w:rPr>
  </w:style>
  <w:style w:type="character" w:customStyle="1" w:styleId="53">
    <w:name w:val="time"/>
    <w:qFormat/>
    <w:uiPriority w:val="0"/>
    <w:rPr>
      <w:b/>
      <w:color w:val="2884CD"/>
    </w:rPr>
  </w:style>
  <w:style w:type="character" w:customStyle="1" w:styleId="54">
    <w:name w:val="help2"/>
    <w:qFormat/>
    <w:uiPriority w:val="0"/>
    <w:rPr>
      <w:sz w:val="8"/>
      <w:szCs w:val="8"/>
    </w:rPr>
  </w:style>
  <w:style w:type="character" w:customStyle="1" w:styleId="55">
    <w:name w:val="download"/>
    <w:qFormat/>
    <w:uiPriority w:val="0"/>
    <w:rPr>
      <w:color w:val="FFFFFF"/>
      <w:sz w:val="10"/>
      <w:szCs w:val="10"/>
      <w:shd w:val="clear" w:color="auto" w:fill="9EABBE"/>
    </w:rPr>
  </w:style>
  <w:style w:type="character" w:customStyle="1" w:styleId="56">
    <w:name w:val="help"/>
    <w:qFormat/>
    <w:uiPriority w:val="0"/>
    <w:rPr>
      <w:color w:val="F44336"/>
    </w:rPr>
  </w:style>
  <w:style w:type="character" w:customStyle="1" w:styleId="57">
    <w:name w:val="avatar-circle"/>
    <w:qFormat/>
    <w:uiPriority w:val="0"/>
    <w:rPr>
      <w:color w:val="2779AA"/>
      <w:sz w:val="16"/>
      <w:szCs w:val="16"/>
      <w:bdr w:val="single" w:color="AED0EA" w:sz="2" w:space="0"/>
      <w:shd w:val="clear" w:color="auto" w:fill="D7EBF9"/>
    </w:rPr>
  </w:style>
  <w:style w:type="character" w:customStyle="1" w:styleId="58">
    <w:name w:val="help1"/>
    <w:qFormat/>
    <w:uiPriority w:val="0"/>
    <w:rPr>
      <w:color w:val="F44336"/>
    </w:rPr>
  </w:style>
  <w:style w:type="paragraph" w:customStyle="1" w:styleId="59">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Times New Roman" w:cs="Arial Unicode MS"/>
      <w:color w:val="000000"/>
      <w:kern w:val="2"/>
      <w:sz w:val="21"/>
      <w:szCs w:val="21"/>
      <w:u w:color="000000"/>
      <w:lang w:val="en-US" w:eastAsia="zh-CN" w:bidi="ar-SA"/>
    </w:rPr>
  </w:style>
  <w:style w:type="paragraph" w:styleId="60">
    <w:name w:val="List Paragraph"/>
    <w:basedOn w:val="1"/>
    <w:qFormat/>
    <w:uiPriority w:val="34"/>
    <w:pPr>
      <w:ind w:firstLine="420" w:firstLineChars="200"/>
    </w:pPr>
    <w:rPr>
      <w:rFonts w:ascii="Calibri" w:hAnsi="Calibri"/>
      <w:szCs w:val="22"/>
    </w:rPr>
  </w:style>
  <w:style w:type="paragraph" w:customStyle="1" w:styleId="6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3">
    <w:name w:val="正首悬"/>
    <w:basedOn w:val="1"/>
    <w:qFormat/>
    <w:uiPriority w:val="0"/>
    <w:pPr>
      <w:widowControl/>
      <w:spacing w:line="360" w:lineRule="auto"/>
      <w:ind w:left="300" w:leftChars="200" w:right="200" w:rightChars="200" w:hanging="100" w:hangingChars="100"/>
    </w:pPr>
    <w:rPr>
      <w:rFonts w:ascii="Arial" w:hAnsi="Arial"/>
      <w:kern w:val="0"/>
      <w:szCs w:val="72"/>
    </w:rPr>
  </w:style>
  <w:style w:type="paragraph" w:customStyle="1" w:styleId="64">
    <w:name w:val="字母编号列项（一级）"/>
    <w:qFormat/>
    <w:uiPriority w:val="0"/>
    <w:pPr>
      <w:ind w:left="840" w:leftChars="200" w:hanging="420" w:hangingChars="200"/>
      <w:jc w:val="both"/>
    </w:pPr>
    <w:rPr>
      <w:rFonts w:ascii="宋体" w:hAnsi="Times New Roman" w:eastAsia="宋体" w:cs="宋体"/>
      <w:lang w:val="en-US" w:eastAsia="zh-CN" w:bidi="ar-SA"/>
    </w:rPr>
  </w:style>
  <w:style w:type="paragraph" w:customStyle="1" w:styleId="65">
    <w:name w:val="彩色列表 - 强调文字颜色 11"/>
    <w:basedOn w:val="1"/>
    <w:qFormat/>
    <w:uiPriority w:val="34"/>
    <w:pPr>
      <w:spacing w:line="360" w:lineRule="auto"/>
      <w:ind w:firstLine="420" w:firstLineChars="200"/>
      <w:jc w:val="left"/>
    </w:pPr>
    <w:rPr>
      <w:sz w:val="24"/>
    </w:rPr>
  </w:style>
  <w:style w:type="character" w:customStyle="1" w:styleId="66">
    <w:name w:val="段 Char"/>
    <w:link w:val="67"/>
    <w:qFormat/>
    <w:uiPriority w:val="0"/>
    <w:rPr>
      <w:rFonts w:ascii="宋体"/>
      <w:sz w:val="21"/>
      <w:lang w:val="en-US" w:eastAsia="zh-CN" w:bidi="ar-SA"/>
    </w:rPr>
  </w:style>
  <w:style w:type="paragraph" w:customStyle="1" w:styleId="67">
    <w:name w:val="段"/>
    <w:link w:val="6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68">
    <w:name w:val="fontstyle01"/>
    <w:qFormat/>
    <w:uiPriority w:val="0"/>
    <w:rPr>
      <w:rFonts w:hint="default" w:ascii="ArnoPro-Regular" w:hAnsi="ArnoPro-Regular"/>
      <w:color w:val="231916"/>
      <w:sz w:val="16"/>
      <w:szCs w:val="16"/>
    </w:rPr>
  </w:style>
  <w:style w:type="character" w:customStyle="1" w:styleId="69">
    <w:name w:val="fontstyle21"/>
    <w:qFormat/>
    <w:uiPriority w:val="0"/>
    <w:rPr>
      <w:rFonts w:hint="default" w:ascii="ArnoPro-Italic" w:hAnsi="ArnoPro-Italic"/>
      <w:i/>
      <w:iCs/>
      <w:color w:val="231916"/>
      <w:sz w:val="16"/>
      <w:szCs w:val="16"/>
    </w:rPr>
  </w:style>
  <w:style w:type="paragraph" w:customStyle="1" w:styleId="70">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71">
    <w:name w:val="标题 21"/>
    <w:basedOn w:val="1"/>
    <w:next w:val="1"/>
    <w:unhideWhenUsed/>
    <w:qFormat/>
    <w:uiPriority w:val="9"/>
    <w:pPr>
      <w:keepNext/>
      <w:keepLines/>
      <w:spacing w:before="260" w:after="260" w:line="416" w:lineRule="auto"/>
      <w:outlineLvl w:val="1"/>
    </w:pPr>
    <w:rPr>
      <w:rFonts w:ascii="Cambria" w:hAnsi="Cambria"/>
      <w:b/>
      <w:bCs/>
      <w:sz w:val="32"/>
      <w:szCs w:val="32"/>
    </w:rPr>
  </w:style>
  <w:style w:type="paragraph" w:customStyle="1" w:styleId="72">
    <w:name w:val="05 ●Items"/>
    <w:basedOn w:val="1"/>
    <w:link w:val="73"/>
    <w:qFormat/>
    <w:uiPriority w:val="0"/>
    <w:pPr>
      <w:widowControl/>
      <w:numPr>
        <w:ilvl w:val="0"/>
        <w:numId w:val="1"/>
      </w:numPr>
      <w:tabs>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s>
      <w:spacing w:beforeLines="30" w:afterLines="30"/>
      <w:jc w:val="left"/>
    </w:pPr>
    <w:rPr>
      <w:b/>
      <w:snapToGrid w:val="0"/>
      <w:kern w:val="0"/>
      <w:szCs w:val="21"/>
      <w:lang w:val="fr-FR"/>
    </w:rPr>
  </w:style>
  <w:style w:type="character" w:customStyle="1" w:styleId="73">
    <w:name w:val="05 ●Items Char"/>
    <w:link w:val="72"/>
    <w:qFormat/>
    <w:uiPriority w:val="0"/>
    <w:rPr>
      <w:b/>
      <w:snapToGrid/>
      <w:sz w:val="21"/>
      <w:szCs w:val="21"/>
      <w:lang w:val="fr-FR"/>
    </w:rPr>
  </w:style>
  <w:style w:type="paragraph" w:customStyle="1" w:styleId="74">
    <w:name w:val="正文缩进1"/>
    <w:basedOn w:val="1"/>
    <w:next w:val="7"/>
    <w:qFormat/>
    <w:uiPriority w:val="0"/>
    <w:pPr>
      <w:spacing w:before="60"/>
      <w:ind w:firstLine="420" w:firstLineChars="200"/>
    </w:pPr>
    <w:rPr>
      <w:rFonts w:ascii="Calibri" w:hAnsi="Calibri"/>
    </w:rPr>
  </w:style>
  <w:style w:type="paragraph" w:customStyle="1" w:styleId="75">
    <w:name w:val="TOC 标题1"/>
    <w:basedOn w:val="3"/>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76">
    <w:name w:val="f10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7223</Words>
  <Characters>7774</Characters>
  <Lines>196</Lines>
  <Paragraphs>164</Paragraphs>
  <TotalTime>3</TotalTime>
  <ScaleCrop>false</ScaleCrop>
  <LinksUpToDate>false</LinksUpToDate>
  <CharactersWithSpaces>7825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2025-11-28T06:01:00Z</dcterms:created>
  <dc:creator>dongjinchun</dc:creator>
  <cp:lastModifiedBy>何佳俊</cp:lastModifiedBy>
  <cp:lastPrinted>2023-08-23T22:01:00Z</cp:lastPrinted>
  <dcterms:modified xsi:type="dcterms:W3CDTF">2025-12-16T00:55:01Z</dcterms:modified>
  <dc:title>2019新型冠状病毒技术审评要点</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B7F7EC5D0AA726F5E0DB2F688582A4BC_43</vt:lpwstr>
  </property>
  <property fmtid="{D5CDD505-2E9C-101B-9397-08002B2CF9AE}" pid="4" name="KSOTemplateDocerSaveRecord">
    <vt:lpwstr>eyJoZGlkIjoiZThmNjAzMWJlZjFkMmQwODUwMTJkYzE2ODFiYmFmYTciLCJ1c2VySWQiOiI0Mzc0MjIzNjMifQ==</vt:lpwstr>
  </property>
</Properties>
</file>