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1A6F6">
      <w:pPr>
        <w:spacing w:line="520" w:lineRule="exact"/>
        <w:jc w:val="center"/>
        <w:rPr>
          <w:rFonts w:eastAsia="方正小标宋简体"/>
          <w:bCs/>
          <w:color w:val="333333"/>
          <w:kern w:val="0"/>
          <w:sz w:val="44"/>
          <w:szCs w:val="44"/>
        </w:rPr>
      </w:pPr>
      <w:r>
        <w:rPr>
          <w:rFonts w:hint="eastAsia" w:eastAsia="方正小标宋简体"/>
          <w:bCs/>
          <w:color w:val="333333"/>
          <w:kern w:val="0"/>
          <w:sz w:val="44"/>
          <w:szCs w:val="44"/>
        </w:rPr>
        <w:t>牙科手机注册审查指导原则</w:t>
      </w:r>
    </w:p>
    <w:p w14:paraId="34852381">
      <w:pPr>
        <w:pStyle w:val="31"/>
        <w:spacing w:line="520" w:lineRule="exact"/>
        <w:jc w:val="center"/>
        <w:rPr>
          <w:rFonts w:eastAsia="方正小标宋简体"/>
          <w:color w:val="333333"/>
          <w:sz w:val="44"/>
          <w:szCs w:val="44"/>
        </w:rPr>
      </w:pPr>
      <w:r>
        <w:rPr>
          <w:rFonts w:eastAsia="方正小标宋简体"/>
          <w:color w:val="333333"/>
          <w:sz w:val="44"/>
          <w:szCs w:val="44"/>
        </w:rPr>
        <w:t>（</w:t>
      </w:r>
      <w:r>
        <w:rPr>
          <w:rFonts w:hint="eastAsia" w:ascii="Times New Roman" w:hAnsi="Times New Roman" w:eastAsia="方正小标宋简体"/>
          <w:color w:val="000000"/>
          <w:kern w:val="2"/>
          <w:sz w:val="40"/>
          <w:szCs w:val="36"/>
        </w:rPr>
        <w:t>2025</w:t>
      </w:r>
      <w:r>
        <w:rPr>
          <w:rFonts w:ascii="Times New Roman" w:hAnsi="Times New Roman" w:eastAsia="方正小标宋简体"/>
          <w:color w:val="000000"/>
          <w:kern w:val="2"/>
          <w:sz w:val="40"/>
          <w:szCs w:val="36"/>
        </w:rPr>
        <w:t>年修订版</w:t>
      </w:r>
      <w:r>
        <w:rPr>
          <w:rFonts w:eastAsia="方正小标宋简体"/>
          <w:color w:val="333333"/>
          <w:sz w:val="44"/>
          <w:szCs w:val="44"/>
        </w:rPr>
        <w:t>）</w:t>
      </w:r>
    </w:p>
    <w:p w14:paraId="69E1E1B1">
      <w:pPr>
        <w:tabs>
          <w:tab w:val="center" w:pos="4153"/>
        </w:tabs>
        <w:spacing w:line="520" w:lineRule="exact"/>
        <w:jc w:val="left"/>
        <w:rPr>
          <w:rFonts w:eastAsia="方正小标宋_GBK"/>
          <w:sz w:val="36"/>
          <w:szCs w:val="36"/>
        </w:rPr>
      </w:pPr>
    </w:p>
    <w:p w14:paraId="7A77DC48">
      <w:pPr>
        <w:overflowPunct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本指导原则旨在指导注册申请人对牙科手机注册申报资料的准备及撰写，同时也为技术审评部门审评注册申报资料提供参考。</w:t>
      </w:r>
    </w:p>
    <w:p w14:paraId="7E84A5DB">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kern w:val="0"/>
          <w:sz w:val="32"/>
          <w:szCs w:val="32"/>
        </w:rPr>
        <w:t>本指导原则是对牙科手机的一般要求，申</w:t>
      </w:r>
      <w:r>
        <w:rPr>
          <w:rFonts w:hint="eastAsia" w:eastAsia="仿宋_GB2312" w:cs="仿宋_GB2312"/>
          <w:snapToGrid w:val="0"/>
          <w:color w:val="333333"/>
          <w:kern w:val="0"/>
          <w:sz w:val="32"/>
          <w:szCs w:val="32"/>
        </w:rPr>
        <w:t>请人应依据产品的</w:t>
      </w:r>
      <w:r>
        <w:rPr>
          <w:rFonts w:eastAsia="仿宋_GB2312"/>
          <w:color w:val="333333"/>
          <w:sz w:val="32"/>
          <w:szCs w:val="32"/>
        </w:rPr>
        <w:t>具体</w:t>
      </w:r>
      <w:r>
        <w:rPr>
          <w:rFonts w:hint="eastAsia" w:eastAsia="仿宋_GB2312" w:cs="仿宋_GB2312"/>
          <w:snapToGrid w:val="0"/>
          <w:color w:val="333333"/>
          <w:kern w:val="0"/>
          <w:sz w:val="32"/>
          <w:szCs w:val="32"/>
        </w:rPr>
        <w:t>特性确定其中的内容是否适用。若不适用，需具体阐述其理由及相应的科学依据，并依据具体的产品特性对注册申报资料的内容进行充实和细化。</w:t>
      </w:r>
    </w:p>
    <w:p w14:paraId="087DF1D0">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本指导原则是供注册申请人和技术审评人员使用的指导性文件，但不包括注册审批所涉及的行政事项，亦不作为法规强制执行，应在遵循相关法规的前提下使用本指导原则。如果有能够满足相关法规要求的其他方法，也可以采用，但是需要提供详细的研究资料和验证资料。</w:t>
      </w:r>
    </w:p>
    <w:p w14:paraId="0E0A2A37">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本指导原则是在现行法规和标准体系以及当前认知水平下制定的，随着法规和标准的不断完善，以及科学技术的不断发展，相关内容也将适时进行调整。</w:t>
      </w:r>
    </w:p>
    <w:p w14:paraId="7787CEC3">
      <w:pPr>
        <w:overflowPunct w:val="0"/>
        <w:autoSpaceDE w:val="0"/>
        <w:autoSpaceDN w:val="0"/>
        <w:spacing w:line="520" w:lineRule="exact"/>
        <w:ind w:firstLine="640" w:firstLineChars="200"/>
        <w:outlineLvl w:val="0"/>
        <w:rPr>
          <w:rFonts w:eastAsia="黑体"/>
          <w:snapToGrid w:val="0"/>
          <w:color w:val="333333"/>
          <w:kern w:val="0"/>
          <w:sz w:val="32"/>
          <w:szCs w:val="32"/>
        </w:rPr>
      </w:pPr>
      <w:r>
        <w:rPr>
          <w:rFonts w:hint="eastAsia" w:eastAsia="黑体"/>
          <w:snapToGrid w:val="0"/>
          <w:color w:val="333333"/>
          <w:kern w:val="0"/>
          <w:sz w:val="32"/>
          <w:szCs w:val="32"/>
        </w:rPr>
        <w:t>一、</w:t>
      </w:r>
      <w:r>
        <w:rPr>
          <w:rFonts w:eastAsia="黑体"/>
          <w:snapToGrid w:val="0"/>
          <w:color w:val="333333"/>
          <w:kern w:val="0"/>
          <w:sz w:val="32"/>
          <w:szCs w:val="32"/>
        </w:rPr>
        <w:t>适用范围</w:t>
      </w:r>
    </w:p>
    <w:p w14:paraId="4906F205">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本指导</w:t>
      </w:r>
      <w:r>
        <w:rPr>
          <w:rFonts w:eastAsia="仿宋_GB2312" w:cs="仿宋_GB2312"/>
          <w:snapToGrid w:val="0"/>
          <w:color w:val="333333"/>
          <w:kern w:val="0"/>
          <w:sz w:val="32"/>
          <w:szCs w:val="32"/>
        </w:rPr>
        <w:t>原则</w:t>
      </w:r>
      <w:r>
        <w:rPr>
          <w:rFonts w:hint="eastAsia" w:eastAsia="仿宋_GB2312" w:cs="仿宋_GB2312"/>
          <w:snapToGrid w:val="0"/>
          <w:color w:val="333333"/>
          <w:kern w:val="0"/>
          <w:sz w:val="32"/>
          <w:szCs w:val="32"/>
        </w:rPr>
        <w:t>适用于口腔治疗设备中的牙科手机产品注册。按现行《医疗器械分类目录》，该类产品分类编码为17-03-04，管理类别为Ⅱ类。</w:t>
      </w:r>
    </w:p>
    <w:p w14:paraId="5DA4387A">
      <w:pPr>
        <w:overflowPunct w:val="0"/>
        <w:autoSpaceDE w:val="0"/>
        <w:autoSpaceDN w:val="0"/>
        <w:spacing w:line="520" w:lineRule="exact"/>
        <w:ind w:firstLine="640" w:firstLineChars="200"/>
        <w:rPr>
          <w:rFonts w:hint="eastAsia" w:eastAsia="仿宋_GB2312" w:cs="仿宋_GB2312"/>
          <w:snapToGrid w:val="0"/>
          <w:color w:val="333333"/>
          <w:kern w:val="0"/>
          <w:sz w:val="32"/>
          <w:szCs w:val="32"/>
          <w:highlight w:val="yellow"/>
        </w:rPr>
      </w:pPr>
      <w:r>
        <w:rPr>
          <w:rFonts w:hint="eastAsia" w:eastAsia="仿宋_GB2312" w:cs="仿宋_GB2312"/>
          <w:snapToGrid w:val="0"/>
          <w:kern w:val="0"/>
          <w:sz w:val="32"/>
          <w:szCs w:val="32"/>
        </w:rPr>
        <w:t>本指导原则适用</w:t>
      </w:r>
      <w:r>
        <w:rPr>
          <w:rFonts w:hint="eastAsia" w:eastAsia="仿宋_GB2312" w:cs="仿宋_GB2312"/>
          <w:snapToGrid w:val="0"/>
          <w:kern w:val="0"/>
          <w:sz w:val="32"/>
          <w:szCs w:val="32"/>
          <w:highlight w:val="none"/>
        </w:rPr>
        <w:t>于高速气涡轮手机、牙科直手机/牙科弯手机，不包含洁牙手机。与电</w:t>
      </w:r>
      <w:r>
        <w:rPr>
          <w:rFonts w:hint="eastAsia" w:eastAsia="仿宋_GB2312" w:cs="仿宋_GB2312"/>
          <w:snapToGrid w:val="0"/>
          <w:color w:val="333333"/>
          <w:kern w:val="0"/>
          <w:sz w:val="32"/>
          <w:szCs w:val="32"/>
          <w:highlight w:val="none"/>
        </w:rPr>
        <w:t>动马达/气动马达合体的一体式设备中的牙科手机部分参照本文准备申报资料。</w:t>
      </w:r>
    </w:p>
    <w:p w14:paraId="43864F30">
      <w:pPr>
        <w:overflowPunct w:val="0"/>
        <w:autoSpaceDE w:val="0"/>
        <w:autoSpaceDN w:val="0"/>
        <w:spacing w:line="520" w:lineRule="exact"/>
        <w:ind w:firstLine="640" w:firstLineChars="200"/>
        <w:outlineLvl w:val="0"/>
        <w:rPr>
          <w:rFonts w:eastAsia="黑体"/>
          <w:snapToGrid w:val="0"/>
          <w:color w:val="333333"/>
          <w:kern w:val="0"/>
          <w:sz w:val="32"/>
          <w:szCs w:val="32"/>
        </w:rPr>
      </w:pPr>
      <w:bookmarkStart w:id="0" w:name="_Toc432753645"/>
      <w:r>
        <w:rPr>
          <w:rFonts w:hint="eastAsia" w:eastAsia="黑体"/>
          <w:snapToGrid w:val="0"/>
          <w:color w:val="333333"/>
          <w:kern w:val="0"/>
          <w:sz w:val="32"/>
          <w:szCs w:val="32"/>
        </w:rPr>
        <w:t>二、注册</w:t>
      </w:r>
      <w:r>
        <w:rPr>
          <w:rFonts w:eastAsia="黑体"/>
          <w:snapToGrid w:val="0"/>
          <w:color w:val="333333"/>
          <w:kern w:val="0"/>
          <w:sz w:val="32"/>
          <w:szCs w:val="32"/>
        </w:rPr>
        <w:t>审查要点</w:t>
      </w:r>
    </w:p>
    <w:p w14:paraId="00C75CCA">
      <w:pPr>
        <w:pStyle w:val="52"/>
        <w:overflowPunct w:val="0"/>
        <w:autoSpaceDE w:val="0"/>
        <w:autoSpaceDN w:val="0"/>
        <w:spacing w:line="520" w:lineRule="exact"/>
        <w:ind w:firstLine="640"/>
        <w:outlineLvl w:val="1"/>
        <w:rPr>
          <w:rFonts w:ascii="Times New Roman" w:hAnsi="Times New Roman" w:eastAsia="楷体_GB2312"/>
          <w:color w:val="333333"/>
          <w:sz w:val="32"/>
          <w:szCs w:val="32"/>
          <w:highlight w:val="none"/>
        </w:rPr>
      </w:pPr>
      <w:r>
        <w:rPr>
          <w:rFonts w:hint="eastAsia" w:ascii="Times New Roman" w:hAnsi="Times New Roman" w:eastAsia="楷体_GB2312"/>
          <w:color w:val="333333"/>
          <w:sz w:val="32"/>
          <w:szCs w:val="32"/>
          <w:highlight w:val="none"/>
        </w:rPr>
        <w:t>（一）监管信息</w:t>
      </w:r>
    </w:p>
    <w:p w14:paraId="0C4AE6A8">
      <w:pPr>
        <w:overflowPunct w:val="0"/>
        <w:autoSpaceDE w:val="0"/>
        <w:autoSpaceDN w:val="0"/>
        <w:spacing w:line="520" w:lineRule="exact"/>
        <w:outlineLvl w:val="2"/>
        <w:rPr>
          <w:rFonts w:eastAsia="仿宋_GB2312"/>
          <w:snapToGrid w:val="0"/>
          <w:color w:val="333333"/>
          <w:kern w:val="0"/>
          <w:sz w:val="32"/>
          <w:szCs w:val="32"/>
        </w:rPr>
      </w:pPr>
      <w:r>
        <w:rPr>
          <w:rFonts w:hint="eastAsia" w:eastAsia="仿宋_GB2312"/>
          <w:snapToGrid w:val="0"/>
          <w:color w:val="333333"/>
          <w:kern w:val="0"/>
          <w:sz w:val="32"/>
          <w:szCs w:val="32"/>
        </w:rPr>
        <w:t xml:space="preserve">    1.注册单元划分</w:t>
      </w:r>
    </w:p>
    <w:p w14:paraId="71EDC9AB">
      <w:pPr>
        <w:pStyle w:val="31"/>
        <w:overflowPunct w:val="0"/>
        <w:autoSpaceDE w:val="0"/>
        <w:autoSpaceDN w:val="0"/>
        <w:spacing w:line="520" w:lineRule="exact"/>
        <w:ind w:firstLine="640" w:firstLineChars="200"/>
        <w:outlineLvl w:val="2"/>
        <w:rPr>
          <w:rFonts w:eastAsia="仿宋_GB2312"/>
          <w:snapToGrid w:val="0"/>
          <w:color w:val="333333"/>
          <w:sz w:val="32"/>
          <w:szCs w:val="32"/>
        </w:rPr>
      </w:pPr>
      <w:bookmarkStart w:id="1" w:name="OLE_LINK10"/>
      <w:bookmarkStart w:id="2" w:name="OLE_LINK12"/>
      <w:bookmarkStart w:id="3" w:name="OLE_LINK11"/>
      <w:r>
        <w:rPr>
          <w:rFonts w:hint="eastAsia" w:eastAsia="仿宋_GB2312"/>
          <w:snapToGrid w:val="0"/>
          <w:color w:val="333333"/>
          <w:sz w:val="32"/>
          <w:szCs w:val="32"/>
        </w:rPr>
        <w:t>注册单元划分应符合《医疗器械注册单元划分指导原则》的要求，原则上以产品的技术原理、结构组成、性能指标和适用范围为划分依据。</w:t>
      </w:r>
    </w:p>
    <w:bookmarkEnd w:id="1"/>
    <w:bookmarkEnd w:id="2"/>
    <w:bookmarkEnd w:id="3"/>
    <w:p w14:paraId="73AEA4D9">
      <w:pPr>
        <w:pStyle w:val="31"/>
        <w:overflowPunct w:val="0"/>
        <w:autoSpaceDE w:val="0"/>
        <w:autoSpaceDN w:val="0"/>
        <w:spacing w:line="520" w:lineRule="exact"/>
        <w:ind w:firstLine="640" w:firstLineChars="200"/>
        <w:outlineLvl w:val="2"/>
        <w:rPr>
          <w:rFonts w:eastAsia="仿宋_GB2312"/>
          <w:snapToGrid w:val="0"/>
          <w:color w:val="333333"/>
          <w:sz w:val="32"/>
          <w:szCs w:val="32"/>
        </w:rPr>
      </w:pPr>
      <w:r>
        <w:rPr>
          <w:rFonts w:hint="eastAsia" w:eastAsia="仿宋_GB2312"/>
          <w:snapToGrid w:val="0"/>
          <w:color w:val="333333"/>
          <w:sz w:val="32"/>
          <w:szCs w:val="32"/>
        </w:rPr>
        <w:t>举例如下：</w:t>
      </w:r>
    </w:p>
    <w:p w14:paraId="5FFF48E0">
      <w:pPr>
        <w:overflowPunct w:val="0"/>
        <w:autoSpaceDE w:val="0"/>
        <w:autoSpaceDN w:val="0"/>
        <w:spacing w:line="520" w:lineRule="exact"/>
        <w:ind w:firstLine="640" w:firstLineChars="200"/>
        <w:outlineLvl w:val="2"/>
        <w:rPr>
          <w:rFonts w:eastAsia="仿宋_GB2312"/>
          <w:snapToGrid w:val="0"/>
          <w:kern w:val="0"/>
          <w:sz w:val="32"/>
          <w:szCs w:val="32"/>
        </w:rPr>
      </w:pPr>
      <w:r>
        <w:rPr>
          <w:rFonts w:hint="eastAsia" w:eastAsia="仿宋_GB2312"/>
          <w:snapToGrid w:val="0"/>
          <w:kern w:val="0"/>
          <w:sz w:val="32"/>
          <w:szCs w:val="32"/>
        </w:rPr>
        <w:t>（1）高速气涡轮手机、牙科弯手机/牙科直手机应划分为不同的注册单元。</w:t>
      </w:r>
    </w:p>
    <w:p w14:paraId="5FFBADEE">
      <w:pPr>
        <w:overflowPunct w:val="0"/>
        <w:autoSpaceDE w:val="0"/>
        <w:autoSpaceDN w:val="0"/>
        <w:spacing w:line="520" w:lineRule="exact"/>
        <w:ind w:firstLine="640" w:firstLineChars="200"/>
        <w:outlineLvl w:val="2"/>
        <w:rPr>
          <w:rFonts w:eastAsia="仿宋_GB2312"/>
          <w:snapToGrid w:val="0"/>
          <w:kern w:val="0"/>
          <w:sz w:val="32"/>
          <w:szCs w:val="32"/>
        </w:rPr>
      </w:pPr>
      <w:r>
        <w:rPr>
          <w:rFonts w:hint="eastAsia" w:eastAsia="仿宋_GB2312"/>
          <w:snapToGrid w:val="0"/>
          <w:kern w:val="0"/>
          <w:sz w:val="32"/>
          <w:szCs w:val="32"/>
        </w:rPr>
        <w:t>（2）牙科弯手机与牙科直手机应用于不同预期用途时，应划分为不同的注册单元，如：夹持根管锉用于扩大牙齿根管的手机、用于口腔种植治疗的手机、用于牙齿钻孔打磨用的手机。</w:t>
      </w:r>
    </w:p>
    <w:p w14:paraId="79589189">
      <w:pPr>
        <w:overflowPunct w:val="0"/>
        <w:autoSpaceDE w:val="0"/>
        <w:autoSpaceDN w:val="0"/>
        <w:spacing w:line="520" w:lineRule="exact"/>
        <w:ind w:firstLine="640" w:firstLineChars="200"/>
        <w:outlineLvl w:val="2"/>
        <w:rPr>
          <w:rFonts w:eastAsia="仿宋_GB2312"/>
          <w:snapToGrid w:val="0"/>
          <w:color w:val="333333"/>
          <w:kern w:val="0"/>
          <w:sz w:val="32"/>
          <w:szCs w:val="32"/>
        </w:rPr>
      </w:pPr>
      <w:r>
        <w:rPr>
          <w:rFonts w:hint="eastAsia" w:eastAsia="仿宋_GB2312"/>
          <w:snapToGrid w:val="0"/>
          <w:color w:val="333333"/>
          <w:kern w:val="0"/>
          <w:sz w:val="32"/>
          <w:szCs w:val="32"/>
        </w:rPr>
        <w:t>2</w:t>
      </w:r>
      <w:r>
        <w:rPr>
          <w:rFonts w:eastAsia="仿宋_GB2312"/>
          <w:snapToGrid w:val="0"/>
          <w:color w:val="333333"/>
          <w:kern w:val="0"/>
          <w:sz w:val="32"/>
          <w:szCs w:val="32"/>
        </w:rPr>
        <w:t>.</w:t>
      </w:r>
      <w:r>
        <w:rPr>
          <w:rFonts w:hint="eastAsia" w:eastAsia="仿宋_GB2312"/>
          <w:snapToGrid w:val="0"/>
          <w:color w:val="333333"/>
          <w:kern w:val="0"/>
          <w:sz w:val="32"/>
          <w:szCs w:val="32"/>
        </w:rPr>
        <w:t>产品名称</w:t>
      </w:r>
    </w:p>
    <w:p w14:paraId="2A9AFF52">
      <w:pPr>
        <w:overflowPunct w:val="0"/>
        <w:autoSpaceDE w:val="0"/>
        <w:autoSpaceDN w:val="0"/>
        <w:spacing w:line="520" w:lineRule="exact"/>
        <w:ind w:firstLine="640" w:firstLineChars="200"/>
        <w:rPr>
          <w:rFonts w:eastAsia="仿宋_GB2312"/>
          <w:snapToGrid w:val="0"/>
          <w:color w:val="333333"/>
          <w:kern w:val="0"/>
          <w:sz w:val="32"/>
          <w:szCs w:val="32"/>
        </w:rPr>
      </w:pPr>
      <w:r>
        <w:rPr>
          <w:rFonts w:hint="eastAsia" w:eastAsia="仿宋_GB2312"/>
          <w:snapToGrid w:val="0"/>
          <w:color w:val="333333"/>
          <w:kern w:val="0"/>
          <w:sz w:val="32"/>
          <w:szCs w:val="32"/>
        </w:rPr>
        <w:t>产品命名需符合《医疗器械通用名称命名规则》的要求。</w:t>
      </w:r>
    </w:p>
    <w:p w14:paraId="7580AC59">
      <w:pPr>
        <w:overflowPunct w:val="0"/>
        <w:autoSpaceDE w:val="0"/>
        <w:autoSpaceDN w:val="0"/>
        <w:spacing w:line="520" w:lineRule="exact"/>
        <w:ind w:firstLine="640" w:firstLineChars="200"/>
        <w:rPr>
          <w:rFonts w:eastAsia="仿宋_GB2312"/>
          <w:color w:val="333333"/>
          <w:sz w:val="32"/>
          <w:szCs w:val="32"/>
        </w:rPr>
      </w:pPr>
      <w:r>
        <w:rPr>
          <w:rFonts w:hint="eastAsia" w:eastAsia="仿宋_GB2312"/>
          <w:color w:val="333333"/>
          <w:sz w:val="32"/>
          <w:szCs w:val="32"/>
        </w:rPr>
        <w:t>若牙科手机的申报组成中包含牙科弯手机和牙科直手机，应使用“牙科手机”作为注册产品名称；若牙科手机仅为单独的牙科弯手机或牙科直手机，应使用“牙科弯手机”或“牙科直手机”作为注册产品名称。申报高速气涡轮手机应规范使用“高速气涡轮手机”作为产品名称。</w:t>
      </w:r>
    </w:p>
    <w:p w14:paraId="3F71CEA6">
      <w:pPr>
        <w:overflowPunct w:val="0"/>
        <w:autoSpaceDE w:val="0"/>
        <w:autoSpaceDN w:val="0"/>
        <w:spacing w:line="520" w:lineRule="exact"/>
        <w:ind w:left="221" w:firstLine="200"/>
        <w:outlineLvl w:val="1"/>
        <w:rPr>
          <w:rFonts w:eastAsia="楷体_GB2312"/>
          <w:color w:val="333333"/>
          <w:sz w:val="32"/>
          <w:szCs w:val="32"/>
        </w:rPr>
      </w:pPr>
      <w:r>
        <w:rPr>
          <w:rFonts w:hint="eastAsia" w:eastAsia="楷体_GB2312"/>
          <w:color w:val="333333"/>
          <w:sz w:val="32"/>
          <w:szCs w:val="32"/>
        </w:rPr>
        <w:t>（二）综述</w:t>
      </w:r>
      <w:r>
        <w:rPr>
          <w:rFonts w:eastAsia="楷体_GB2312"/>
          <w:color w:val="333333"/>
          <w:sz w:val="32"/>
          <w:szCs w:val="32"/>
        </w:rPr>
        <w:t>资料</w:t>
      </w:r>
    </w:p>
    <w:p w14:paraId="6BA4678D">
      <w:pPr>
        <w:pStyle w:val="52"/>
        <w:overflowPunct w:val="0"/>
        <w:autoSpaceDE w:val="0"/>
        <w:autoSpaceDN w:val="0"/>
        <w:spacing w:line="520" w:lineRule="exact"/>
        <w:ind w:right="210" w:firstLine="640"/>
        <w:outlineLvl w:val="2"/>
        <w:rPr>
          <w:rFonts w:ascii="Times New Roman" w:hAnsi="Times New Roman" w:eastAsia="楷体_GB2312"/>
          <w:color w:val="333333"/>
          <w:sz w:val="32"/>
          <w:szCs w:val="32"/>
        </w:rPr>
      </w:pPr>
      <w:r>
        <w:rPr>
          <w:rFonts w:hint="eastAsia" w:ascii="Times New Roman" w:hAnsi="Times New Roman" w:eastAsia="楷体_GB2312"/>
          <w:color w:val="333333"/>
          <w:sz w:val="32"/>
          <w:szCs w:val="32"/>
        </w:rPr>
        <w:t>1.</w:t>
      </w:r>
      <w:r>
        <w:rPr>
          <w:rFonts w:hint="eastAsia" w:ascii="Times New Roman" w:hAnsi="Times New Roman" w:eastAsia="仿宋_GB2312"/>
          <w:color w:val="333333"/>
          <w:sz w:val="32"/>
          <w:szCs w:val="32"/>
        </w:rPr>
        <w:t>概述</w:t>
      </w:r>
    </w:p>
    <w:p w14:paraId="1F48125D">
      <w:pPr>
        <w:pStyle w:val="52"/>
        <w:overflowPunct w:val="0"/>
        <w:autoSpaceDE w:val="0"/>
        <w:autoSpaceDN w:val="0"/>
        <w:spacing w:line="520" w:lineRule="exact"/>
        <w:ind w:right="210" w:firstLine="640"/>
        <w:outlineLvl w:val="2"/>
        <w:rPr>
          <w:rFonts w:hint="eastAsia" w:ascii="Times New Roman" w:hAnsi="Times New Roman" w:eastAsia="仿宋_GB2312"/>
          <w:color w:val="333333"/>
          <w:sz w:val="32"/>
          <w:szCs w:val="32"/>
        </w:rPr>
      </w:pPr>
      <w:r>
        <w:rPr>
          <w:rFonts w:hint="eastAsia" w:eastAsia="仿宋_GB2312"/>
          <w:color w:val="333333"/>
          <w:sz w:val="32"/>
          <w:szCs w:val="32"/>
        </w:rPr>
        <w:t>申请人需描述产品的通用名称及确定依据、适用范围。如适用，申请人应提供产品的背景信息概述，如：申报产品的历史概述、历次提交的信息，与其他经批准上市产品的关系等。</w:t>
      </w:r>
      <w:bookmarkEnd w:id="0"/>
    </w:p>
    <w:p w14:paraId="2D114D82">
      <w:pPr>
        <w:pStyle w:val="52"/>
        <w:overflowPunct w:val="0"/>
        <w:autoSpaceDE w:val="0"/>
        <w:autoSpaceDN w:val="0"/>
        <w:spacing w:line="520" w:lineRule="exact"/>
        <w:ind w:right="210" w:firstLine="640"/>
        <w:outlineLvl w:val="2"/>
        <w:rPr>
          <w:rFonts w:ascii="Times New Roman" w:hAnsi="Times New Roman" w:eastAsia="仿宋_GB2312"/>
          <w:color w:val="333333"/>
          <w:sz w:val="32"/>
          <w:szCs w:val="32"/>
        </w:rPr>
      </w:pPr>
      <w:r>
        <w:rPr>
          <w:rFonts w:hint="eastAsia" w:ascii="Times New Roman" w:hAnsi="Times New Roman" w:eastAsia="仿宋_GB2312"/>
          <w:color w:val="333333"/>
          <w:sz w:val="32"/>
          <w:szCs w:val="32"/>
        </w:rPr>
        <w:t>2.产品描述</w:t>
      </w:r>
    </w:p>
    <w:p w14:paraId="44E8AE68">
      <w:pPr>
        <w:pStyle w:val="52"/>
        <w:overflowPunct w:val="0"/>
        <w:autoSpaceDE w:val="0"/>
        <w:autoSpaceDN w:val="0"/>
        <w:spacing w:line="520" w:lineRule="exact"/>
        <w:ind w:right="210" w:firstLine="640"/>
        <w:outlineLvl w:val="2"/>
        <w:rPr>
          <w:rFonts w:ascii="Times New Roman" w:hAnsi="Times New Roman" w:eastAsia="仿宋_GB2312"/>
          <w:sz w:val="32"/>
          <w:szCs w:val="32"/>
        </w:rPr>
      </w:pPr>
      <w:r>
        <w:rPr>
          <w:rFonts w:hint="eastAsia" w:ascii="Times New Roman" w:hAnsi="Times New Roman" w:eastAsia="仿宋_GB2312"/>
          <w:sz w:val="32"/>
          <w:szCs w:val="32"/>
        </w:rPr>
        <w:t>申请人应描述产品的工作原理、结构及组成、主要功能及其组成部件的功能、产品图示，以及区别于其他同类产品的特征等内容。含有多个组成部分的，应说明其连接或组装关系。</w:t>
      </w:r>
    </w:p>
    <w:p w14:paraId="47C95955">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r>
        <w:rPr>
          <w:rFonts w:hint="eastAsia" w:ascii="Times New Roman" w:hAnsi="Times New Roman" w:eastAsia="仿宋_GB2312"/>
          <w:snapToGrid w:val="0"/>
          <w:color w:val="333333"/>
          <w:kern w:val="0"/>
          <w:sz w:val="32"/>
          <w:szCs w:val="32"/>
        </w:rPr>
        <w:t>2.1工作原理</w:t>
      </w:r>
    </w:p>
    <w:p w14:paraId="04A5A8AB">
      <w:pPr>
        <w:overflowPunct w:val="0"/>
        <w:autoSpaceDE w:val="0"/>
        <w:autoSpaceDN w:val="0"/>
        <w:spacing w:line="520" w:lineRule="exact"/>
        <w:ind w:firstLine="640" w:firstLineChars="200"/>
        <w:rPr>
          <w:rFonts w:eastAsia="仿宋_GB2312"/>
          <w:snapToGrid w:val="0"/>
          <w:color w:val="333333"/>
          <w:kern w:val="0"/>
          <w:sz w:val="32"/>
          <w:szCs w:val="32"/>
        </w:rPr>
      </w:pPr>
      <w:r>
        <w:rPr>
          <w:rFonts w:hint="eastAsia" w:eastAsia="仿宋_GB2312"/>
          <w:snapToGrid w:val="0"/>
          <w:color w:val="333333"/>
          <w:kern w:val="0"/>
          <w:sz w:val="32"/>
          <w:szCs w:val="32"/>
        </w:rPr>
        <w:t>牙科手机是一种口腔治疗器械，由整体或成套相互关联的器械部件所组成。</w:t>
      </w:r>
    </w:p>
    <w:p w14:paraId="33330189">
      <w:pPr>
        <w:overflowPunct w:val="0"/>
        <w:autoSpaceDE w:val="0"/>
        <w:autoSpaceDN w:val="0"/>
        <w:spacing w:line="520" w:lineRule="exact"/>
        <w:ind w:firstLine="640" w:firstLineChars="200"/>
        <w:jc w:val="left"/>
        <w:rPr>
          <w:rFonts w:eastAsia="仿宋_GB2312"/>
          <w:snapToGrid w:val="0"/>
          <w:color w:val="333333"/>
          <w:kern w:val="0"/>
          <w:sz w:val="32"/>
          <w:szCs w:val="32"/>
        </w:rPr>
      </w:pPr>
      <w:r>
        <w:rPr>
          <w:rFonts w:hint="eastAsia" w:eastAsia="仿宋_GB2312"/>
          <w:snapToGrid w:val="0"/>
          <w:color w:val="333333"/>
          <w:kern w:val="0"/>
          <w:sz w:val="32"/>
          <w:szCs w:val="32"/>
        </w:rPr>
        <w:t>电流、压缩空气分别经过电路系统、气路系统的各控制阀到达机头，驱动电机、涡轮（或叶片）旋转（轴芯转动），从而带动车针旋转，达到钻、削牙的目的，另一路水和气经过各控制阀到达机头汇合达到冷却目的。其工作原理见图</w:t>
      </w:r>
      <w:r>
        <w:rPr>
          <w:rFonts w:eastAsia="仿宋_GB2312"/>
          <w:snapToGrid w:val="0"/>
          <w:color w:val="333333"/>
          <w:kern w:val="0"/>
          <w:sz w:val="32"/>
          <w:szCs w:val="32"/>
        </w:rPr>
        <w:t>1</w:t>
      </w:r>
      <w:r>
        <w:rPr>
          <w:rFonts w:hint="eastAsia" w:eastAsia="仿宋_GB2312"/>
          <w:snapToGrid w:val="0"/>
          <w:color w:val="333333"/>
          <w:kern w:val="0"/>
          <w:sz w:val="32"/>
          <w:szCs w:val="32"/>
        </w:rPr>
        <w:t xml:space="preserve">、图2。 </w:t>
      </w:r>
    </w:p>
    <w:p w14:paraId="520A221F">
      <w:pPr>
        <w:overflowPunct w:val="0"/>
        <w:autoSpaceDE w:val="0"/>
        <w:autoSpaceDN w:val="0"/>
        <w:spacing w:line="520" w:lineRule="exact"/>
        <w:ind w:firstLine="640" w:firstLineChars="200"/>
        <w:jc w:val="left"/>
        <w:rPr>
          <w:rFonts w:ascii="Tahoma" w:hAnsi="Tahoma" w:eastAsia="仿宋_GB2312"/>
          <w:snapToGrid w:val="0"/>
          <w:color w:val="333333"/>
          <w:kern w:val="0"/>
          <w:sz w:val="32"/>
          <w:szCs w:val="32"/>
        </w:rPr>
      </w:pPr>
    </w:p>
    <w:p w14:paraId="0F9AFC9E">
      <w:pPr>
        <w:pStyle w:val="31"/>
        <w:overflowPunct w:val="0"/>
        <w:autoSpaceDE w:val="0"/>
        <w:autoSpaceDN w:val="0"/>
        <w:spacing w:line="520" w:lineRule="exact"/>
        <w:jc w:val="center"/>
        <w:rPr>
          <w:rFonts w:ascii="黑体" w:hAnsi="黑体" w:eastAsia="黑体" w:cs="黑体"/>
          <w:snapToGrid w:val="0"/>
          <w:color w:val="333333"/>
          <w:sz w:val="28"/>
          <w:szCs w:val="28"/>
        </w:rPr>
      </w:pPr>
      <w:r>
        <w:rPr>
          <w:rFonts w:ascii="宋体" w:hAnsi="宋体" w:cs="宋体"/>
          <w:sz w:val="28"/>
        </w:rPr>
        <w:drawing>
          <wp:anchor distT="0" distB="0" distL="0" distR="0" simplePos="0" relativeHeight="251659264" behindDoc="0" locked="0" layoutInCell="1" allowOverlap="1">
            <wp:simplePos x="0" y="0"/>
            <wp:positionH relativeFrom="column">
              <wp:posOffset>541020</wp:posOffset>
            </wp:positionH>
            <wp:positionV relativeFrom="paragraph">
              <wp:posOffset>34925</wp:posOffset>
            </wp:positionV>
            <wp:extent cx="4314825" cy="1171575"/>
            <wp:effectExtent l="0" t="0" r="9525" b="9525"/>
            <wp:wrapTopAndBottom/>
            <wp:docPr id="4" name="图片 4" descr="C:\Users\lixiaojiang\AppData\Roaming\Tencent\Users\472031620\QQ\WinTemp\RichOle\0PD6R(%CO)KZJ_8(M6]F$J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lixiaojiang\AppData\Roaming\Tencent\Users\472031620\QQ\WinTemp\RichOle\0PD6R(%CO)KZJ_8(M6]F$JQ.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314825" cy="1171575"/>
                    </a:xfrm>
                    <a:prstGeom prst="rect">
                      <a:avLst/>
                    </a:prstGeom>
                    <a:noFill/>
                    <a:ln>
                      <a:noFill/>
                    </a:ln>
                  </pic:spPr>
                </pic:pic>
              </a:graphicData>
            </a:graphic>
          </wp:anchor>
        </w:drawing>
      </w:r>
    </w:p>
    <w:p w14:paraId="264550D1">
      <w:pPr>
        <w:overflowPunct w:val="0"/>
        <w:spacing w:line="520" w:lineRule="exact"/>
        <w:jc w:val="center"/>
        <w:rPr>
          <w:rFonts w:ascii="黑体" w:hAnsi="黑体" w:eastAsia="黑体" w:cs="黑体"/>
          <w:bCs/>
          <w:sz w:val="28"/>
          <w:szCs w:val="28"/>
        </w:rPr>
      </w:pPr>
      <w:r>
        <w:rPr>
          <w:rFonts w:hint="eastAsia" w:ascii="黑体" w:hAnsi="黑体" w:eastAsia="黑体" w:cs="黑体"/>
          <w:bCs/>
          <w:sz w:val="28"/>
          <w:szCs w:val="28"/>
        </w:rPr>
        <w:t>图1 高速气涡轮机手机工作原理示意图</w:t>
      </w:r>
    </w:p>
    <w:p w14:paraId="7FD9729A">
      <w:pPr>
        <w:pStyle w:val="31"/>
        <w:overflowPunct w:val="0"/>
        <w:autoSpaceDE w:val="0"/>
        <w:autoSpaceDN w:val="0"/>
        <w:spacing w:line="520" w:lineRule="exact"/>
        <w:jc w:val="center"/>
        <w:rPr>
          <w:rFonts w:ascii="黑体" w:hAnsi="黑体" w:eastAsia="黑体" w:cs="黑体"/>
          <w:snapToGrid w:val="0"/>
          <w:color w:val="333333"/>
          <w:sz w:val="28"/>
          <w:szCs w:val="28"/>
        </w:rPr>
      </w:pPr>
      <w:r>
        <w:rPr>
          <w:rFonts w:hint="eastAsia" w:ascii="黑体" w:hAnsi="黑体" w:eastAsia="黑体"/>
          <w:bCs/>
          <w:sz w:val="32"/>
          <w:szCs w:val="28"/>
        </w:rPr>
        <w:drawing>
          <wp:anchor distT="0" distB="0" distL="0" distR="0" simplePos="0" relativeHeight="251660288" behindDoc="0" locked="0" layoutInCell="1" allowOverlap="1">
            <wp:simplePos x="0" y="0"/>
            <wp:positionH relativeFrom="column">
              <wp:posOffset>892810</wp:posOffset>
            </wp:positionH>
            <wp:positionV relativeFrom="paragraph">
              <wp:posOffset>26035</wp:posOffset>
            </wp:positionV>
            <wp:extent cx="3371850" cy="1219200"/>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71850" cy="1219200"/>
                    </a:xfrm>
                    <a:prstGeom prst="rect">
                      <a:avLst/>
                    </a:prstGeom>
                    <a:noFill/>
                    <a:ln>
                      <a:noFill/>
                    </a:ln>
                  </pic:spPr>
                </pic:pic>
              </a:graphicData>
            </a:graphic>
          </wp:anchor>
        </w:drawing>
      </w:r>
    </w:p>
    <w:p w14:paraId="4A436659">
      <w:pPr>
        <w:overflowPunct w:val="0"/>
        <w:spacing w:line="520" w:lineRule="exact"/>
        <w:jc w:val="center"/>
        <w:rPr>
          <w:rFonts w:ascii="黑体" w:hAnsi="黑体" w:eastAsia="黑体" w:cs="黑体"/>
          <w:snapToGrid w:val="0"/>
          <w:color w:val="333333"/>
          <w:sz w:val="28"/>
          <w:szCs w:val="28"/>
        </w:rPr>
      </w:pPr>
      <w:r>
        <w:rPr>
          <w:rFonts w:hint="eastAsia" w:ascii="黑体" w:hAnsi="黑体" w:eastAsia="黑体" w:cs="黑体"/>
          <w:bCs/>
          <w:sz w:val="28"/>
          <w:szCs w:val="28"/>
        </w:rPr>
        <w:t>图2 牙科直手机/弯手机工作原理示意图</w:t>
      </w:r>
    </w:p>
    <w:p w14:paraId="5DD9777E">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p>
    <w:p w14:paraId="070EF1A8">
      <w:pPr>
        <w:overflowPunct w:val="0"/>
        <w:autoSpaceDE w:val="0"/>
        <w:autoSpaceDN w:val="0"/>
        <w:spacing w:line="520" w:lineRule="exact"/>
        <w:ind w:right="210" w:firstLine="640" w:firstLineChars="200"/>
        <w:jc w:val="left"/>
        <w:outlineLvl w:val="3"/>
        <w:rPr>
          <w:rFonts w:hint="eastAsia" w:ascii="Times New Roman" w:hAnsi="Times New Roman" w:eastAsia="仿宋_GB2312"/>
          <w:snapToGrid w:val="0"/>
          <w:color w:val="333333"/>
          <w:kern w:val="0"/>
          <w:sz w:val="32"/>
          <w:szCs w:val="32"/>
        </w:rPr>
      </w:pPr>
      <w:r>
        <w:rPr>
          <w:rFonts w:hint="eastAsia" w:eastAsia="仿宋_GB2312"/>
          <w:snapToGrid w:val="0"/>
          <w:color w:val="auto"/>
          <w:kern w:val="0"/>
          <w:sz w:val="32"/>
          <w:szCs w:val="32"/>
          <w:u w:val="none"/>
        </w:rPr>
        <w:t>因该产品为非直接治疗类医疗器械，故本指导原则不包含产品作用机理的内容。</w:t>
      </w:r>
    </w:p>
    <w:p w14:paraId="494949D7">
      <w:pPr>
        <w:overflowPunct w:val="0"/>
        <w:autoSpaceDE w:val="0"/>
        <w:autoSpaceDN w:val="0"/>
        <w:spacing w:line="520" w:lineRule="exact"/>
        <w:ind w:firstLine="640" w:firstLineChars="200"/>
        <w:rPr>
          <w:rFonts w:eastAsia="仿宋_GB2312"/>
          <w:snapToGrid w:val="0"/>
          <w:color w:val="333333"/>
          <w:kern w:val="0"/>
          <w:sz w:val="32"/>
          <w:szCs w:val="32"/>
        </w:rPr>
      </w:pPr>
      <w:r>
        <w:rPr>
          <w:rFonts w:hint="eastAsia" w:eastAsia="仿宋_GB2312"/>
          <w:sz w:val="32"/>
          <w:szCs w:val="28"/>
          <w:highlight w:val="none"/>
          <w:lang w:eastAsia="zh-CN"/>
        </w:rPr>
        <w:t>应结合产品功能，具体阐述实现临床功能的工作原理，如动力源、驱动运动的技术原理，</w:t>
      </w:r>
      <w:r>
        <w:rPr>
          <w:rFonts w:hint="eastAsia" w:eastAsia="仿宋_GB2312"/>
          <w:snapToGrid w:val="0"/>
          <w:color w:val="333333"/>
          <w:kern w:val="0"/>
          <w:sz w:val="32"/>
          <w:szCs w:val="32"/>
        </w:rPr>
        <w:t>应包括整体或成套相互关联的器械部件</w:t>
      </w:r>
      <w:r>
        <w:rPr>
          <w:rFonts w:hint="eastAsia" w:eastAsia="仿宋_GB2312"/>
          <w:snapToGrid w:val="0"/>
          <w:color w:val="333333"/>
          <w:kern w:val="0"/>
          <w:sz w:val="32"/>
          <w:szCs w:val="32"/>
          <w:lang w:eastAsia="zh-CN"/>
        </w:rPr>
        <w:t>。</w:t>
      </w:r>
    </w:p>
    <w:p w14:paraId="11CC60C5">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r>
        <w:rPr>
          <w:rFonts w:hint="eastAsia" w:ascii="Times New Roman" w:hAnsi="Times New Roman" w:eastAsia="仿宋_GB2312"/>
          <w:snapToGrid w:val="0"/>
          <w:color w:val="333333"/>
          <w:kern w:val="0"/>
          <w:sz w:val="32"/>
          <w:szCs w:val="32"/>
        </w:rPr>
        <w:t>2.2结构组成</w:t>
      </w:r>
    </w:p>
    <w:p w14:paraId="2D0FD190">
      <w:pPr>
        <w:overflowPunct w:val="0"/>
        <w:autoSpaceDE w:val="0"/>
        <w:autoSpaceDN w:val="0"/>
        <w:spacing w:line="520" w:lineRule="exact"/>
        <w:ind w:firstLine="640" w:firstLineChars="200"/>
        <w:rPr>
          <w:rFonts w:hint="eastAsia" w:eastAsia="仿宋_GB2312" w:cs="仿宋_GB2312"/>
          <w:snapToGrid w:val="0"/>
          <w:color w:val="auto"/>
          <w:kern w:val="0"/>
          <w:sz w:val="32"/>
          <w:szCs w:val="32"/>
          <w:u w:val="none"/>
          <w:lang w:eastAsia="zh-CN"/>
        </w:rPr>
      </w:pPr>
      <w:r>
        <w:rPr>
          <w:rFonts w:hint="eastAsia" w:eastAsia="仿宋_GB2312" w:cs="仿宋_GB2312"/>
          <w:snapToGrid w:val="0"/>
          <w:color w:val="auto"/>
          <w:kern w:val="0"/>
          <w:sz w:val="32"/>
          <w:szCs w:val="32"/>
          <w:u w:val="none"/>
          <w:lang w:eastAsia="zh-CN"/>
        </w:rPr>
        <w:t>牙科手机是</w:t>
      </w:r>
      <w:r>
        <w:rPr>
          <w:rFonts w:hint="eastAsia" w:eastAsia="仿宋_GB2312" w:cs="仿宋_GB2312"/>
          <w:snapToGrid w:val="0"/>
          <w:color w:val="auto"/>
          <w:kern w:val="0"/>
          <w:sz w:val="32"/>
          <w:szCs w:val="32"/>
          <w:u w:val="none"/>
        </w:rPr>
        <w:t>用于向牙科工具或器具传递（带转换或不带转换）工作所需能量的手持工具</w:t>
      </w:r>
      <w:r>
        <w:rPr>
          <w:rFonts w:hint="eastAsia" w:eastAsia="仿宋_GB2312" w:cs="仿宋_GB2312"/>
          <w:snapToGrid w:val="0"/>
          <w:color w:val="auto"/>
          <w:kern w:val="0"/>
          <w:sz w:val="32"/>
          <w:szCs w:val="32"/>
          <w:u w:val="none"/>
          <w:lang w:eastAsia="zh-CN"/>
        </w:rPr>
        <w:t>。其根据</w:t>
      </w:r>
      <w:r>
        <w:rPr>
          <w:rFonts w:hint="eastAsia" w:eastAsia="仿宋_GB2312" w:cs="仿宋_GB2312"/>
          <w:snapToGrid w:val="0"/>
          <w:color w:val="auto"/>
          <w:kern w:val="0"/>
          <w:sz w:val="32"/>
          <w:szCs w:val="32"/>
          <w:u w:val="none"/>
        </w:rPr>
        <w:t>主轴与被夹工具或器具</w:t>
      </w:r>
      <w:r>
        <w:rPr>
          <w:rFonts w:hint="eastAsia" w:eastAsia="仿宋_GB2312" w:cs="仿宋_GB2312"/>
          <w:snapToGrid w:val="0"/>
          <w:color w:val="auto"/>
          <w:kern w:val="0"/>
          <w:sz w:val="32"/>
          <w:szCs w:val="32"/>
          <w:u w:val="none"/>
          <w:lang w:eastAsia="zh-CN"/>
        </w:rPr>
        <w:t>的角度，分为直手机和弯手机，若</w:t>
      </w:r>
      <w:r>
        <w:rPr>
          <w:rFonts w:hint="eastAsia" w:eastAsia="仿宋_GB2312" w:cs="仿宋_GB2312"/>
          <w:snapToGrid w:val="0"/>
          <w:color w:val="auto"/>
          <w:kern w:val="0"/>
          <w:sz w:val="32"/>
          <w:szCs w:val="32"/>
          <w:u w:val="none"/>
        </w:rPr>
        <w:t>主轴与被夹工具或器具</w:t>
      </w:r>
      <w:r>
        <w:rPr>
          <w:rFonts w:hint="eastAsia" w:eastAsia="仿宋_GB2312" w:cs="仿宋_GB2312"/>
          <w:snapToGrid w:val="0"/>
          <w:color w:val="auto"/>
          <w:kern w:val="0"/>
          <w:sz w:val="32"/>
          <w:szCs w:val="32"/>
          <w:u w:val="none"/>
          <w:lang w:eastAsia="zh-CN"/>
        </w:rPr>
        <w:t>重合则为直手机，若</w:t>
      </w:r>
      <w:r>
        <w:rPr>
          <w:rFonts w:hint="eastAsia" w:eastAsia="仿宋_GB2312" w:cs="仿宋_GB2312"/>
          <w:snapToGrid w:val="0"/>
          <w:color w:val="auto"/>
          <w:kern w:val="0"/>
          <w:sz w:val="32"/>
          <w:szCs w:val="32"/>
          <w:u w:val="none"/>
        </w:rPr>
        <w:t>其输入轴与输出轴之间具有角度</w:t>
      </w:r>
      <w:r>
        <w:rPr>
          <w:rFonts w:hint="eastAsia" w:eastAsia="仿宋_GB2312" w:cs="仿宋_GB2312"/>
          <w:snapToGrid w:val="0"/>
          <w:color w:val="auto"/>
          <w:kern w:val="0"/>
          <w:sz w:val="32"/>
          <w:szCs w:val="32"/>
          <w:u w:val="none"/>
          <w:lang w:eastAsia="zh-CN"/>
        </w:rPr>
        <w:t>则为弯手机；根据动力源和转化方式的不同又区分为马达驱动的手机和高速气涡轮手机；根据照明方式的情况又分为</w:t>
      </w:r>
      <w:r>
        <w:rPr>
          <w:rFonts w:hint="eastAsia" w:eastAsia="仿宋_GB2312" w:cs="仿宋_GB2312"/>
          <w:snapToGrid w:val="0"/>
          <w:color w:val="auto"/>
          <w:kern w:val="0"/>
          <w:sz w:val="32"/>
          <w:szCs w:val="32"/>
          <w:u w:val="none"/>
        </w:rPr>
        <w:t>带照明</w:t>
      </w:r>
      <w:r>
        <w:rPr>
          <w:rFonts w:hint="eastAsia" w:eastAsia="仿宋_GB2312" w:cs="仿宋_GB2312"/>
          <w:snapToGrid w:val="0"/>
          <w:color w:val="auto"/>
          <w:kern w:val="0"/>
          <w:sz w:val="32"/>
          <w:szCs w:val="32"/>
          <w:u w:val="none"/>
          <w:lang w:eastAsia="zh-CN"/>
        </w:rPr>
        <w:t>光源</w:t>
      </w:r>
      <w:r>
        <w:rPr>
          <w:rFonts w:hint="eastAsia" w:eastAsia="仿宋_GB2312" w:cs="仿宋_GB2312"/>
          <w:snapToGrid w:val="0"/>
          <w:color w:val="auto"/>
          <w:kern w:val="0"/>
          <w:sz w:val="32"/>
          <w:szCs w:val="32"/>
          <w:u w:val="none"/>
        </w:rPr>
        <w:t>式、无照明</w:t>
      </w:r>
      <w:r>
        <w:rPr>
          <w:rFonts w:hint="eastAsia" w:eastAsia="仿宋_GB2312" w:cs="仿宋_GB2312"/>
          <w:snapToGrid w:val="0"/>
          <w:color w:val="auto"/>
          <w:kern w:val="0"/>
          <w:sz w:val="32"/>
          <w:szCs w:val="32"/>
          <w:u w:val="none"/>
          <w:lang w:eastAsia="zh-CN"/>
        </w:rPr>
        <w:t>光源</w:t>
      </w:r>
      <w:r>
        <w:rPr>
          <w:rFonts w:hint="eastAsia" w:eastAsia="仿宋_GB2312" w:cs="仿宋_GB2312"/>
          <w:snapToGrid w:val="0"/>
          <w:color w:val="auto"/>
          <w:kern w:val="0"/>
          <w:sz w:val="32"/>
          <w:szCs w:val="32"/>
          <w:u w:val="none"/>
        </w:rPr>
        <w:t>式</w:t>
      </w:r>
      <w:r>
        <w:rPr>
          <w:rFonts w:hint="eastAsia" w:eastAsia="仿宋_GB2312" w:cs="仿宋_GB2312"/>
          <w:snapToGrid w:val="0"/>
          <w:color w:val="auto"/>
          <w:kern w:val="0"/>
          <w:sz w:val="32"/>
          <w:szCs w:val="32"/>
          <w:u w:val="none"/>
          <w:lang w:eastAsia="zh-CN"/>
        </w:rPr>
        <w:t>和</w:t>
      </w:r>
      <w:r>
        <w:rPr>
          <w:rFonts w:hint="eastAsia" w:eastAsia="仿宋_GB2312" w:cs="仿宋_GB2312"/>
          <w:snapToGrid w:val="0"/>
          <w:color w:val="auto"/>
          <w:kern w:val="0"/>
          <w:sz w:val="32"/>
          <w:szCs w:val="32"/>
          <w:u w:val="none"/>
        </w:rPr>
        <w:t>导光式三种方式</w:t>
      </w:r>
      <w:r>
        <w:rPr>
          <w:rFonts w:hint="eastAsia" w:eastAsia="仿宋_GB2312" w:cs="仿宋_GB2312"/>
          <w:snapToGrid w:val="0"/>
          <w:color w:val="auto"/>
          <w:kern w:val="0"/>
          <w:sz w:val="32"/>
          <w:szCs w:val="32"/>
          <w:u w:val="none"/>
          <w:lang w:eastAsia="zh-CN"/>
        </w:rPr>
        <w:t>，其中导光式是指结构不含照明光源，但是含有导光装置，可通过传导提供照明，如</w:t>
      </w:r>
      <w:r>
        <w:rPr>
          <w:rFonts w:hint="eastAsia" w:eastAsia="仿宋_GB2312" w:cs="仿宋_GB2312"/>
          <w:snapToGrid w:val="0"/>
          <w:color w:val="auto"/>
          <w:kern w:val="0"/>
          <w:sz w:val="32"/>
          <w:szCs w:val="32"/>
          <w:u w:val="none"/>
        </w:rPr>
        <w:t>可弯曲的导光纤维束（玻璃或石英）</w:t>
      </w:r>
      <w:r>
        <w:rPr>
          <w:rFonts w:hint="eastAsia" w:eastAsia="仿宋_GB2312" w:cs="仿宋_GB2312"/>
          <w:snapToGrid w:val="0"/>
          <w:color w:val="auto"/>
          <w:kern w:val="0"/>
          <w:sz w:val="32"/>
          <w:szCs w:val="32"/>
          <w:u w:val="none"/>
          <w:lang w:eastAsia="zh-CN"/>
        </w:rPr>
        <w:t>。</w:t>
      </w:r>
    </w:p>
    <w:p w14:paraId="255BAF9D">
      <w:pPr>
        <w:pStyle w:val="52"/>
        <w:overflowPunct w:val="0"/>
        <w:autoSpaceDE w:val="0"/>
        <w:autoSpaceDN w:val="0"/>
        <w:spacing w:line="520" w:lineRule="exact"/>
        <w:ind w:right="210" w:firstLine="640"/>
        <w:outlineLvl w:val="3"/>
        <w:rPr>
          <w:rFonts w:hint="eastAsia" w:ascii="Times New Roman" w:hAnsi="Times New Roman" w:eastAsia="仿宋_GB2312"/>
          <w:snapToGrid w:val="0"/>
          <w:color w:val="auto"/>
          <w:kern w:val="0"/>
          <w:sz w:val="32"/>
          <w:szCs w:val="32"/>
          <w:u w:val="none"/>
          <w:lang w:eastAsia="zh-CN"/>
        </w:rPr>
      </w:pPr>
      <w:r>
        <w:rPr>
          <w:rFonts w:hint="eastAsia" w:ascii="Times New Roman" w:hAnsi="Times New Roman" w:eastAsia="仿宋_GB2312"/>
          <w:snapToGrid w:val="0"/>
          <w:color w:val="auto"/>
          <w:kern w:val="0"/>
          <w:sz w:val="32"/>
          <w:szCs w:val="32"/>
          <w:u w:val="none"/>
          <w:lang w:eastAsia="zh-CN"/>
        </w:rPr>
        <w:t>牙科手机一般由机头、手柄、接头或快速接头（若有）组成，其</w:t>
      </w:r>
      <w:r>
        <w:rPr>
          <w:rFonts w:hint="eastAsia" w:ascii="Times New Roman" w:hAnsi="Times New Roman" w:eastAsia="仿宋_GB2312"/>
          <w:snapToGrid w:val="0"/>
          <w:color w:val="auto"/>
          <w:kern w:val="0"/>
          <w:sz w:val="32"/>
          <w:szCs w:val="32"/>
          <w:u w:val="none"/>
        </w:rPr>
        <w:t>结构示意图</w:t>
      </w:r>
      <w:r>
        <w:rPr>
          <w:rFonts w:hint="eastAsia" w:ascii="Times New Roman" w:hAnsi="Times New Roman" w:eastAsia="仿宋_GB2312"/>
          <w:snapToGrid w:val="0"/>
          <w:color w:val="auto"/>
          <w:kern w:val="0"/>
          <w:sz w:val="32"/>
          <w:szCs w:val="32"/>
          <w:u w:val="none"/>
          <w:lang w:eastAsia="zh-CN"/>
        </w:rPr>
        <w:t>如下：</w:t>
      </w:r>
    </w:p>
    <w:p w14:paraId="5647C07C">
      <w:pPr>
        <w:pStyle w:val="52"/>
        <w:overflowPunct w:val="0"/>
        <w:autoSpaceDE w:val="0"/>
        <w:autoSpaceDN w:val="0"/>
        <w:spacing w:line="520" w:lineRule="exact"/>
        <w:ind w:right="210" w:firstLine="440"/>
        <w:jc w:val="center"/>
        <w:outlineLvl w:val="3"/>
        <w:rPr>
          <w:rFonts w:ascii="黑体" w:hAnsi="黑体" w:eastAsia="黑体" w:cs="黑体"/>
          <w:bCs/>
          <w:color w:val="auto"/>
          <w:sz w:val="28"/>
          <w:szCs w:val="28"/>
          <w:u w:val="none"/>
        </w:rPr>
      </w:pPr>
      <w:r>
        <w:rPr>
          <w:color w:val="auto"/>
          <w:sz w:val="22"/>
          <w:u w:val="none"/>
        </w:rPr>
        <w:drawing>
          <wp:anchor distT="0" distB="0" distL="0" distR="0" simplePos="0" relativeHeight="251662336" behindDoc="0" locked="0" layoutInCell="1" allowOverlap="1">
            <wp:simplePos x="0" y="0"/>
            <wp:positionH relativeFrom="column">
              <wp:posOffset>293370</wp:posOffset>
            </wp:positionH>
            <wp:positionV relativeFrom="paragraph">
              <wp:posOffset>247650</wp:posOffset>
            </wp:positionV>
            <wp:extent cx="4610735" cy="2992755"/>
            <wp:effectExtent l="0" t="0" r="18415" b="17145"/>
            <wp:wrapTopAndBottom/>
            <wp:docPr id="7" name="图片 7"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10735" cy="2992755"/>
                    </a:xfrm>
                    <a:prstGeom prst="rect">
                      <a:avLst/>
                    </a:prstGeom>
                    <a:noFill/>
                    <a:ln>
                      <a:noFill/>
                    </a:ln>
                  </pic:spPr>
                </pic:pic>
              </a:graphicData>
            </a:graphic>
          </wp:anchor>
        </w:drawing>
      </w:r>
      <w:r>
        <w:rPr>
          <w:rFonts w:hint="eastAsia" w:ascii="黑体" w:hAnsi="黑体" w:eastAsia="黑体" w:cs="黑体"/>
          <w:bCs/>
          <w:color w:val="auto"/>
          <w:sz w:val="28"/>
          <w:szCs w:val="28"/>
          <w:u w:val="none"/>
        </w:rPr>
        <w:t>图1 牙科直手机/弯手机整体结构示意图</w:t>
      </w:r>
    </w:p>
    <w:p w14:paraId="2FB4A2E3">
      <w:pPr>
        <w:pStyle w:val="52"/>
        <w:overflowPunct w:val="0"/>
        <w:autoSpaceDE w:val="0"/>
        <w:autoSpaceDN w:val="0"/>
        <w:spacing w:line="520" w:lineRule="exact"/>
        <w:ind w:right="210" w:firstLine="640"/>
        <w:outlineLvl w:val="3"/>
        <w:rPr>
          <w:rFonts w:eastAsia="仿宋_GB2312" w:cs="仿宋_GB2312"/>
          <w:snapToGrid w:val="0"/>
          <w:color w:val="auto"/>
          <w:kern w:val="0"/>
          <w:sz w:val="32"/>
          <w:szCs w:val="32"/>
          <w:u w:val="none"/>
        </w:rPr>
      </w:pPr>
    </w:p>
    <w:p w14:paraId="1A39439F">
      <w:pPr>
        <w:overflowPunct w:val="0"/>
        <w:spacing w:line="520" w:lineRule="exact"/>
        <w:jc w:val="center"/>
        <w:rPr>
          <w:rFonts w:ascii="黑体" w:hAnsi="黑体" w:eastAsia="黑体" w:cs="黑体"/>
          <w:bCs/>
          <w:color w:val="auto"/>
          <w:sz w:val="28"/>
          <w:szCs w:val="28"/>
          <w:u w:val="none"/>
        </w:rPr>
      </w:pPr>
      <w:r>
        <w:rPr>
          <w:rFonts w:hint="eastAsia" w:eastAsia="仿宋_GB2312"/>
          <w:snapToGrid w:val="0"/>
          <w:color w:val="auto"/>
          <w:sz w:val="32"/>
          <w:szCs w:val="32"/>
          <w:u w:val="none"/>
        </w:rPr>
        <w:drawing>
          <wp:anchor distT="0" distB="0" distL="114300" distR="114300" simplePos="0" relativeHeight="251661312" behindDoc="0" locked="0" layoutInCell="1" allowOverlap="1">
            <wp:simplePos x="0" y="0"/>
            <wp:positionH relativeFrom="column">
              <wp:posOffset>385445</wp:posOffset>
            </wp:positionH>
            <wp:positionV relativeFrom="paragraph">
              <wp:posOffset>211455</wp:posOffset>
            </wp:positionV>
            <wp:extent cx="4417060" cy="1817370"/>
            <wp:effectExtent l="0" t="0" r="2540" b="11430"/>
            <wp:wrapTopAndBottom/>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9"/>
                    <a:srcRect l="10137" t="3208" r="6116" b="58535"/>
                    <a:stretch>
                      <a:fillRect/>
                    </a:stretch>
                  </pic:blipFill>
                  <pic:spPr>
                    <a:xfrm>
                      <a:off x="0" y="0"/>
                      <a:ext cx="4417060" cy="1817370"/>
                    </a:xfrm>
                    <a:prstGeom prst="rect">
                      <a:avLst/>
                    </a:prstGeom>
                  </pic:spPr>
                </pic:pic>
              </a:graphicData>
            </a:graphic>
          </wp:anchor>
        </w:drawing>
      </w:r>
      <w:r>
        <w:rPr>
          <w:rFonts w:hint="eastAsia" w:ascii="黑体" w:hAnsi="黑体" w:eastAsia="黑体" w:cs="黑体"/>
          <w:bCs/>
          <w:color w:val="auto"/>
          <w:sz w:val="28"/>
          <w:szCs w:val="28"/>
          <w:u w:val="none"/>
        </w:rPr>
        <w:t>图2 高速气涡轮机手机整体结构示意图</w:t>
      </w:r>
    </w:p>
    <w:p w14:paraId="675AF5CE">
      <w:pPr>
        <w:pStyle w:val="2"/>
        <w:spacing w:line="520" w:lineRule="exact"/>
        <w:rPr>
          <w:rFonts w:hint="eastAsia"/>
          <w:color w:val="auto"/>
          <w:u w:val="none"/>
          <w:lang w:eastAsia="zh-CN"/>
        </w:rPr>
      </w:pPr>
    </w:p>
    <w:p w14:paraId="7E60FF19">
      <w:pPr>
        <w:pStyle w:val="2"/>
        <w:numPr>
          <w:ilvl w:val="-1"/>
          <w:numId w:val="0"/>
        </w:numPr>
        <w:spacing w:line="520" w:lineRule="exact"/>
        <w:ind w:firstLine="640"/>
        <w:rPr>
          <w:rFonts w:hint="eastAsia" w:eastAsia="仿宋_GB2312" w:cs="仿宋_GB2312"/>
          <w:snapToGrid w:val="0"/>
          <w:color w:val="auto"/>
          <w:kern w:val="0"/>
          <w:sz w:val="32"/>
          <w:szCs w:val="32"/>
          <w:u w:val="none"/>
          <w:lang w:val="en-US" w:eastAsia="zh-CN"/>
        </w:rPr>
      </w:pPr>
      <w:r>
        <w:rPr>
          <w:rFonts w:hint="eastAsia" w:eastAsia="仿宋_GB2312" w:cs="仿宋_GB2312"/>
          <w:snapToGrid w:val="0"/>
          <w:color w:val="auto"/>
          <w:kern w:val="0"/>
          <w:sz w:val="32"/>
          <w:szCs w:val="32"/>
          <w:u w:val="none"/>
          <w:lang w:val="en-US" w:eastAsia="zh-CN"/>
        </w:rPr>
        <w:t>申请人需要对牙科手机总体结构，各组成部件进行详细描述，建议提供清晰的图示，标明机头、手柄、接头等关键部位，再对各关键部位进行详细描述。</w:t>
      </w:r>
    </w:p>
    <w:p w14:paraId="1EAD5109">
      <w:pPr>
        <w:pStyle w:val="2"/>
        <w:numPr>
          <w:ilvl w:val="-1"/>
          <w:numId w:val="0"/>
        </w:numPr>
        <w:spacing w:line="520" w:lineRule="exact"/>
        <w:ind w:firstLine="640"/>
        <w:rPr>
          <w:rFonts w:hint="eastAsia" w:eastAsia="仿宋_GB2312" w:cs="仿宋_GB2312"/>
          <w:snapToGrid w:val="0"/>
          <w:color w:val="auto"/>
          <w:kern w:val="0"/>
          <w:sz w:val="32"/>
          <w:szCs w:val="32"/>
          <w:u w:val="none"/>
          <w:lang w:val="en-US" w:eastAsia="zh-CN"/>
        </w:rPr>
      </w:pPr>
      <w:r>
        <w:rPr>
          <w:rFonts w:hint="eastAsia" w:eastAsia="仿宋_GB2312" w:cs="仿宋_GB2312"/>
          <w:snapToGrid w:val="0"/>
          <w:color w:val="auto"/>
          <w:kern w:val="0"/>
          <w:sz w:val="32"/>
          <w:szCs w:val="32"/>
          <w:u w:val="none"/>
          <w:lang w:val="en-US" w:eastAsia="zh-CN"/>
        </w:rPr>
        <w:t>机头：说明夹持方式、夹头形式、气体通道设计、冷却通道设计、照明集成方式等；针对高速气涡轮手机，描述其内部涡轮结构情况；针对直/弯手机，描述动力传动机构，如齿轮组情况。</w:t>
      </w:r>
    </w:p>
    <w:p w14:paraId="0CBD727F">
      <w:pPr>
        <w:pStyle w:val="2"/>
        <w:numPr>
          <w:ilvl w:val="-1"/>
          <w:numId w:val="0"/>
        </w:numPr>
        <w:spacing w:line="520" w:lineRule="exact"/>
        <w:ind w:firstLine="640"/>
        <w:rPr>
          <w:rFonts w:hint="eastAsia" w:eastAsia="仿宋_GB2312" w:cs="仿宋_GB2312"/>
          <w:snapToGrid w:val="0"/>
          <w:color w:val="auto"/>
          <w:kern w:val="0"/>
          <w:sz w:val="32"/>
          <w:szCs w:val="32"/>
          <w:u w:val="none"/>
          <w:lang w:val="en-US" w:eastAsia="zh-CN"/>
        </w:rPr>
      </w:pPr>
      <w:r>
        <w:rPr>
          <w:rFonts w:hint="eastAsia" w:eastAsia="仿宋_GB2312" w:cs="仿宋_GB2312"/>
          <w:snapToGrid w:val="0"/>
          <w:color w:val="auto"/>
          <w:kern w:val="0"/>
          <w:sz w:val="32"/>
          <w:szCs w:val="32"/>
          <w:u w:val="none"/>
          <w:lang w:val="en-US" w:eastAsia="zh-CN"/>
        </w:rPr>
        <w:t>手柄：说明材质、内部管道布局，密封设计等。</w:t>
      </w:r>
    </w:p>
    <w:p w14:paraId="12F70876">
      <w:pPr>
        <w:pStyle w:val="2"/>
        <w:numPr>
          <w:ilvl w:val="-1"/>
          <w:numId w:val="0"/>
        </w:numPr>
        <w:spacing w:line="520" w:lineRule="exact"/>
        <w:ind w:firstLine="640"/>
        <w:rPr>
          <w:rFonts w:hint="eastAsia" w:eastAsia="仿宋_GB2312" w:cs="仿宋_GB2312"/>
          <w:snapToGrid w:val="0"/>
          <w:color w:val="auto"/>
          <w:kern w:val="0"/>
          <w:sz w:val="32"/>
          <w:szCs w:val="32"/>
          <w:u w:val="none"/>
          <w:lang w:val="en-US" w:eastAsia="zh-CN"/>
        </w:rPr>
      </w:pPr>
      <w:r>
        <w:rPr>
          <w:rFonts w:hint="eastAsia" w:eastAsia="仿宋_GB2312" w:cs="仿宋_GB2312"/>
          <w:snapToGrid w:val="0"/>
          <w:color w:val="auto"/>
          <w:kern w:val="0"/>
          <w:sz w:val="32"/>
          <w:szCs w:val="32"/>
          <w:u w:val="none"/>
          <w:lang w:val="en-US" w:eastAsia="zh-CN"/>
        </w:rPr>
        <w:t>接头：明确接头类型和接口的孔数以及各孔对应的功能，如驱动气、冷却水、回气等。</w:t>
      </w:r>
    </w:p>
    <w:p w14:paraId="65D4F37F">
      <w:pPr>
        <w:pStyle w:val="2"/>
        <w:numPr>
          <w:ilvl w:val="-1"/>
          <w:numId w:val="0"/>
        </w:numPr>
        <w:spacing w:line="520" w:lineRule="exact"/>
        <w:ind w:firstLine="640"/>
        <w:rPr>
          <w:rFonts w:hint="default" w:eastAsia="仿宋_GB2312" w:cs="仿宋_GB2312"/>
          <w:snapToGrid w:val="0"/>
          <w:color w:val="auto"/>
          <w:kern w:val="0"/>
          <w:sz w:val="32"/>
          <w:szCs w:val="32"/>
          <w:u w:val="none"/>
          <w:lang w:val="en-US" w:eastAsia="zh-CN"/>
        </w:rPr>
      </w:pPr>
      <w:r>
        <w:rPr>
          <w:rFonts w:hint="eastAsia" w:eastAsia="仿宋_GB2312" w:cs="仿宋_GB2312"/>
          <w:snapToGrid w:val="0"/>
          <w:color w:val="auto"/>
          <w:kern w:val="0"/>
          <w:sz w:val="32"/>
          <w:szCs w:val="32"/>
          <w:u w:val="none"/>
          <w:lang w:val="en-US" w:eastAsia="zh-CN"/>
        </w:rPr>
        <w:t>若含有其他集成功能，需详细描述结构组成及其部件功能。</w:t>
      </w:r>
    </w:p>
    <w:p w14:paraId="449D133F">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r>
        <w:rPr>
          <w:rFonts w:hint="eastAsia" w:ascii="Times New Roman" w:hAnsi="Times New Roman" w:eastAsia="仿宋_GB2312"/>
          <w:snapToGrid w:val="0"/>
          <w:color w:val="333333"/>
          <w:kern w:val="0"/>
          <w:sz w:val="32"/>
          <w:szCs w:val="32"/>
        </w:rPr>
        <w:t>2.</w:t>
      </w:r>
      <w:r>
        <w:rPr>
          <w:rFonts w:hint="eastAsia" w:ascii="Times New Roman" w:hAnsi="Times New Roman" w:eastAsia="仿宋_GB2312"/>
          <w:snapToGrid w:val="0"/>
          <w:color w:val="333333"/>
          <w:kern w:val="0"/>
          <w:sz w:val="32"/>
          <w:szCs w:val="32"/>
          <w:lang w:val="en-US" w:eastAsia="zh-CN"/>
        </w:rPr>
        <w:t>3</w:t>
      </w:r>
      <w:r>
        <w:rPr>
          <w:rFonts w:hint="eastAsia" w:ascii="Times New Roman" w:hAnsi="Times New Roman" w:eastAsia="仿宋_GB2312"/>
          <w:snapToGrid w:val="0"/>
          <w:color w:val="333333"/>
          <w:kern w:val="0"/>
          <w:sz w:val="32"/>
          <w:szCs w:val="32"/>
        </w:rPr>
        <w:t>型号规格</w:t>
      </w:r>
    </w:p>
    <w:p w14:paraId="05825058">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对于注册单元中含有多种型号规格的情况，应列表明确各型号规格的区别，体现其差异。应明确不同型号规格划分的依据。特别说明不同型号间的差异，必要时可以配图。</w:t>
      </w:r>
    </w:p>
    <w:p w14:paraId="5BEED201">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r>
        <w:rPr>
          <w:rFonts w:hint="eastAsia" w:ascii="Times New Roman" w:hAnsi="Times New Roman" w:eastAsia="仿宋_GB2312"/>
          <w:snapToGrid w:val="0"/>
          <w:color w:val="333333"/>
          <w:kern w:val="0"/>
          <w:sz w:val="32"/>
          <w:szCs w:val="32"/>
        </w:rPr>
        <w:t>2.</w:t>
      </w:r>
      <w:r>
        <w:rPr>
          <w:rFonts w:hint="eastAsia" w:ascii="Times New Roman" w:hAnsi="Times New Roman" w:eastAsia="仿宋_GB2312"/>
          <w:snapToGrid w:val="0"/>
          <w:color w:val="333333"/>
          <w:kern w:val="0"/>
          <w:sz w:val="32"/>
          <w:szCs w:val="32"/>
          <w:lang w:val="en-US" w:eastAsia="zh-CN"/>
        </w:rPr>
        <w:t>4</w:t>
      </w:r>
      <w:r>
        <w:rPr>
          <w:rFonts w:hint="eastAsia" w:ascii="Times New Roman" w:hAnsi="Times New Roman" w:eastAsia="仿宋_GB2312"/>
          <w:snapToGrid w:val="0"/>
          <w:color w:val="333333"/>
          <w:kern w:val="0"/>
          <w:sz w:val="32"/>
          <w:szCs w:val="32"/>
        </w:rPr>
        <w:t>包装说明</w:t>
      </w:r>
    </w:p>
    <w:p w14:paraId="214525FF">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说明产品包装信息，牙科手机的包装应该能够保护牙科手机免受不利的储存和运输条件影响所造成的损害。若使用者在进行灭菌前需要包装时，应当提供正确包装的信息（如材料、成分和尺寸等）。</w:t>
      </w:r>
    </w:p>
    <w:p w14:paraId="73ACAFBA">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r>
        <w:rPr>
          <w:rFonts w:hint="eastAsia" w:ascii="Times New Roman" w:hAnsi="Times New Roman" w:eastAsia="仿宋_GB2312"/>
          <w:snapToGrid w:val="0"/>
          <w:color w:val="333333"/>
          <w:kern w:val="0"/>
          <w:sz w:val="32"/>
          <w:szCs w:val="32"/>
        </w:rPr>
        <w:t>2.</w:t>
      </w:r>
      <w:r>
        <w:rPr>
          <w:rFonts w:hint="eastAsia" w:ascii="Times New Roman" w:hAnsi="Times New Roman" w:eastAsia="仿宋_GB2312"/>
          <w:snapToGrid w:val="0"/>
          <w:color w:val="333333"/>
          <w:kern w:val="0"/>
          <w:sz w:val="32"/>
          <w:szCs w:val="32"/>
          <w:lang w:val="en-US" w:eastAsia="zh-CN"/>
        </w:rPr>
        <w:t>5</w:t>
      </w:r>
      <w:r>
        <w:rPr>
          <w:rFonts w:hint="eastAsia" w:ascii="Times New Roman" w:hAnsi="Times New Roman" w:eastAsia="仿宋_GB2312"/>
          <w:snapToGrid w:val="0"/>
          <w:color w:val="333333"/>
          <w:kern w:val="0"/>
          <w:sz w:val="32"/>
          <w:szCs w:val="32"/>
        </w:rPr>
        <w:t>研发历程</w:t>
      </w:r>
    </w:p>
    <w:p w14:paraId="754E6D77">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如本公司已有同类产品上市，应在研发背景中描述相比同类产品的区别，包括改进的内容、实现方式、解决的技术问题或临床问题等。</w:t>
      </w:r>
    </w:p>
    <w:p w14:paraId="0E1EF483">
      <w:pPr>
        <w:pStyle w:val="52"/>
        <w:overflowPunct w:val="0"/>
        <w:autoSpaceDE w:val="0"/>
        <w:autoSpaceDN w:val="0"/>
        <w:spacing w:line="520" w:lineRule="exact"/>
        <w:ind w:right="210" w:firstLine="640"/>
        <w:outlineLvl w:val="3"/>
        <w:rPr>
          <w:rFonts w:ascii="Times New Roman" w:hAnsi="Times New Roman" w:eastAsia="仿宋_GB2312"/>
          <w:snapToGrid w:val="0"/>
          <w:color w:val="333333"/>
          <w:kern w:val="0"/>
          <w:sz w:val="32"/>
          <w:szCs w:val="32"/>
        </w:rPr>
      </w:pPr>
      <w:r>
        <w:rPr>
          <w:rFonts w:hint="eastAsia" w:ascii="Times New Roman" w:hAnsi="Times New Roman" w:eastAsia="仿宋_GB2312"/>
          <w:snapToGrid w:val="0"/>
          <w:color w:val="333333"/>
          <w:kern w:val="0"/>
          <w:sz w:val="32"/>
          <w:szCs w:val="32"/>
        </w:rPr>
        <w:t>2.</w:t>
      </w:r>
      <w:r>
        <w:rPr>
          <w:rFonts w:hint="eastAsia" w:ascii="Times New Roman" w:hAnsi="Times New Roman" w:eastAsia="仿宋_GB2312"/>
          <w:snapToGrid w:val="0"/>
          <w:color w:val="333333"/>
          <w:kern w:val="0"/>
          <w:sz w:val="32"/>
          <w:szCs w:val="32"/>
          <w:lang w:val="en-US" w:eastAsia="zh-CN"/>
        </w:rPr>
        <w:t>6</w:t>
      </w:r>
      <w:r>
        <w:rPr>
          <w:rFonts w:hint="eastAsia" w:ascii="Times New Roman" w:hAnsi="Times New Roman" w:eastAsia="仿宋_GB2312"/>
          <w:snapToGrid w:val="0"/>
          <w:color w:val="333333"/>
          <w:kern w:val="0"/>
          <w:sz w:val="32"/>
          <w:szCs w:val="32"/>
        </w:rPr>
        <w:t>与同类和/或前代产品的参考和比较</w:t>
      </w:r>
    </w:p>
    <w:p w14:paraId="78EF99DA">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应明确与同类和/或前代产品的差异，同类产品应明确生产商，如是已在我国取得注册证产品，应明确注册证号。重点明确以下差异：工作原理、结构组成、主要技术参数、材料（特别是预期与人体接触部分的材料）、适用范围等。其中主要技术参数对比应至少包含技术要求中涉及的性能参数。</w:t>
      </w:r>
    </w:p>
    <w:p w14:paraId="52023A77">
      <w:pPr>
        <w:spacing w:line="520" w:lineRule="exact"/>
        <w:ind w:firstLine="640" w:firstLineChars="200"/>
        <w:outlineLvl w:val="2"/>
        <w:rPr>
          <w:rFonts w:eastAsia="仿宋_GB2312"/>
          <w:color w:val="333333"/>
        </w:rPr>
      </w:pPr>
      <w:r>
        <w:rPr>
          <w:rFonts w:hint="eastAsia" w:eastAsia="仿宋_GB2312"/>
          <w:color w:val="333333"/>
          <w:sz w:val="32"/>
          <w:szCs w:val="32"/>
        </w:rPr>
        <w:t>3.适用范围和禁忌证</w:t>
      </w:r>
    </w:p>
    <w:p w14:paraId="423B1DA2">
      <w:pPr>
        <w:overflowPunct w:val="0"/>
        <w:autoSpaceDE w:val="0"/>
        <w:autoSpaceDN w:val="0"/>
        <w:spacing w:line="520" w:lineRule="exact"/>
        <w:ind w:firstLine="640" w:firstLineChars="200"/>
        <w:rPr>
          <w:rFonts w:hint="eastAsia" w:eastAsia="仿宋_GB2312" w:cs="仿宋_GB2312"/>
          <w:snapToGrid w:val="0"/>
          <w:color w:val="auto"/>
          <w:kern w:val="0"/>
          <w:sz w:val="32"/>
          <w:szCs w:val="32"/>
          <w:lang w:eastAsia="zh-CN"/>
        </w:rPr>
      </w:pPr>
      <w:r>
        <w:rPr>
          <w:rFonts w:hint="eastAsia" w:eastAsia="仿宋_GB2312" w:cs="仿宋_GB2312"/>
          <w:snapToGrid w:val="0"/>
          <w:kern w:val="0"/>
          <w:sz w:val="32"/>
          <w:szCs w:val="32"/>
        </w:rPr>
        <w:t>产品一般用于夹持车针、牙钻、牙锉等旋转器械，驱动其运动从而实现切、磨、削、钻等牙科手术操作。</w:t>
      </w:r>
      <w:r>
        <w:rPr>
          <w:rFonts w:hint="eastAsia" w:eastAsia="仿宋_GB2312" w:cs="仿宋_GB2312"/>
          <w:snapToGrid w:val="0"/>
          <w:color w:val="auto"/>
          <w:kern w:val="0"/>
          <w:sz w:val="32"/>
          <w:szCs w:val="32"/>
          <w:lang w:eastAsia="zh-CN"/>
        </w:rPr>
        <w:t>申请人根据产品实际夹持情况和临床用途进行描述。</w:t>
      </w:r>
    </w:p>
    <w:p w14:paraId="3C88AD24">
      <w:pPr>
        <w:overflowPunct w:val="0"/>
        <w:autoSpaceDE w:val="0"/>
        <w:autoSpaceDN w:val="0"/>
        <w:spacing w:line="520" w:lineRule="exact"/>
        <w:ind w:firstLine="640" w:firstLineChars="200"/>
        <w:rPr>
          <w:rFonts w:hint="eastAsia" w:eastAsia="仿宋_GB2312" w:cs="仿宋_GB2312"/>
          <w:snapToGrid w:val="0"/>
          <w:color w:val="auto"/>
          <w:kern w:val="0"/>
          <w:sz w:val="32"/>
          <w:szCs w:val="32"/>
          <w:lang w:eastAsia="zh-CN"/>
        </w:rPr>
      </w:pPr>
      <w:r>
        <w:rPr>
          <w:rFonts w:hint="eastAsia" w:eastAsia="仿宋_GB2312" w:cs="仿宋_GB2312"/>
          <w:snapToGrid w:val="0"/>
          <w:color w:val="auto"/>
          <w:kern w:val="0"/>
          <w:sz w:val="32"/>
          <w:szCs w:val="32"/>
        </w:rPr>
        <w:t>举例：适用于医务人员在口腔治疗过程中，用来夹持牙科车针进行钻、磨和切削牙齿用</w:t>
      </w:r>
      <w:r>
        <w:rPr>
          <w:rFonts w:hint="eastAsia" w:eastAsia="仿宋_GB2312" w:cs="仿宋_GB2312"/>
          <w:snapToGrid w:val="0"/>
          <w:color w:val="auto"/>
          <w:kern w:val="0"/>
          <w:sz w:val="32"/>
          <w:szCs w:val="32"/>
          <w:lang w:eastAsia="zh-CN"/>
        </w:rPr>
        <w:t>。</w:t>
      </w:r>
    </w:p>
    <w:p w14:paraId="3750E424">
      <w:pPr>
        <w:pStyle w:val="31"/>
        <w:overflowPunct w:val="0"/>
        <w:autoSpaceDE w:val="0"/>
        <w:autoSpaceDN w:val="0"/>
        <w:spacing w:line="520" w:lineRule="exact"/>
        <w:ind w:firstLine="640" w:firstLineChars="200"/>
        <w:rPr>
          <w:rFonts w:eastAsia="仿宋_GB2312" w:cs="仿宋_GB2312"/>
          <w:snapToGrid w:val="0"/>
          <w:sz w:val="32"/>
          <w:szCs w:val="32"/>
        </w:rPr>
      </w:pPr>
      <w:r>
        <w:rPr>
          <w:rFonts w:hint="eastAsia" w:eastAsia="仿宋_GB2312" w:cs="仿宋_GB2312"/>
          <w:snapToGrid w:val="0"/>
          <w:sz w:val="32"/>
          <w:szCs w:val="32"/>
        </w:rPr>
        <w:t>禁忌证：</w:t>
      </w:r>
    </w:p>
    <w:p w14:paraId="7C888209">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（1）血友病患者慎用。</w:t>
      </w:r>
    </w:p>
    <w:p w14:paraId="0C655689">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（2）带有心脏起搏器的患者或医生慎用电动马达驱动手机。</w:t>
      </w:r>
    </w:p>
    <w:p w14:paraId="22E1DC98">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（3）心脏病患者、孕妇及幼儿慎用。</w:t>
      </w:r>
    </w:p>
    <w:p w14:paraId="155C696B">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其他禁忌证可根据临床使用的实际情况制定。</w:t>
      </w:r>
    </w:p>
    <w:p w14:paraId="30ECF260">
      <w:pPr>
        <w:spacing w:line="520" w:lineRule="exact"/>
        <w:ind w:firstLine="640" w:firstLineChars="200"/>
        <w:outlineLvl w:val="2"/>
        <w:rPr>
          <w:rFonts w:eastAsia="仿宋_GB2312"/>
          <w:sz w:val="32"/>
          <w:szCs w:val="32"/>
        </w:rPr>
      </w:pPr>
      <w:r>
        <w:rPr>
          <w:rFonts w:hint="eastAsia" w:eastAsia="仿宋_GB2312"/>
          <w:sz w:val="32"/>
          <w:szCs w:val="32"/>
        </w:rPr>
        <w:t>4.申报产品上市历史</w:t>
      </w:r>
    </w:p>
    <w:p w14:paraId="17ABCAD1">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如适用，应提供申报产品在各国家或地区的上市批准时间、销售情况。</w:t>
      </w:r>
    </w:p>
    <w:p w14:paraId="10C12490">
      <w:pPr>
        <w:overflowPunct w:val="0"/>
        <w:autoSpaceDE w:val="0"/>
        <w:autoSpaceDN w:val="0"/>
        <w:spacing w:line="520" w:lineRule="exact"/>
        <w:ind w:firstLine="640" w:firstLineChars="200"/>
        <w:rPr>
          <w:rFonts w:eastAsia="仿宋_GB2312" w:cs="仿宋_GB2312"/>
          <w:snapToGrid w:val="0"/>
          <w:color w:val="333333"/>
          <w:kern w:val="0"/>
          <w:sz w:val="32"/>
          <w:szCs w:val="32"/>
        </w:rPr>
      </w:pPr>
      <w:r>
        <w:rPr>
          <w:rFonts w:hint="eastAsia" w:eastAsia="仿宋_GB2312" w:cs="仿宋_GB2312"/>
          <w:snapToGrid w:val="0"/>
          <w:color w:val="333333"/>
          <w:kern w:val="0"/>
          <w:sz w:val="32"/>
          <w:szCs w:val="32"/>
        </w:rPr>
        <w:t>如适用，应提供申报产品上市后不良事件及召回情况，如不良事件及召回情况描述、原因分析、处理和解决方案、对安全有效性影响的分析评价等。</w:t>
      </w:r>
    </w:p>
    <w:p w14:paraId="25EDFF9B">
      <w:pPr>
        <w:spacing w:line="520" w:lineRule="exact"/>
        <w:ind w:firstLine="640" w:firstLineChars="200"/>
        <w:outlineLvl w:val="2"/>
        <w:rPr>
          <w:rFonts w:eastAsia="仿宋_GB2312"/>
          <w:color w:val="333333"/>
          <w:sz w:val="32"/>
          <w:szCs w:val="32"/>
          <w:highlight w:val="none"/>
        </w:rPr>
      </w:pPr>
      <w:r>
        <w:rPr>
          <w:rFonts w:hint="eastAsia" w:eastAsia="仿宋_GB2312"/>
          <w:color w:val="333333"/>
          <w:sz w:val="32"/>
          <w:szCs w:val="32"/>
          <w:highlight w:val="none"/>
        </w:rPr>
        <w:t>5.其他需说明的内容</w:t>
      </w:r>
    </w:p>
    <w:p w14:paraId="04FEAF97">
      <w:pPr>
        <w:overflowPunct w:val="0"/>
        <w:autoSpaceDE w:val="0"/>
        <w:autoSpaceDN w:val="0"/>
        <w:spacing w:line="520" w:lineRule="exact"/>
        <w:ind w:firstLine="640" w:firstLineChars="200"/>
        <w:rPr>
          <w:rFonts w:hint="eastAsia" w:eastAsia="仿宋_GB2312" w:cs="仿宋_GB2312"/>
          <w:snapToGrid w:val="0"/>
          <w:color w:val="333333"/>
          <w:kern w:val="0"/>
          <w:sz w:val="32"/>
          <w:szCs w:val="32"/>
          <w:highlight w:val="none"/>
        </w:rPr>
      </w:pPr>
      <w:r>
        <w:rPr>
          <w:rFonts w:hint="eastAsia" w:eastAsia="仿宋_GB2312" w:cs="仿宋_GB2312"/>
          <w:snapToGrid w:val="0"/>
          <w:color w:val="333333"/>
          <w:kern w:val="0"/>
          <w:sz w:val="32"/>
          <w:szCs w:val="32"/>
          <w:highlight w:val="none"/>
        </w:rPr>
        <w:t>申请人需明确与</w:t>
      </w:r>
      <w:r>
        <w:rPr>
          <w:rFonts w:hint="eastAsia" w:eastAsia="仿宋_GB2312" w:cs="仿宋_GB2312"/>
          <w:snapToGrid w:val="0"/>
          <w:color w:val="333333"/>
          <w:kern w:val="0"/>
          <w:sz w:val="32"/>
          <w:szCs w:val="32"/>
          <w:highlight w:val="none"/>
          <w:lang w:eastAsia="zh-CN"/>
        </w:rPr>
        <w:t>牙科手机</w:t>
      </w:r>
      <w:r>
        <w:rPr>
          <w:rFonts w:hint="eastAsia" w:eastAsia="仿宋_GB2312" w:cs="仿宋_GB2312"/>
          <w:snapToGrid w:val="0"/>
          <w:color w:val="333333"/>
          <w:kern w:val="0"/>
          <w:sz w:val="32"/>
          <w:szCs w:val="32"/>
          <w:highlight w:val="none"/>
        </w:rPr>
        <w:t>联合使用实现预期用途的其他产品的详细信息，如配合使用的</w:t>
      </w:r>
      <w:r>
        <w:rPr>
          <w:rFonts w:hint="eastAsia" w:eastAsia="仿宋_GB2312" w:cs="仿宋_GB2312"/>
          <w:snapToGrid w:val="0"/>
          <w:color w:val="333333"/>
          <w:kern w:val="0"/>
          <w:sz w:val="32"/>
          <w:szCs w:val="32"/>
          <w:highlight w:val="none"/>
          <w:lang w:eastAsia="zh-CN"/>
        </w:rPr>
        <w:t>马达、被夹持产品等</w:t>
      </w:r>
      <w:r>
        <w:rPr>
          <w:rFonts w:hint="eastAsia" w:eastAsia="仿宋_GB2312" w:cs="仿宋_GB2312"/>
          <w:snapToGrid w:val="0"/>
          <w:color w:val="333333"/>
          <w:kern w:val="0"/>
          <w:sz w:val="32"/>
          <w:szCs w:val="32"/>
          <w:highlight w:val="none"/>
        </w:rPr>
        <w:t>。</w:t>
      </w:r>
    </w:p>
    <w:p w14:paraId="76AEED89">
      <w:pPr>
        <w:overflowPunct w:val="0"/>
        <w:autoSpaceDE w:val="0"/>
        <w:autoSpaceDN w:val="0"/>
        <w:spacing w:line="520" w:lineRule="exact"/>
        <w:ind w:firstLine="640" w:firstLineChars="200"/>
        <w:rPr>
          <w:rFonts w:hint="eastAsia" w:eastAsia="仿宋_GB2312" w:cs="仿宋_GB2312"/>
          <w:snapToGrid w:val="0"/>
          <w:color w:val="333333"/>
          <w:kern w:val="0"/>
          <w:sz w:val="32"/>
          <w:szCs w:val="32"/>
        </w:rPr>
      </w:pPr>
      <w:r>
        <w:rPr>
          <w:rFonts w:hint="eastAsia" w:eastAsia="仿宋_GB2312" w:cs="仿宋_GB2312"/>
          <w:snapToGrid w:val="0"/>
          <w:color w:val="333333"/>
          <w:kern w:val="0"/>
          <w:sz w:val="32"/>
          <w:szCs w:val="32"/>
          <w:highlight w:val="none"/>
        </w:rPr>
        <w:t>对于已获得批准的部件或配合使用的附件，申请人需提供注册证编号和国家药监局官方网站公布的注册证信息。</w:t>
      </w:r>
    </w:p>
    <w:p w14:paraId="061575AD">
      <w:pPr>
        <w:overflowPunct w:val="0"/>
        <w:autoSpaceDE w:val="0"/>
        <w:autoSpaceDN w:val="0"/>
        <w:spacing w:line="520" w:lineRule="exact"/>
        <w:ind w:left="221" w:firstLine="200"/>
        <w:outlineLvl w:val="1"/>
        <w:rPr>
          <w:rFonts w:eastAsia="楷体_GB2312"/>
          <w:color w:val="000000"/>
          <w:sz w:val="32"/>
          <w:szCs w:val="32"/>
        </w:rPr>
      </w:pPr>
      <w:bookmarkStart w:id="4" w:name="_Toc432753649"/>
      <w:r>
        <w:rPr>
          <w:rFonts w:hint="eastAsia" w:eastAsia="楷体_GB2312"/>
          <w:color w:val="000000"/>
          <w:sz w:val="32"/>
          <w:szCs w:val="32"/>
        </w:rPr>
        <w:t>（三）非</w:t>
      </w:r>
      <w:r>
        <w:rPr>
          <w:rFonts w:eastAsia="楷体_GB2312"/>
          <w:color w:val="000000"/>
          <w:sz w:val="32"/>
          <w:szCs w:val="32"/>
        </w:rPr>
        <w:t>临床</w:t>
      </w:r>
      <w:r>
        <w:rPr>
          <w:rFonts w:hint="eastAsia" w:eastAsia="楷体_GB2312"/>
          <w:color w:val="000000"/>
          <w:sz w:val="32"/>
          <w:szCs w:val="32"/>
        </w:rPr>
        <w:t>资料</w:t>
      </w:r>
    </w:p>
    <w:p w14:paraId="101DF940">
      <w:pPr>
        <w:overflowPunct w:val="0"/>
        <w:autoSpaceDE w:val="0"/>
        <w:autoSpaceDN w:val="0"/>
        <w:spacing w:line="520" w:lineRule="exact"/>
        <w:ind w:firstLine="640" w:firstLineChars="200"/>
        <w:outlineLvl w:val="2"/>
        <w:rPr>
          <w:rFonts w:hint="eastAsia" w:eastAsia="仿宋_GB2312"/>
          <w:snapToGrid w:val="0"/>
          <w:color w:val="000000"/>
          <w:kern w:val="0"/>
          <w:sz w:val="32"/>
          <w:szCs w:val="32"/>
        </w:rPr>
      </w:pPr>
      <w:r>
        <w:rPr>
          <w:rFonts w:hint="eastAsia" w:eastAsia="仿宋_GB2312"/>
          <w:snapToGrid w:val="0"/>
          <w:color w:val="000000"/>
          <w:kern w:val="0"/>
          <w:sz w:val="32"/>
          <w:szCs w:val="32"/>
          <w:highlight w:val="none"/>
        </w:rPr>
        <w:t>1.产品风险</w:t>
      </w:r>
      <w:bookmarkEnd w:id="4"/>
      <w:r>
        <w:rPr>
          <w:rFonts w:hint="eastAsia" w:eastAsia="仿宋_GB2312"/>
          <w:snapToGrid w:val="0"/>
          <w:color w:val="000000"/>
          <w:kern w:val="0"/>
          <w:sz w:val="32"/>
          <w:szCs w:val="32"/>
          <w:highlight w:val="none"/>
        </w:rPr>
        <w:t>管理资料</w:t>
      </w:r>
    </w:p>
    <w:p w14:paraId="7B7669C3">
      <w:pPr>
        <w:adjustRightInd w:val="0"/>
        <w:snapToGrid w:val="0"/>
        <w:spacing w:line="520" w:lineRule="exact"/>
        <w:ind w:firstLine="640" w:firstLineChars="200"/>
        <w:rPr>
          <w:rFonts w:hint="eastAsia" w:eastAsia="仿宋_GB2312"/>
          <w:color w:val="000000"/>
          <w:sz w:val="32"/>
        </w:rPr>
      </w:pPr>
      <w:r>
        <w:rPr>
          <w:rFonts w:hint="eastAsia" w:eastAsia="仿宋_GB2312"/>
          <w:color w:val="000000"/>
          <w:sz w:val="32"/>
        </w:rPr>
        <w:t>申请人可参考GB/T 42062及YY/T 1437标准对产品进行全生命周期风险管理，提交风险管理资料。</w:t>
      </w:r>
    </w:p>
    <w:p w14:paraId="7B061EC2">
      <w:pPr>
        <w:adjustRightInd w:val="0"/>
        <w:snapToGrid w:val="0"/>
        <w:spacing w:line="520" w:lineRule="exact"/>
        <w:ind w:firstLine="640" w:firstLineChars="200"/>
        <w:rPr>
          <w:rFonts w:hint="eastAsia" w:eastAsia="仿宋_GB2312"/>
          <w:color w:val="000000"/>
          <w:sz w:val="32"/>
        </w:rPr>
      </w:pPr>
      <w:r>
        <w:rPr>
          <w:rFonts w:hint="eastAsia" w:eastAsia="仿宋_GB2312"/>
          <w:color w:val="000000"/>
          <w:sz w:val="32"/>
        </w:rPr>
        <w:t>建议参考GB/T 42062标准及规范性文件，结合产品自身设计特点、临床用途及使用场景，充分识别与安全有关的特征，进行风险分析、评价及控制。风险控制的方案与实施、综合剩余风险的评价可参考GB/T 42062标准第7、第8章的相关要求。应确保各风险的可追溯性，提供各风险及综合剩余风险的可接受准则，确认各风险及综合剩余风险可接受。</w:t>
      </w:r>
    </w:p>
    <w:p w14:paraId="2480C230">
      <w:pPr>
        <w:adjustRightInd w:val="0"/>
        <w:snapToGrid w:val="0"/>
        <w:spacing w:line="520" w:lineRule="exact"/>
        <w:ind w:firstLine="640" w:firstLineChars="200"/>
        <w:rPr>
          <w:rFonts w:hint="eastAsia" w:eastAsia="仿宋_GB2312"/>
          <w:snapToGrid w:val="0"/>
          <w:color w:val="000000"/>
          <w:kern w:val="0"/>
          <w:sz w:val="32"/>
          <w:szCs w:val="32"/>
        </w:rPr>
      </w:pPr>
      <w:r>
        <w:rPr>
          <w:rFonts w:hint="eastAsia" w:eastAsia="仿宋_GB2312"/>
          <w:color w:val="000000"/>
          <w:sz w:val="32"/>
          <w:lang w:eastAsia="zh-CN"/>
        </w:rPr>
        <w:t>牙科手机</w:t>
      </w:r>
      <w:r>
        <w:rPr>
          <w:rFonts w:hint="eastAsia" w:eastAsia="仿宋_GB2312"/>
          <w:color w:val="000000"/>
          <w:sz w:val="32"/>
        </w:rPr>
        <w:t>风险要素及示例见附件1</w:t>
      </w:r>
      <w:r>
        <w:rPr>
          <w:rFonts w:eastAsia="仿宋_GB2312"/>
          <w:color w:val="000000"/>
          <w:sz w:val="32"/>
        </w:rPr>
        <w:t>。</w:t>
      </w:r>
    </w:p>
    <w:p w14:paraId="035A599D">
      <w:pPr>
        <w:tabs>
          <w:tab w:val="left" w:pos="8040"/>
        </w:tabs>
        <w:spacing w:line="520" w:lineRule="exact"/>
        <w:ind w:firstLine="640" w:firstLineChars="200"/>
        <w:rPr>
          <w:rFonts w:eastAsia="仿宋"/>
          <w:color w:val="000000"/>
          <w:sz w:val="32"/>
          <w:szCs w:val="32"/>
        </w:rPr>
      </w:pPr>
      <w:bookmarkStart w:id="5" w:name="_Toc432753650"/>
      <w:r>
        <w:rPr>
          <w:rFonts w:hint="eastAsia" w:eastAsia="仿宋"/>
          <w:color w:val="000000"/>
          <w:sz w:val="32"/>
          <w:szCs w:val="32"/>
        </w:rPr>
        <w:t>2.</w:t>
      </w:r>
      <w:r>
        <w:rPr>
          <w:rFonts w:ascii="仿宋_GB2312" w:hAnsi="仿宋_GB2312" w:eastAsia="仿宋_GB2312" w:cs="仿宋_GB2312"/>
          <w:color w:val="000000"/>
          <w:sz w:val="32"/>
        </w:rPr>
        <w:t>医疗器械安全和性能基本原则清单</w:t>
      </w:r>
    </w:p>
    <w:p w14:paraId="739D08A5">
      <w:pPr>
        <w:tabs>
          <w:tab w:val="left" w:pos="8040"/>
        </w:tabs>
        <w:spacing w:line="520" w:lineRule="exact"/>
        <w:ind w:firstLine="640" w:firstLineChars="200"/>
        <w:rPr>
          <w:rFonts w:eastAsia="仿宋"/>
          <w:color w:val="000000"/>
          <w:sz w:val="32"/>
          <w:szCs w:val="32"/>
        </w:rPr>
      </w:pPr>
      <w:r>
        <w:rPr>
          <w:rFonts w:ascii="仿宋_GB2312" w:hAnsi="仿宋_GB2312" w:eastAsia="仿宋_GB2312" w:cs="仿宋_GB2312"/>
          <w:color w:val="000000"/>
          <w:sz w:val="32"/>
        </w:rPr>
        <w:t>注册申请人可参考《医疗器械安全和性能基本原则符合性技术指南》编写该清单。对于《医疗器械安全和性能基本原则清单》中不适用的各项要求，说明理由。</w:t>
      </w:r>
    </w:p>
    <w:p w14:paraId="200E5163">
      <w:pPr>
        <w:overflowPunct w:val="0"/>
        <w:autoSpaceDE w:val="0"/>
        <w:autoSpaceDN w:val="0"/>
        <w:spacing w:line="520" w:lineRule="exact"/>
        <w:ind w:firstLine="640" w:firstLineChars="200"/>
        <w:outlineLvl w:val="2"/>
        <w:rPr>
          <w:rFonts w:eastAsia="仿宋_GB2312" w:cs="仿宋_GB2312"/>
          <w:snapToGrid w:val="0"/>
          <w:color w:val="000000"/>
          <w:kern w:val="0"/>
          <w:sz w:val="32"/>
          <w:szCs w:val="32"/>
        </w:rPr>
      </w:pPr>
      <w:r>
        <w:rPr>
          <w:rFonts w:hint="eastAsia" w:eastAsia="仿宋"/>
          <w:color w:val="000000"/>
          <w:sz w:val="32"/>
          <w:szCs w:val="32"/>
        </w:rPr>
        <w:t>3.</w:t>
      </w:r>
      <w:r>
        <w:rPr>
          <w:rFonts w:hint="eastAsia" w:eastAsia="仿宋_GB2312" w:cs="仿宋_GB2312"/>
          <w:snapToGrid w:val="0"/>
          <w:color w:val="000000"/>
          <w:kern w:val="0"/>
          <w:sz w:val="32"/>
          <w:szCs w:val="32"/>
        </w:rPr>
        <w:t>产品技术要求</w:t>
      </w:r>
      <w:bookmarkEnd w:id="5"/>
      <w:r>
        <w:rPr>
          <w:rFonts w:hint="eastAsia" w:eastAsia="仿宋_GB2312" w:cs="仿宋_GB2312"/>
          <w:snapToGrid w:val="0"/>
          <w:color w:val="000000"/>
          <w:kern w:val="0"/>
          <w:sz w:val="32"/>
          <w:szCs w:val="32"/>
        </w:rPr>
        <w:t>及</w:t>
      </w:r>
      <w:r>
        <w:rPr>
          <w:rFonts w:eastAsia="仿宋_GB2312" w:cs="仿宋_GB2312"/>
          <w:snapToGrid w:val="0"/>
          <w:color w:val="000000"/>
          <w:kern w:val="0"/>
          <w:sz w:val="32"/>
          <w:szCs w:val="32"/>
        </w:rPr>
        <w:t>检</w:t>
      </w:r>
      <w:r>
        <w:rPr>
          <w:rFonts w:hint="eastAsia" w:eastAsia="仿宋_GB2312" w:cs="仿宋_GB2312"/>
          <w:snapToGrid w:val="0"/>
          <w:color w:val="000000"/>
          <w:kern w:val="0"/>
          <w:sz w:val="32"/>
          <w:szCs w:val="32"/>
        </w:rPr>
        <w:t>验</w:t>
      </w:r>
      <w:r>
        <w:rPr>
          <w:rFonts w:eastAsia="仿宋_GB2312" w:cs="仿宋_GB2312"/>
          <w:snapToGrid w:val="0"/>
          <w:color w:val="000000"/>
          <w:kern w:val="0"/>
          <w:sz w:val="32"/>
          <w:szCs w:val="32"/>
        </w:rPr>
        <w:t>报告</w:t>
      </w:r>
    </w:p>
    <w:p w14:paraId="123752B9">
      <w:pPr>
        <w:overflowPunct w:val="0"/>
        <w:autoSpaceDE w:val="0"/>
        <w:autoSpaceDN w:val="0"/>
        <w:spacing w:line="520" w:lineRule="exact"/>
        <w:ind w:firstLine="640" w:firstLineChars="200"/>
        <w:outlineLvl w:val="3"/>
        <w:rPr>
          <w:rFonts w:eastAsia="仿宋_GB2312"/>
          <w:snapToGrid w:val="0"/>
          <w:color w:val="000000"/>
          <w:kern w:val="0"/>
          <w:sz w:val="32"/>
          <w:szCs w:val="32"/>
        </w:rPr>
      </w:pPr>
      <w:r>
        <w:rPr>
          <w:rFonts w:hint="eastAsia" w:eastAsia="仿宋_GB2312"/>
          <w:snapToGrid w:val="0"/>
          <w:color w:val="000000"/>
          <w:kern w:val="0"/>
          <w:sz w:val="32"/>
          <w:szCs w:val="32"/>
        </w:rPr>
        <w:t>3.1申报产品适用标准情况</w:t>
      </w:r>
    </w:p>
    <w:p w14:paraId="3256FC0F">
      <w:pPr>
        <w:overflowPunct w:val="0"/>
        <w:autoSpaceDE w:val="0"/>
        <w:autoSpaceDN w:val="0"/>
        <w:spacing w:line="520" w:lineRule="exact"/>
        <w:ind w:firstLine="640" w:firstLineChars="200"/>
        <w:outlineLvl w:val="3"/>
        <w:rPr>
          <w:rFonts w:ascii="黑体" w:hAnsi="黑体" w:eastAsia="黑体" w:cs="黑体"/>
          <w:color w:val="000000"/>
          <w:sz w:val="28"/>
        </w:rPr>
      </w:pPr>
      <w:r>
        <w:rPr>
          <w:rFonts w:hint="eastAsia" w:eastAsia="仿宋_GB2312"/>
          <w:snapToGrid w:val="0"/>
          <w:color w:val="000000"/>
          <w:kern w:val="0"/>
          <w:sz w:val="32"/>
          <w:szCs w:val="32"/>
        </w:rPr>
        <w:t>注册申请人需列表说明申报产品参考的国家标准和行业标准，</w:t>
      </w:r>
      <w:r>
        <w:rPr>
          <w:rFonts w:hint="eastAsia" w:eastAsia="仿宋_GB2312"/>
          <w:color w:val="000000" w:themeColor="text1"/>
          <w:sz w:val="32"/>
          <w:szCs w:val="32"/>
          <w14:textFill>
            <w14:solidFill>
              <w14:schemeClr w14:val="tx1"/>
            </w14:solidFill>
          </w14:textFill>
        </w:rPr>
        <w:t>可以参考下表示例</w:t>
      </w:r>
      <w:r>
        <w:rPr>
          <w:rFonts w:hint="eastAsia" w:eastAsia="仿宋_GB2312"/>
          <w:snapToGrid w:val="0"/>
          <w:color w:val="000000"/>
          <w:kern w:val="0"/>
          <w:sz w:val="32"/>
          <w:szCs w:val="32"/>
        </w:rPr>
        <w:t>。</w:t>
      </w:r>
    </w:p>
    <w:p w14:paraId="4B50E0EA">
      <w:pPr>
        <w:spacing w:line="520" w:lineRule="exact"/>
        <w:jc w:val="center"/>
        <w:rPr>
          <w:rFonts w:ascii="黑体" w:hAnsi="黑体" w:eastAsia="黑体" w:cs="黑体"/>
          <w:color w:val="000000"/>
          <w:sz w:val="22"/>
          <w:szCs w:val="21"/>
        </w:rPr>
      </w:pPr>
    </w:p>
    <w:p w14:paraId="6B4C7920">
      <w:pPr>
        <w:spacing w:line="520" w:lineRule="exact"/>
        <w:jc w:val="center"/>
        <w:rPr>
          <w:rFonts w:eastAsia="仿宋_GB2312"/>
          <w:bCs/>
          <w:color w:val="000000"/>
          <w:sz w:val="32"/>
          <w:szCs w:val="32"/>
        </w:rPr>
      </w:pPr>
      <w:r>
        <w:rPr>
          <w:rFonts w:hint="eastAsia" w:ascii="黑体" w:hAnsi="黑体" w:eastAsia="黑体" w:cs="黑体"/>
          <w:color w:val="000000"/>
          <w:sz w:val="28"/>
        </w:rPr>
        <w:t>表1</w:t>
      </w:r>
      <w:r>
        <w:rPr>
          <w:rFonts w:ascii="黑体" w:hAnsi="黑体" w:eastAsia="黑体" w:cs="黑体"/>
          <w:color w:val="000000"/>
          <w:sz w:val="28"/>
        </w:rPr>
        <w:t>牙科手机参考标准</w:t>
      </w:r>
    </w:p>
    <w:tbl>
      <w:tblPr>
        <w:tblStyle w:val="18"/>
        <w:tblW w:w="87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0"/>
        <w:gridCol w:w="6087"/>
      </w:tblGrid>
      <w:tr w14:paraId="36D9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10" w:space="0"/>
              <w:left w:val="single" w:color="000000" w:sz="10" w:space="0"/>
              <w:bottom w:val="single" w:color="000000" w:sz="10" w:space="0"/>
              <w:right w:val="single" w:color="000000" w:sz="10" w:space="0"/>
            </w:tcBorders>
            <w:tcMar>
              <w:top w:w="0" w:type="dxa"/>
              <w:left w:w="108" w:type="dxa"/>
              <w:bottom w:w="0" w:type="dxa"/>
              <w:right w:w="108" w:type="dxa"/>
            </w:tcMar>
          </w:tcPr>
          <w:p w14:paraId="1E7D5DFE">
            <w:pPr>
              <w:spacing w:line="520" w:lineRule="exact"/>
              <w:rPr>
                <w:rFonts w:eastAsia="仿宋_GB2312"/>
                <w:bCs/>
                <w:color w:val="000000"/>
                <w:sz w:val="28"/>
                <w:szCs w:val="28"/>
              </w:rPr>
            </w:pPr>
            <w:r>
              <w:rPr>
                <w:rFonts w:eastAsia="仿宋_GB2312"/>
                <w:bCs/>
                <w:color w:val="000000"/>
                <w:sz w:val="28"/>
                <w:szCs w:val="28"/>
              </w:rPr>
              <w:t>标准编号</w:t>
            </w:r>
          </w:p>
        </w:tc>
        <w:tc>
          <w:tcPr>
            <w:tcW w:w="6087" w:type="dxa"/>
            <w:tcBorders>
              <w:top w:val="single" w:color="000000" w:sz="10" w:space="0"/>
              <w:left w:val="single" w:color="000000" w:sz="10" w:space="0"/>
              <w:bottom w:val="single" w:color="000000" w:sz="10" w:space="0"/>
              <w:right w:val="single" w:color="000000" w:sz="10" w:space="0"/>
            </w:tcBorders>
            <w:tcMar>
              <w:top w:w="0" w:type="dxa"/>
              <w:left w:w="108" w:type="dxa"/>
              <w:bottom w:w="0" w:type="dxa"/>
              <w:right w:w="108" w:type="dxa"/>
            </w:tcMar>
          </w:tcPr>
          <w:p w14:paraId="130276F8">
            <w:pPr>
              <w:spacing w:line="520" w:lineRule="exact"/>
              <w:rPr>
                <w:rFonts w:eastAsia="仿宋_GB2312"/>
                <w:bCs/>
                <w:color w:val="000000"/>
                <w:sz w:val="28"/>
                <w:szCs w:val="28"/>
              </w:rPr>
            </w:pPr>
            <w:r>
              <w:rPr>
                <w:rFonts w:eastAsia="仿宋_GB2312"/>
                <w:bCs/>
                <w:color w:val="000000"/>
                <w:sz w:val="28"/>
                <w:szCs w:val="28"/>
              </w:rPr>
              <w:t>标准名称</w:t>
            </w:r>
          </w:p>
        </w:tc>
      </w:tr>
      <w:tr w14:paraId="5271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050F2858">
            <w:pPr>
              <w:spacing w:line="520" w:lineRule="exact"/>
              <w:rPr>
                <w:rFonts w:eastAsia="仿宋_GB2312"/>
                <w:bCs/>
                <w:color w:val="000000"/>
                <w:sz w:val="28"/>
                <w:szCs w:val="28"/>
              </w:rPr>
            </w:pPr>
            <w:r>
              <w:rPr>
                <w:rFonts w:eastAsia="仿宋_GB2312"/>
                <w:bCs/>
                <w:color w:val="000000"/>
                <w:sz w:val="28"/>
                <w:szCs w:val="28"/>
              </w:rPr>
              <w:t>GB 9706.1</w:t>
            </w:r>
          </w:p>
        </w:tc>
        <w:tc>
          <w:tcPr>
            <w:tcW w:w="6087"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55C2A962">
            <w:pPr>
              <w:spacing w:line="520" w:lineRule="exact"/>
              <w:rPr>
                <w:rFonts w:eastAsia="仿宋_GB2312"/>
                <w:bCs/>
                <w:color w:val="000000"/>
                <w:sz w:val="28"/>
                <w:szCs w:val="28"/>
              </w:rPr>
            </w:pPr>
            <w:r>
              <w:rPr>
                <w:rFonts w:eastAsia="仿宋_GB2312"/>
                <w:bCs/>
                <w:color w:val="000000"/>
                <w:sz w:val="28"/>
                <w:szCs w:val="28"/>
              </w:rPr>
              <w:t>医用电气设备 第1部分：基本安全和基本性能的通用要求</w:t>
            </w:r>
          </w:p>
        </w:tc>
      </w:tr>
      <w:tr w14:paraId="1B5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097A5EDC">
            <w:pPr>
              <w:spacing w:line="520" w:lineRule="exact"/>
              <w:rPr>
                <w:rFonts w:eastAsia="仿宋_GB2312"/>
                <w:bCs/>
                <w:color w:val="000000"/>
                <w:sz w:val="28"/>
                <w:szCs w:val="28"/>
              </w:rPr>
            </w:pPr>
            <w:r>
              <w:rPr>
                <w:rFonts w:eastAsia="仿宋_GB2312"/>
                <w:bCs/>
                <w:color w:val="000000"/>
                <w:sz w:val="28"/>
                <w:szCs w:val="28"/>
              </w:rPr>
              <w:t>YY 9706.102</w:t>
            </w:r>
          </w:p>
        </w:tc>
        <w:tc>
          <w:tcPr>
            <w:tcW w:w="6087"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7CB2A6F7">
            <w:pPr>
              <w:spacing w:line="520" w:lineRule="exact"/>
              <w:rPr>
                <w:rFonts w:eastAsia="仿宋_GB2312"/>
                <w:bCs/>
                <w:color w:val="000000"/>
                <w:sz w:val="28"/>
                <w:szCs w:val="28"/>
              </w:rPr>
            </w:pPr>
            <w:r>
              <w:rPr>
                <w:rFonts w:eastAsia="仿宋_GB2312"/>
                <w:bCs/>
                <w:color w:val="000000"/>
                <w:sz w:val="28"/>
                <w:szCs w:val="28"/>
              </w:rPr>
              <w:t>医用电气设备 第1-2部分：基本安全和基本性能的通用要求 并列标准：电磁兼容 要求和试验</w:t>
            </w:r>
          </w:p>
        </w:tc>
      </w:tr>
      <w:tr w14:paraId="0CB1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42ABE9D2">
            <w:pPr>
              <w:spacing w:line="520" w:lineRule="exact"/>
              <w:rPr>
                <w:rFonts w:eastAsia="仿宋_GB2312"/>
                <w:bCs/>
                <w:color w:val="000000"/>
                <w:sz w:val="28"/>
                <w:szCs w:val="28"/>
              </w:rPr>
            </w:pPr>
            <w:r>
              <w:rPr>
                <w:rFonts w:eastAsia="仿宋_GB2312"/>
                <w:bCs/>
                <w:color w:val="000000"/>
                <w:sz w:val="28"/>
                <w:szCs w:val="28"/>
              </w:rPr>
              <w:t>GB 9706.260</w:t>
            </w:r>
          </w:p>
        </w:tc>
        <w:tc>
          <w:tcPr>
            <w:tcW w:w="6087"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23E49532">
            <w:pPr>
              <w:spacing w:line="520" w:lineRule="exact"/>
              <w:rPr>
                <w:rFonts w:eastAsia="仿宋_GB2312"/>
                <w:bCs/>
                <w:color w:val="000000"/>
                <w:sz w:val="28"/>
                <w:szCs w:val="28"/>
              </w:rPr>
            </w:pPr>
            <w:r>
              <w:rPr>
                <w:rFonts w:eastAsia="仿宋_GB2312"/>
                <w:bCs/>
                <w:color w:val="000000"/>
                <w:sz w:val="28"/>
                <w:szCs w:val="28"/>
              </w:rPr>
              <w:t>医用电气设备 第2-60部分：牙科设备的基本安全和基本性能专用要求</w:t>
            </w:r>
          </w:p>
        </w:tc>
      </w:tr>
      <w:tr w14:paraId="08B5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17FE9738">
            <w:pPr>
              <w:spacing w:line="520" w:lineRule="exact"/>
              <w:rPr>
                <w:rFonts w:eastAsia="仿宋_GB2312"/>
                <w:bCs/>
                <w:color w:val="000000"/>
                <w:sz w:val="28"/>
                <w:szCs w:val="28"/>
              </w:rPr>
            </w:pPr>
            <w:r>
              <w:rPr>
                <w:rFonts w:eastAsia="仿宋_GB2312"/>
                <w:bCs/>
                <w:color w:val="000000"/>
                <w:sz w:val="28"/>
                <w:szCs w:val="28"/>
              </w:rPr>
              <w:t>YY 1045</w:t>
            </w:r>
          </w:p>
        </w:tc>
        <w:tc>
          <w:tcPr>
            <w:tcW w:w="6087"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2AEFF3B0">
            <w:pPr>
              <w:spacing w:line="520" w:lineRule="exact"/>
              <w:rPr>
                <w:rFonts w:eastAsia="仿宋_GB2312"/>
                <w:bCs/>
                <w:color w:val="000000"/>
                <w:sz w:val="28"/>
                <w:szCs w:val="28"/>
              </w:rPr>
            </w:pPr>
            <w:r>
              <w:rPr>
                <w:rFonts w:eastAsia="仿宋_GB2312"/>
                <w:bCs/>
                <w:color w:val="000000"/>
                <w:sz w:val="28"/>
                <w:szCs w:val="28"/>
              </w:rPr>
              <w:t>牙科学 手机和马达</w:t>
            </w:r>
          </w:p>
        </w:tc>
      </w:tr>
      <w:tr w14:paraId="59B1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5FC9074F">
            <w:pPr>
              <w:spacing w:line="520" w:lineRule="exact"/>
              <w:rPr>
                <w:rFonts w:eastAsia="仿宋_GB2312"/>
                <w:bCs/>
                <w:color w:val="000000"/>
                <w:sz w:val="28"/>
                <w:szCs w:val="28"/>
              </w:rPr>
            </w:pPr>
            <w:r>
              <w:rPr>
                <w:rFonts w:eastAsia="仿宋_GB2312"/>
                <w:bCs/>
                <w:color w:val="000000"/>
                <w:sz w:val="28"/>
                <w:szCs w:val="28"/>
              </w:rPr>
              <w:t>YY/T 1012</w:t>
            </w:r>
          </w:p>
        </w:tc>
        <w:tc>
          <w:tcPr>
            <w:tcW w:w="6087"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4BA0A8EC">
            <w:pPr>
              <w:spacing w:line="520" w:lineRule="exact"/>
              <w:rPr>
                <w:rFonts w:eastAsia="仿宋_GB2312"/>
                <w:bCs/>
                <w:color w:val="000000"/>
                <w:sz w:val="28"/>
                <w:szCs w:val="28"/>
              </w:rPr>
            </w:pPr>
            <w:r>
              <w:rPr>
                <w:rFonts w:eastAsia="仿宋_GB2312"/>
                <w:bCs/>
                <w:color w:val="000000"/>
                <w:sz w:val="28"/>
                <w:szCs w:val="28"/>
              </w:rPr>
              <w:t>牙科学 手机连接件联轴节尺寸</w:t>
            </w:r>
          </w:p>
        </w:tc>
      </w:tr>
      <w:tr w14:paraId="622F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0"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1F8B9E00">
            <w:pPr>
              <w:spacing w:line="520" w:lineRule="exact"/>
              <w:rPr>
                <w:rFonts w:eastAsia="仿宋_GB2312"/>
                <w:bCs/>
                <w:color w:val="000000"/>
                <w:sz w:val="28"/>
                <w:szCs w:val="28"/>
              </w:rPr>
            </w:pPr>
            <w:r>
              <w:rPr>
                <w:rFonts w:eastAsia="仿宋_GB2312"/>
                <w:bCs/>
                <w:color w:val="000000"/>
                <w:sz w:val="28"/>
                <w:szCs w:val="28"/>
              </w:rPr>
              <w:t>YY/T 0514</w:t>
            </w:r>
          </w:p>
        </w:tc>
        <w:tc>
          <w:tcPr>
            <w:tcW w:w="6087" w:type="dxa"/>
            <w:tcBorders>
              <w:top w:val="single" w:color="000000" w:sz="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5723B46A">
            <w:pPr>
              <w:spacing w:line="520" w:lineRule="exact"/>
              <w:rPr>
                <w:rFonts w:eastAsia="仿宋_GB2312"/>
                <w:bCs/>
                <w:color w:val="000000"/>
                <w:sz w:val="28"/>
                <w:szCs w:val="28"/>
              </w:rPr>
            </w:pPr>
            <w:r>
              <w:rPr>
                <w:rFonts w:eastAsia="仿宋_GB2312"/>
                <w:bCs/>
                <w:color w:val="000000"/>
                <w:sz w:val="28"/>
                <w:szCs w:val="28"/>
              </w:rPr>
              <w:t>牙科学 气动牙科手机用软管连接件</w:t>
            </w:r>
          </w:p>
        </w:tc>
      </w:tr>
    </w:tbl>
    <w:p w14:paraId="05201CBB">
      <w:pPr>
        <w:pStyle w:val="52"/>
        <w:overflowPunct w:val="0"/>
        <w:autoSpaceDE w:val="0"/>
        <w:autoSpaceDN w:val="0"/>
        <w:spacing w:line="520" w:lineRule="exact"/>
        <w:ind w:right="210" w:firstLine="640"/>
        <w:rPr>
          <w:rFonts w:ascii="Times New Roman" w:hAnsi="Times New Roman" w:eastAsia="仿宋_GB2312"/>
          <w:snapToGrid w:val="0"/>
          <w:color w:val="000000"/>
          <w:kern w:val="0"/>
          <w:sz w:val="32"/>
          <w:szCs w:val="32"/>
          <w:highlight w:val="yellow"/>
        </w:rPr>
      </w:pPr>
      <w:r>
        <w:rPr>
          <w:rFonts w:hint="eastAsia" w:eastAsia="仿宋_GB2312"/>
          <w:snapToGrid w:val="0"/>
          <w:color w:val="000000"/>
          <w:kern w:val="0"/>
          <w:sz w:val="32"/>
          <w:szCs w:val="32"/>
        </w:rPr>
        <w:t>上述标准均宜执行适用的国家标准、行业标准的现行有效版本。</w:t>
      </w:r>
    </w:p>
    <w:p w14:paraId="530C4126">
      <w:pPr>
        <w:pStyle w:val="52"/>
        <w:overflowPunct w:val="0"/>
        <w:autoSpaceDE w:val="0"/>
        <w:autoSpaceDN w:val="0"/>
        <w:spacing w:line="520" w:lineRule="exact"/>
        <w:ind w:right="210" w:firstLine="640"/>
        <w:rPr>
          <w:rFonts w:eastAsia="仿宋_GB2312"/>
          <w:snapToGrid w:val="0"/>
          <w:color w:val="000000"/>
          <w:kern w:val="0"/>
          <w:sz w:val="32"/>
          <w:szCs w:val="32"/>
          <w:highlight w:val="none"/>
        </w:rPr>
      </w:pPr>
      <w:r>
        <w:rPr>
          <w:rFonts w:ascii="Times New Roman" w:hAnsi="Times New Roman" w:eastAsia="仿宋_GB2312"/>
          <w:snapToGrid w:val="0"/>
          <w:color w:val="000000"/>
          <w:kern w:val="0"/>
          <w:sz w:val="32"/>
          <w:szCs w:val="32"/>
          <w:highlight w:val="none"/>
        </w:rPr>
        <w:t>3</w:t>
      </w:r>
      <w:bookmarkStart w:id="9" w:name="_GoBack"/>
      <w:bookmarkEnd w:id="9"/>
      <w:r>
        <w:rPr>
          <w:rFonts w:ascii="Times New Roman" w:hAnsi="Times New Roman" w:eastAsia="仿宋_GB2312"/>
          <w:snapToGrid w:val="0"/>
          <w:color w:val="000000"/>
          <w:kern w:val="0"/>
          <w:sz w:val="32"/>
          <w:szCs w:val="32"/>
          <w:highlight w:val="none"/>
        </w:rPr>
        <w:t>.2</w:t>
      </w:r>
      <w:r>
        <w:rPr>
          <w:rFonts w:hint="eastAsia" w:eastAsia="仿宋_GB2312"/>
          <w:snapToGrid w:val="0"/>
          <w:color w:val="000000"/>
          <w:kern w:val="0"/>
          <w:sz w:val="32"/>
          <w:szCs w:val="32"/>
          <w:highlight w:val="none"/>
        </w:rPr>
        <w:t>产品技术要求</w:t>
      </w:r>
    </w:p>
    <w:p w14:paraId="655F2682">
      <w:pPr>
        <w:overflowPunct w:val="0"/>
        <w:autoSpaceDE w:val="0"/>
        <w:autoSpaceDN w:val="0"/>
        <w:spacing w:line="520" w:lineRule="exact"/>
        <w:ind w:firstLine="640" w:firstLineChars="200"/>
        <w:rPr>
          <w:rFonts w:eastAsia="仿宋_GB2312"/>
          <w:snapToGrid w:val="0"/>
          <w:color w:val="000000"/>
          <w:kern w:val="0"/>
          <w:sz w:val="32"/>
          <w:szCs w:val="32"/>
        </w:rPr>
      </w:pPr>
      <w:r>
        <w:rPr>
          <w:rFonts w:hint="eastAsia" w:eastAsia="仿宋_GB2312"/>
          <w:snapToGrid w:val="0"/>
          <w:color w:val="000000"/>
          <w:kern w:val="0"/>
          <w:sz w:val="32"/>
          <w:szCs w:val="32"/>
        </w:rPr>
        <w:t>产品技术要求需按照《医疗器械产品技术要求编写指导原则》进行编写，同时结合</w:t>
      </w:r>
      <w:r>
        <w:rPr>
          <w:rFonts w:hint="eastAsia" w:eastAsia="仿宋_GB2312"/>
          <w:snapToGrid w:val="0"/>
          <w:color w:val="000000"/>
          <w:kern w:val="0"/>
          <w:sz w:val="32"/>
          <w:szCs w:val="32"/>
          <w:lang w:eastAsia="zh-CN"/>
        </w:rPr>
        <w:t>表</w:t>
      </w:r>
      <w:r>
        <w:rPr>
          <w:rFonts w:hint="eastAsia" w:eastAsia="仿宋_GB2312"/>
          <w:snapToGrid w:val="0"/>
          <w:color w:val="000000"/>
          <w:kern w:val="0"/>
          <w:sz w:val="32"/>
          <w:szCs w:val="32"/>
          <w:lang w:val="en-US" w:eastAsia="zh-CN"/>
        </w:rPr>
        <w:t>1中的</w:t>
      </w:r>
      <w:r>
        <w:rPr>
          <w:rFonts w:hint="eastAsia" w:eastAsia="仿宋_GB2312"/>
          <w:snapToGrid w:val="0"/>
          <w:color w:val="000000"/>
          <w:kern w:val="0"/>
          <w:sz w:val="32"/>
          <w:szCs w:val="32"/>
        </w:rPr>
        <w:t>产品适用的标准和产品本身的技术特点，明确产品的各项性能指标和检验方法。本指导原则列出了</w:t>
      </w:r>
      <w:r>
        <w:rPr>
          <w:rFonts w:hint="eastAsia" w:eastAsia="仿宋_GB2312"/>
          <w:snapToGrid w:val="0"/>
          <w:color w:val="000000"/>
          <w:kern w:val="0"/>
          <w:sz w:val="32"/>
          <w:szCs w:val="32"/>
          <w:lang w:eastAsia="zh-CN"/>
        </w:rPr>
        <w:t>牙科手机</w:t>
      </w:r>
      <w:r>
        <w:rPr>
          <w:rFonts w:hint="eastAsia" w:eastAsia="仿宋_GB2312"/>
          <w:snapToGrid w:val="0"/>
          <w:color w:val="000000"/>
          <w:kern w:val="0"/>
          <w:sz w:val="32"/>
          <w:szCs w:val="32"/>
        </w:rPr>
        <w:t>可能涉及的主要性能指标，主要性能指标包括但不限于以下内容：</w:t>
      </w:r>
    </w:p>
    <w:p w14:paraId="094E8105">
      <w:pPr>
        <w:pStyle w:val="2"/>
        <w:spacing w:line="520" w:lineRule="exact"/>
        <w:ind w:firstLine="640" w:firstLineChars="200"/>
        <w:rPr>
          <w:rFonts w:hint="eastAsia" w:eastAsia="仿宋_GB2312" w:cs="仿宋_GB2312"/>
          <w:snapToGrid w:val="0"/>
          <w:color w:val="333333"/>
          <w:kern w:val="0"/>
          <w:sz w:val="32"/>
          <w:szCs w:val="32"/>
          <w:lang w:val="en-US" w:eastAsia="zh-CN"/>
        </w:rPr>
      </w:pPr>
      <w:r>
        <w:rPr>
          <w:rFonts w:hint="default" w:eastAsia="仿宋_GB2312"/>
          <w:snapToGrid w:val="0"/>
          <w:color w:val="000000"/>
          <w:kern w:val="0"/>
          <w:sz w:val="32"/>
          <w:szCs w:val="32"/>
          <w:lang w:val="en-US"/>
        </w:rPr>
        <w:t>YY 1045中</w:t>
      </w:r>
      <w:r>
        <w:rPr>
          <w:rFonts w:hint="eastAsia" w:eastAsia="仿宋_GB2312"/>
          <w:snapToGrid w:val="0"/>
          <w:color w:val="000000"/>
          <w:kern w:val="0"/>
          <w:sz w:val="32"/>
          <w:szCs w:val="32"/>
          <w:lang w:val="en-US" w:eastAsia="zh-CN"/>
        </w:rPr>
        <w:t>的</w:t>
      </w:r>
      <w:r>
        <w:rPr>
          <w:rFonts w:hint="eastAsia" w:eastAsia="仿宋_GB2312" w:cs="仿宋_GB2312"/>
          <w:snapToGrid w:val="0"/>
          <w:color w:val="333333"/>
          <w:kern w:val="0"/>
          <w:sz w:val="32"/>
          <w:szCs w:val="32"/>
        </w:rPr>
        <w:t>通用要求</w:t>
      </w:r>
      <w:r>
        <w:rPr>
          <w:rFonts w:hint="default" w:eastAsia="仿宋_GB2312" w:cs="仿宋_GB2312"/>
          <w:snapToGrid w:val="0"/>
          <w:color w:val="333333"/>
          <w:kern w:val="0"/>
          <w:sz w:val="32"/>
          <w:szCs w:val="32"/>
          <w:lang w:val="en-US"/>
        </w:rPr>
        <w:t>、</w:t>
      </w:r>
      <w:r>
        <w:rPr>
          <w:rFonts w:hint="eastAsia" w:eastAsia="仿宋_GB2312" w:cs="仿宋_GB2312"/>
          <w:snapToGrid w:val="0"/>
          <w:color w:val="333333"/>
          <w:kern w:val="0"/>
          <w:sz w:val="32"/>
          <w:szCs w:val="32"/>
        </w:rPr>
        <w:t>动力源</w:t>
      </w:r>
      <w:r>
        <w:rPr>
          <w:rFonts w:hint="default" w:eastAsia="仿宋_GB2312" w:cs="仿宋_GB2312"/>
          <w:snapToGrid w:val="0"/>
          <w:color w:val="333333"/>
          <w:kern w:val="0"/>
          <w:sz w:val="32"/>
          <w:szCs w:val="32"/>
          <w:lang w:val="en-US"/>
        </w:rPr>
        <w:t>、</w:t>
      </w:r>
      <w:r>
        <w:rPr>
          <w:rFonts w:hint="eastAsia" w:eastAsia="仿宋_GB2312" w:cs="仿宋_GB2312"/>
          <w:snapToGrid w:val="0"/>
          <w:color w:val="333333"/>
          <w:kern w:val="0"/>
          <w:sz w:val="32"/>
          <w:szCs w:val="32"/>
        </w:rPr>
        <w:t>气</w:t>
      </w:r>
      <w:r>
        <w:rPr>
          <w:rFonts w:hint="eastAsia" w:eastAsia="仿宋_GB2312" w:cs="仿宋_GB2312"/>
          <w:snapToGrid w:val="0"/>
          <w:color w:val="333333"/>
          <w:kern w:val="0"/>
          <w:sz w:val="32"/>
          <w:szCs w:val="32"/>
          <w:highlight w:val="none"/>
        </w:rPr>
        <w:t>压和水压</w:t>
      </w:r>
      <w:r>
        <w:rPr>
          <w:rFonts w:hint="default" w:eastAsia="仿宋_GB2312" w:cs="仿宋_GB2312"/>
          <w:snapToGrid w:val="0"/>
          <w:color w:val="333333"/>
          <w:kern w:val="0"/>
          <w:sz w:val="32"/>
          <w:szCs w:val="32"/>
          <w:highlight w:val="none"/>
          <w:lang w:val="en-US"/>
        </w:rPr>
        <w:t>、</w:t>
      </w:r>
      <w:r>
        <w:rPr>
          <w:rFonts w:hint="eastAsia" w:eastAsia="仿宋_GB2312" w:cs="仿宋_GB2312"/>
          <w:snapToGrid w:val="0"/>
          <w:color w:val="333333"/>
          <w:kern w:val="0"/>
          <w:sz w:val="32"/>
          <w:szCs w:val="32"/>
          <w:highlight w:val="none"/>
        </w:rPr>
        <w:t>温度（高速涡轮手机不适用）</w:t>
      </w:r>
      <w:r>
        <w:rPr>
          <w:rFonts w:hint="default" w:eastAsia="仿宋_GB2312" w:cs="仿宋_GB2312"/>
          <w:snapToGrid w:val="0"/>
          <w:color w:val="333333"/>
          <w:kern w:val="0"/>
          <w:sz w:val="32"/>
          <w:szCs w:val="32"/>
          <w:highlight w:val="none"/>
          <w:lang w:val="en-US"/>
        </w:rPr>
        <w:t>、手机超温、</w:t>
      </w:r>
      <w:r>
        <w:rPr>
          <w:rFonts w:hint="eastAsia" w:eastAsia="仿宋_GB2312" w:cs="仿宋_GB2312"/>
          <w:snapToGrid w:val="0"/>
          <w:color w:val="333333"/>
          <w:kern w:val="0"/>
          <w:sz w:val="32"/>
          <w:szCs w:val="32"/>
          <w:highlight w:val="none"/>
        </w:rPr>
        <w:t>泄漏和/或进液</w:t>
      </w:r>
      <w:r>
        <w:rPr>
          <w:rFonts w:hint="default" w:eastAsia="仿宋_GB2312" w:cs="仿宋_GB2312"/>
          <w:snapToGrid w:val="0"/>
          <w:color w:val="333333"/>
          <w:kern w:val="0"/>
          <w:sz w:val="32"/>
          <w:szCs w:val="32"/>
          <w:highlight w:val="none"/>
          <w:lang w:val="en-US"/>
        </w:rPr>
        <w:t>、控</w:t>
      </w:r>
      <w:r>
        <w:rPr>
          <w:rFonts w:hint="default" w:eastAsia="仿宋_GB2312" w:cs="仿宋_GB2312"/>
          <w:snapToGrid w:val="0"/>
          <w:color w:val="333333"/>
          <w:kern w:val="0"/>
          <w:sz w:val="32"/>
          <w:szCs w:val="32"/>
          <w:lang w:val="en-US"/>
        </w:rPr>
        <w:t>制器、连接和供应（其中手机和马达的连接应符合YY/T 1012；若为快速连接器且其独立于软管，则快速连接器应符合YY/T 0514）、杆的夹头系统、转速、径向跳动、堵转扭矩、高速气涡轮输出功率（仅适用于高速气涡轮手机）、尺寸等</w:t>
      </w:r>
      <w:r>
        <w:rPr>
          <w:rFonts w:hint="eastAsia" w:eastAsia="仿宋_GB2312" w:cs="仿宋_GB2312"/>
          <w:snapToGrid w:val="0"/>
          <w:color w:val="333333"/>
          <w:kern w:val="0"/>
          <w:sz w:val="32"/>
          <w:szCs w:val="32"/>
          <w:lang w:val="en-US" w:eastAsia="zh-CN"/>
        </w:rPr>
        <w:t>。</w:t>
      </w:r>
      <w:r>
        <w:rPr>
          <w:rFonts w:hint="default" w:eastAsia="仿宋_GB2312" w:cs="仿宋_GB2312"/>
          <w:snapToGrid w:val="0"/>
          <w:color w:val="333333"/>
          <w:kern w:val="0"/>
          <w:sz w:val="32"/>
          <w:szCs w:val="32"/>
          <w:lang w:val="en-US"/>
        </w:rPr>
        <w:t>若手机含有光源，则手机光的测量照度应至少为7000lx；若手机没有内部光源，但包含光传输元件，如导光束，则应满足在一个不超过65000lx的光源照射在光传输元件的输入端的条件下，输出端的光不得少于7000lx</w:t>
      </w:r>
      <w:r>
        <w:rPr>
          <w:rFonts w:hint="eastAsia" w:eastAsia="仿宋_GB2312" w:cs="仿宋_GB2312"/>
          <w:snapToGrid w:val="0"/>
          <w:color w:val="333333"/>
          <w:kern w:val="0"/>
          <w:sz w:val="32"/>
          <w:szCs w:val="32"/>
          <w:lang w:val="en-US" w:eastAsia="zh-CN"/>
        </w:rPr>
        <w:t>。</w:t>
      </w:r>
    </w:p>
    <w:p w14:paraId="73F16329">
      <w:pPr>
        <w:pStyle w:val="2"/>
        <w:spacing w:line="520" w:lineRule="exact"/>
        <w:ind w:firstLine="640" w:firstLineChars="200"/>
        <w:rPr>
          <w:rFonts w:hint="default" w:eastAsia="仿宋_GB2312" w:cs="仿宋_GB2312"/>
          <w:snapToGrid w:val="0"/>
          <w:color w:val="333333"/>
          <w:kern w:val="0"/>
          <w:sz w:val="32"/>
          <w:szCs w:val="32"/>
          <w:lang w:val="en-US"/>
        </w:rPr>
      </w:pPr>
      <w:r>
        <w:rPr>
          <w:rFonts w:hint="default" w:eastAsia="仿宋_GB2312" w:cs="仿宋_GB2312"/>
          <w:snapToGrid w:val="0"/>
          <w:color w:val="333333"/>
          <w:kern w:val="0"/>
          <w:sz w:val="32"/>
          <w:szCs w:val="32"/>
          <w:lang w:val="en-US"/>
        </w:rPr>
        <w:t>该标准中对于马达的相关要求</w:t>
      </w:r>
      <w:r>
        <w:rPr>
          <w:rFonts w:hint="default" w:eastAsia="仿宋_GB2312" w:cs="仿宋_GB2312"/>
          <w:snapToGrid w:val="0"/>
          <w:color w:val="333333"/>
          <w:kern w:val="0"/>
          <w:sz w:val="32"/>
          <w:szCs w:val="32"/>
          <w:lang w:val="en-US" w:eastAsia="zh-CN"/>
        </w:rPr>
        <w:t>为</w:t>
      </w:r>
      <w:r>
        <w:rPr>
          <w:rFonts w:hint="default" w:eastAsia="仿宋_GB2312" w:cs="仿宋_GB2312"/>
          <w:snapToGrid w:val="0"/>
          <w:color w:val="333333"/>
          <w:kern w:val="0"/>
          <w:sz w:val="32"/>
          <w:szCs w:val="32"/>
          <w:lang w:val="en-US"/>
        </w:rPr>
        <w:t>不适用</w:t>
      </w:r>
      <w:r>
        <w:rPr>
          <w:rFonts w:hint="default" w:eastAsia="仿宋_GB2312" w:cs="仿宋_GB2312"/>
          <w:snapToGrid w:val="0"/>
          <w:color w:val="333333"/>
          <w:kern w:val="0"/>
          <w:sz w:val="32"/>
          <w:szCs w:val="32"/>
          <w:lang w:val="en-US" w:eastAsia="zh-CN"/>
        </w:rPr>
        <w:t>，若存在其他不适用情况，应在申报资料中说明具体理由</w:t>
      </w:r>
      <w:r>
        <w:rPr>
          <w:rFonts w:hint="default" w:eastAsia="仿宋_GB2312" w:cs="仿宋_GB2312"/>
          <w:snapToGrid w:val="0"/>
          <w:color w:val="333333"/>
          <w:kern w:val="0"/>
          <w:sz w:val="32"/>
          <w:szCs w:val="32"/>
          <w:lang w:val="en-US"/>
        </w:rPr>
        <w:t>。</w:t>
      </w:r>
    </w:p>
    <w:p w14:paraId="7D50F13F">
      <w:pPr>
        <w:pStyle w:val="2"/>
        <w:spacing w:line="520" w:lineRule="exact"/>
        <w:ind w:firstLine="640" w:firstLineChars="200"/>
        <w:rPr>
          <w:rFonts w:hint="default" w:eastAsia="仿宋_GB2312" w:cs="仿宋_GB2312"/>
          <w:snapToGrid w:val="0"/>
          <w:color w:val="333333"/>
          <w:kern w:val="0"/>
          <w:sz w:val="32"/>
          <w:szCs w:val="32"/>
        </w:rPr>
      </w:pPr>
      <w:r>
        <w:rPr>
          <w:rFonts w:hint="default" w:eastAsia="仿宋_GB2312" w:cs="仿宋_GB2312"/>
          <w:snapToGrid w:val="0"/>
          <w:color w:val="333333"/>
          <w:kern w:val="0"/>
          <w:sz w:val="32"/>
          <w:szCs w:val="32"/>
        </w:rPr>
        <w:t>带电子元器件的牙科手机</w:t>
      </w:r>
      <w:r>
        <w:rPr>
          <w:rFonts w:hint="default" w:eastAsia="仿宋_GB2312" w:cs="仿宋_GB2312"/>
          <w:snapToGrid w:val="0"/>
          <w:color w:val="333333"/>
          <w:kern w:val="0"/>
          <w:sz w:val="32"/>
          <w:szCs w:val="32"/>
          <w:lang w:eastAsia="zh-CN"/>
        </w:rPr>
        <w:t>，如带</w:t>
      </w:r>
      <w:r>
        <w:rPr>
          <w:rFonts w:hint="default" w:eastAsia="仿宋_GB2312" w:cs="仿宋_GB2312"/>
          <w:snapToGrid w:val="0"/>
          <w:color w:val="333333"/>
          <w:kern w:val="0"/>
          <w:sz w:val="32"/>
          <w:szCs w:val="32"/>
        </w:rPr>
        <w:t>独立照明装置</w:t>
      </w:r>
      <w:r>
        <w:rPr>
          <w:rFonts w:hint="default" w:eastAsia="仿宋_GB2312" w:cs="仿宋_GB2312"/>
          <w:snapToGrid w:val="0"/>
          <w:color w:val="333333"/>
          <w:kern w:val="0"/>
          <w:sz w:val="32"/>
          <w:szCs w:val="32"/>
          <w:lang w:eastAsia="zh-CN"/>
        </w:rPr>
        <w:t>，</w:t>
      </w:r>
      <w:r>
        <w:rPr>
          <w:rFonts w:hint="default" w:eastAsia="仿宋_GB2312" w:cs="仿宋_GB2312"/>
          <w:snapToGrid w:val="0"/>
          <w:color w:val="333333"/>
          <w:kern w:val="0"/>
          <w:sz w:val="32"/>
          <w:szCs w:val="32"/>
        </w:rPr>
        <w:t>应符合GB 9706.1</w:t>
      </w:r>
      <w:r>
        <w:rPr>
          <w:rFonts w:hint="default" w:eastAsia="仿宋_GB2312" w:cs="仿宋_GB2312"/>
          <w:snapToGrid w:val="0"/>
          <w:color w:val="333333"/>
          <w:kern w:val="0"/>
          <w:sz w:val="32"/>
          <w:szCs w:val="32"/>
          <w:lang w:eastAsia="zh-CN"/>
        </w:rPr>
        <w:t>、</w:t>
      </w:r>
      <w:r>
        <w:rPr>
          <w:rFonts w:hint="default" w:eastAsia="仿宋_GB2312" w:cs="仿宋_GB2312"/>
          <w:snapToGrid w:val="0"/>
          <w:color w:val="333333"/>
          <w:kern w:val="0"/>
          <w:sz w:val="32"/>
          <w:szCs w:val="32"/>
        </w:rPr>
        <w:t>YY 9706.102</w:t>
      </w:r>
      <w:r>
        <w:rPr>
          <w:rFonts w:hint="default" w:eastAsia="仿宋_GB2312" w:cs="仿宋_GB2312"/>
          <w:snapToGrid w:val="0"/>
          <w:color w:val="333333"/>
          <w:kern w:val="0"/>
          <w:sz w:val="32"/>
          <w:szCs w:val="32"/>
          <w:lang w:eastAsia="zh-CN"/>
        </w:rPr>
        <w:t>和</w:t>
      </w:r>
      <w:r>
        <w:rPr>
          <w:rFonts w:hint="eastAsia" w:eastAsia="仿宋_GB2312" w:cs="仿宋_GB2312"/>
          <w:bCs w:val="0"/>
          <w:snapToGrid w:val="0"/>
          <w:color w:val="333333"/>
          <w:kern w:val="0"/>
          <w:sz w:val="32"/>
          <w:szCs w:val="32"/>
        </w:rPr>
        <w:t>GB 9706.260</w:t>
      </w:r>
      <w:r>
        <w:rPr>
          <w:rFonts w:hint="default" w:eastAsia="仿宋_GB2312" w:cs="仿宋_GB2312"/>
          <w:snapToGrid w:val="0"/>
          <w:color w:val="333333"/>
          <w:kern w:val="0"/>
          <w:sz w:val="32"/>
          <w:szCs w:val="32"/>
        </w:rPr>
        <w:t>的要求</w:t>
      </w:r>
      <w:r>
        <w:rPr>
          <w:rFonts w:hint="default" w:eastAsia="仿宋_GB2312" w:cs="仿宋_GB2312"/>
          <w:snapToGrid w:val="0"/>
          <w:color w:val="333333"/>
          <w:kern w:val="0"/>
          <w:sz w:val="32"/>
          <w:szCs w:val="32"/>
          <w:lang w:val="en-US"/>
        </w:rPr>
        <w:t>，同时标准要求</w:t>
      </w:r>
      <w:r>
        <w:rPr>
          <w:rFonts w:hint="default" w:eastAsia="仿宋_GB2312" w:cs="仿宋_GB2312"/>
          <w:snapToGrid w:val="0"/>
          <w:color w:val="333333"/>
          <w:kern w:val="0"/>
          <w:sz w:val="32"/>
          <w:szCs w:val="32"/>
        </w:rPr>
        <w:t>中已被上述强制性标准涵盖的项目，如</w:t>
      </w:r>
      <w:r>
        <w:rPr>
          <w:rFonts w:hint="default" w:eastAsia="仿宋_GB2312" w:cs="仿宋_GB2312"/>
          <w:snapToGrid w:val="0"/>
          <w:color w:val="333333"/>
          <w:kern w:val="0"/>
          <w:sz w:val="32"/>
          <w:szCs w:val="32"/>
          <w:lang w:val="en-US"/>
        </w:rPr>
        <w:t>超温、</w:t>
      </w:r>
      <w:r>
        <w:rPr>
          <w:rFonts w:hint="default" w:eastAsia="仿宋_GB2312" w:cs="仿宋_GB2312"/>
          <w:snapToGrid w:val="0"/>
          <w:color w:val="333333"/>
          <w:kern w:val="0"/>
          <w:sz w:val="32"/>
          <w:szCs w:val="32"/>
        </w:rPr>
        <w:t>泄漏和/或进液</w:t>
      </w:r>
      <w:r>
        <w:rPr>
          <w:rFonts w:hint="default" w:eastAsia="仿宋_GB2312" w:cs="仿宋_GB2312"/>
          <w:snapToGrid w:val="0"/>
          <w:color w:val="333333"/>
          <w:kern w:val="0"/>
          <w:sz w:val="32"/>
          <w:szCs w:val="32"/>
          <w:lang w:val="en-US"/>
        </w:rPr>
        <w:t>等与电气安全相关的性能指标则无需在性能指标中体现</w:t>
      </w:r>
      <w:r>
        <w:rPr>
          <w:rFonts w:hint="default" w:eastAsia="仿宋_GB2312" w:cs="仿宋_GB2312"/>
          <w:snapToGrid w:val="0"/>
          <w:color w:val="333333"/>
          <w:kern w:val="0"/>
          <w:sz w:val="32"/>
          <w:szCs w:val="32"/>
        </w:rPr>
        <w:t>。</w:t>
      </w:r>
    </w:p>
    <w:p w14:paraId="2BC44621">
      <w:pPr>
        <w:pStyle w:val="2"/>
        <w:spacing w:line="520" w:lineRule="exact"/>
        <w:ind w:firstLine="640" w:firstLineChars="200"/>
        <w:rPr>
          <w:rFonts w:hint="eastAsia" w:eastAsia="仿宋_GB2312"/>
          <w:snapToGrid w:val="0"/>
          <w:color w:val="000000"/>
          <w:kern w:val="0"/>
          <w:sz w:val="32"/>
          <w:szCs w:val="32"/>
        </w:rPr>
      </w:pPr>
      <w:r>
        <w:rPr>
          <w:rFonts w:hint="eastAsia" w:eastAsia="仿宋_GB2312"/>
          <w:snapToGrid w:val="0"/>
          <w:color w:val="000000"/>
          <w:kern w:val="0"/>
          <w:sz w:val="32"/>
          <w:szCs w:val="32"/>
        </w:rPr>
        <w:t>若产品含独立照明装</w:t>
      </w:r>
      <w:r>
        <w:rPr>
          <w:rFonts w:hint="eastAsia" w:eastAsia="仿宋_GB2312"/>
          <w:snapToGrid w:val="0"/>
          <w:color w:val="000000"/>
          <w:kern w:val="0"/>
          <w:sz w:val="32"/>
          <w:szCs w:val="32"/>
          <w:highlight w:val="none"/>
        </w:rPr>
        <w:t>置，</w:t>
      </w:r>
      <w:r>
        <w:rPr>
          <w:rFonts w:hint="default" w:eastAsia="仿宋_GB2312"/>
          <w:snapToGrid w:val="0"/>
          <w:color w:val="000000"/>
          <w:kern w:val="0"/>
          <w:sz w:val="32"/>
          <w:szCs w:val="32"/>
          <w:highlight w:val="none"/>
          <w:lang w:val="en-US"/>
        </w:rPr>
        <w:t>技术要求</w:t>
      </w:r>
      <w:r>
        <w:rPr>
          <w:rFonts w:hint="eastAsia" w:eastAsia="仿宋_GB2312"/>
          <w:snapToGrid w:val="0"/>
          <w:color w:val="000000"/>
          <w:kern w:val="0"/>
          <w:sz w:val="32"/>
          <w:szCs w:val="32"/>
          <w:highlight w:val="none"/>
        </w:rPr>
        <w:t>应按照《医疗器械光辐射安全注册审查指导原则》要求，</w:t>
      </w:r>
      <w:r>
        <w:rPr>
          <w:rFonts w:hint="eastAsia" w:eastAsia="仿宋_GB2312"/>
          <w:snapToGrid w:val="0"/>
          <w:color w:val="000000"/>
          <w:kern w:val="0"/>
          <w:sz w:val="32"/>
          <w:szCs w:val="32"/>
          <w:highlight w:val="none"/>
          <w:lang w:eastAsia="zh-CN"/>
        </w:rPr>
        <w:t>明确</w:t>
      </w:r>
      <w:r>
        <w:rPr>
          <w:rFonts w:hint="eastAsia" w:eastAsia="仿宋_GB2312"/>
          <w:snapToGrid w:val="0"/>
          <w:color w:val="000000"/>
          <w:kern w:val="0"/>
          <w:sz w:val="32"/>
          <w:szCs w:val="32"/>
          <w:highlight w:val="none"/>
        </w:rPr>
        <w:t>所有光源的波长和最大输出要求（能量/功率等）</w:t>
      </w:r>
      <w:r>
        <w:rPr>
          <w:rFonts w:hint="eastAsia" w:eastAsia="仿宋_GB2312"/>
          <w:snapToGrid w:val="0"/>
          <w:color w:val="000000"/>
          <w:kern w:val="0"/>
          <w:sz w:val="32"/>
          <w:szCs w:val="32"/>
          <w:highlight w:val="none"/>
          <w:lang w:eastAsia="zh-CN"/>
        </w:rPr>
        <w:t>的参数</w:t>
      </w:r>
      <w:r>
        <w:rPr>
          <w:rFonts w:hint="eastAsia" w:eastAsia="仿宋_GB2312"/>
          <w:snapToGrid w:val="0"/>
          <w:color w:val="000000"/>
          <w:kern w:val="0"/>
          <w:sz w:val="32"/>
          <w:szCs w:val="32"/>
          <w:highlight w:val="none"/>
        </w:rPr>
        <w:t>。</w:t>
      </w:r>
    </w:p>
    <w:p w14:paraId="240C3903">
      <w:pPr>
        <w:pStyle w:val="52"/>
        <w:overflowPunct w:val="0"/>
        <w:autoSpaceDE w:val="0"/>
        <w:autoSpaceDN w:val="0"/>
        <w:spacing w:line="520" w:lineRule="exact"/>
        <w:ind w:right="210" w:firstLine="640"/>
        <w:rPr>
          <w:rFonts w:eastAsia="仿宋_GB2312"/>
          <w:snapToGrid w:val="0"/>
          <w:color w:val="000000"/>
          <w:kern w:val="0"/>
          <w:sz w:val="32"/>
          <w:szCs w:val="32"/>
        </w:rPr>
      </w:pPr>
      <w:r>
        <w:rPr>
          <w:rFonts w:ascii="Times New Roman" w:hAnsi="Times New Roman" w:eastAsia="仿宋_GB2312"/>
          <w:snapToGrid w:val="0"/>
          <w:color w:val="000000"/>
          <w:kern w:val="0"/>
          <w:sz w:val="32"/>
          <w:szCs w:val="32"/>
        </w:rPr>
        <w:t>3.3</w:t>
      </w:r>
      <w:r>
        <w:rPr>
          <w:rFonts w:eastAsia="仿宋_GB2312"/>
          <w:snapToGrid w:val="0"/>
          <w:color w:val="000000"/>
          <w:kern w:val="0"/>
          <w:sz w:val="32"/>
          <w:szCs w:val="32"/>
        </w:rPr>
        <w:t>检验报告</w:t>
      </w:r>
    </w:p>
    <w:p w14:paraId="3CF9D2E7">
      <w:pPr>
        <w:pStyle w:val="52"/>
        <w:overflowPunct w:val="0"/>
        <w:autoSpaceDE w:val="0"/>
        <w:autoSpaceDN w:val="0"/>
        <w:spacing w:line="520" w:lineRule="exact"/>
        <w:ind w:right="210" w:firstLine="640"/>
        <w:rPr>
          <w:rFonts w:eastAsia="仿宋_GB2312"/>
          <w:snapToGrid w:val="0"/>
          <w:color w:val="000000"/>
          <w:kern w:val="0"/>
          <w:sz w:val="32"/>
          <w:szCs w:val="32"/>
        </w:rPr>
      </w:pPr>
      <w:r>
        <w:rPr>
          <w:rFonts w:eastAsia="仿宋_GB2312"/>
          <w:snapToGrid w:val="0"/>
          <w:color w:val="000000"/>
          <w:kern w:val="0"/>
          <w:sz w:val="32"/>
          <w:szCs w:val="32"/>
        </w:rPr>
        <w:t>注册申请人应提供产品检验报告，产品检验报告可以是医疗器械注册申请人的自检报告，也可以是委托具有</w:t>
      </w:r>
      <w:r>
        <w:rPr>
          <w:rFonts w:hint="eastAsia" w:eastAsia="仿宋_GB2312"/>
          <w:snapToGrid w:val="0"/>
          <w:color w:val="000000"/>
          <w:kern w:val="0"/>
          <w:sz w:val="32"/>
          <w:szCs w:val="32"/>
        </w:rPr>
        <w:t>相应</w:t>
      </w:r>
      <w:r>
        <w:rPr>
          <w:rFonts w:eastAsia="仿宋_GB2312"/>
          <w:snapToGrid w:val="0"/>
          <w:color w:val="000000"/>
          <w:kern w:val="0"/>
          <w:sz w:val="32"/>
          <w:szCs w:val="32"/>
        </w:rPr>
        <w:t>检验资质的医疗器械检验机构出具的检验报告。以自检报告形式提交注册的应符合《医疗器械注册自检管理规定》的要求。</w:t>
      </w:r>
    </w:p>
    <w:p w14:paraId="1810D69F">
      <w:pPr>
        <w:overflowPunct w:val="0"/>
        <w:autoSpaceDE w:val="0"/>
        <w:autoSpaceDN w:val="0"/>
        <w:spacing w:line="520" w:lineRule="exact"/>
        <w:ind w:firstLine="640" w:firstLineChars="200"/>
        <w:rPr>
          <w:rFonts w:eastAsia="仿宋_GB2312" w:cs="仿宋_GB2312"/>
          <w:snapToGrid w:val="0"/>
          <w:kern w:val="0"/>
          <w:sz w:val="32"/>
          <w:szCs w:val="32"/>
        </w:rPr>
      </w:pPr>
      <w:bookmarkStart w:id="6" w:name="OLE_LINK14"/>
      <w:bookmarkStart w:id="7" w:name="OLE_LINK13"/>
      <w:r>
        <w:rPr>
          <w:rFonts w:hint="eastAsia" w:eastAsia="仿宋_GB2312" w:cs="仿宋_GB2312"/>
          <w:snapToGrid w:val="0"/>
          <w:kern w:val="0"/>
          <w:sz w:val="32"/>
          <w:szCs w:val="32"/>
          <w:highlight w:val="none"/>
        </w:rPr>
        <w:t>检测</w:t>
      </w:r>
      <w:bookmarkEnd w:id="6"/>
      <w:bookmarkEnd w:id="7"/>
      <w:r>
        <w:rPr>
          <w:rFonts w:hint="eastAsia" w:eastAsia="仿宋_GB2312" w:cs="仿宋_GB2312"/>
          <w:snapToGrid w:val="0"/>
          <w:kern w:val="0"/>
          <w:sz w:val="32"/>
          <w:szCs w:val="32"/>
          <w:highlight w:val="none"/>
        </w:rPr>
        <w:t>典型型号</w:t>
      </w:r>
      <w:r>
        <w:rPr>
          <w:rFonts w:hint="eastAsia" w:eastAsia="仿宋_GB2312" w:cs="仿宋_GB2312"/>
          <w:snapToGrid w:val="0"/>
          <w:kern w:val="0"/>
          <w:sz w:val="32"/>
          <w:szCs w:val="32"/>
        </w:rPr>
        <w:t>应是同一注册单元内能够代表本单元内其他产品安全性和有效性的产品，应考虑技术指标及性能不改变、功能可以达到最齐全、结构最复杂、风险最高的产品。</w:t>
      </w:r>
    </w:p>
    <w:p w14:paraId="1F4CDB35">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牙科手机使用的关键件、基本原理、预期用途、主要技术性能指标相同，如仅外观不同，或配置附件的数量和种类不同，建议选取配置附件数量和种类最复杂的型号为典型产品。</w:t>
      </w:r>
    </w:p>
    <w:p w14:paraId="22264B26">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（1）高速气涡轮手机应选取空载转速最大的产品作为检测的典型产品。</w:t>
      </w:r>
    </w:p>
    <w:p w14:paraId="5EE304E7">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（2）牙科手机中的增速手机和减速手机应划分为不同的检测单元。增速手机应选取齿轮传送比最小的产品作为检测的典型产品，减速手机中应选取齿轮传送比最大的产品作为检测的典型产品。</w:t>
      </w:r>
    </w:p>
    <w:p w14:paraId="01E6DEA1">
      <w:pPr>
        <w:overflowPunct w:val="0"/>
        <w:autoSpaceDE w:val="0"/>
        <w:autoSpaceDN w:val="0"/>
        <w:spacing w:line="520" w:lineRule="exact"/>
        <w:ind w:firstLine="640" w:firstLineChars="200"/>
        <w:rPr>
          <w:rFonts w:eastAsia="仿宋_GB2312" w:cs="仿宋_GB2312"/>
          <w:snapToGrid w:val="0"/>
          <w:kern w:val="0"/>
          <w:sz w:val="32"/>
          <w:szCs w:val="32"/>
        </w:rPr>
      </w:pPr>
      <w:r>
        <w:rPr>
          <w:rFonts w:hint="eastAsia" w:eastAsia="仿宋_GB2312" w:cs="仿宋_GB2312"/>
          <w:snapToGrid w:val="0"/>
          <w:kern w:val="0"/>
          <w:sz w:val="32"/>
          <w:szCs w:val="32"/>
        </w:rPr>
        <w:t>（3）夹头形式不同的手机应划分为不同的检测单元。</w:t>
      </w:r>
    </w:p>
    <w:p w14:paraId="4F236A8D">
      <w:pPr>
        <w:overflowPunct w:val="0"/>
        <w:autoSpaceDE w:val="0"/>
        <w:autoSpaceDN w:val="0"/>
        <w:spacing w:line="520" w:lineRule="exact"/>
        <w:ind w:firstLine="640" w:firstLineChars="200"/>
        <w:rPr>
          <w:rFonts w:hint="eastAsia" w:eastAsia="仿宋_GB2312" w:cs="仿宋_GB2312"/>
          <w:snapToGrid w:val="0"/>
          <w:kern w:val="0"/>
          <w:sz w:val="32"/>
          <w:szCs w:val="32"/>
          <w:lang w:eastAsia="zh-CN"/>
        </w:rPr>
      </w:pPr>
      <w:r>
        <w:rPr>
          <w:rFonts w:hint="eastAsia" w:eastAsia="仿宋_GB2312" w:cs="仿宋_GB2312"/>
          <w:snapToGrid w:val="0"/>
          <w:kern w:val="0"/>
          <w:sz w:val="32"/>
          <w:szCs w:val="32"/>
        </w:rPr>
        <w:t>（4</w:t>
      </w:r>
      <w:r>
        <w:rPr>
          <w:rFonts w:hint="eastAsia" w:eastAsia="仿宋_GB2312" w:cs="仿宋_GB2312"/>
          <w:snapToGrid w:val="0"/>
          <w:kern w:val="0"/>
          <w:sz w:val="32"/>
          <w:szCs w:val="32"/>
          <w:highlight w:val="none"/>
        </w:rPr>
        <w:t>）</w:t>
      </w:r>
      <w:r>
        <w:rPr>
          <w:rFonts w:hint="eastAsia" w:eastAsia="仿宋_GB2312"/>
          <w:snapToGrid w:val="0"/>
          <w:kern w:val="0"/>
          <w:sz w:val="32"/>
          <w:szCs w:val="32"/>
          <w:highlight w:val="none"/>
        </w:rPr>
        <w:t>带照</w:t>
      </w:r>
      <w:r>
        <w:rPr>
          <w:rFonts w:hint="eastAsia" w:eastAsia="仿宋_GB2312"/>
          <w:snapToGrid w:val="0"/>
          <w:color w:val="333333"/>
          <w:kern w:val="0"/>
          <w:sz w:val="32"/>
          <w:szCs w:val="32"/>
          <w:highlight w:val="none"/>
        </w:rPr>
        <w:t>明装置式的手机与无照明式的手机应划分为不同的</w:t>
      </w:r>
      <w:r>
        <w:rPr>
          <w:rFonts w:hint="eastAsia" w:eastAsia="仿宋_GB2312"/>
          <w:snapToGrid w:val="0"/>
          <w:color w:val="333333"/>
          <w:kern w:val="0"/>
          <w:sz w:val="32"/>
          <w:szCs w:val="32"/>
          <w:highlight w:val="none"/>
          <w:lang w:eastAsia="zh-CN"/>
        </w:rPr>
        <w:t>检测</w:t>
      </w:r>
      <w:r>
        <w:rPr>
          <w:rFonts w:hint="eastAsia" w:eastAsia="仿宋_GB2312"/>
          <w:snapToGrid w:val="0"/>
          <w:color w:val="333333"/>
          <w:kern w:val="0"/>
          <w:sz w:val="32"/>
          <w:szCs w:val="32"/>
          <w:highlight w:val="none"/>
        </w:rPr>
        <w:t>单元；导光式与无照明式的手机可</w:t>
      </w:r>
      <w:r>
        <w:rPr>
          <w:rFonts w:hint="eastAsia" w:eastAsia="仿宋_GB2312" w:cs="仿宋_GB2312"/>
          <w:snapToGrid w:val="0"/>
          <w:kern w:val="0"/>
          <w:sz w:val="32"/>
          <w:szCs w:val="32"/>
          <w:highlight w:val="none"/>
        </w:rPr>
        <w:t>选取前者作为检测的典型产品。</w:t>
      </w:r>
    </w:p>
    <w:p w14:paraId="51753F06">
      <w:pPr>
        <w:spacing w:line="520" w:lineRule="exact"/>
        <w:ind w:firstLine="640" w:firstLineChars="200"/>
      </w:pPr>
      <w:r>
        <w:rPr>
          <w:rFonts w:ascii="'Times New Roman'" w:hAnsi="'Times New Roman'" w:cs="'Times New Roman'"/>
          <w:color w:val="000000"/>
          <w:sz w:val="32"/>
        </w:rPr>
        <w:t>4.</w:t>
      </w:r>
      <w:r>
        <w:rPr>
          <w:rFonts w:ascii="仿宋_GB2312" w:hAnsi="仿宋_GB2312" w:eastAsia="仿宋_GB2312" w:cs="仿宋_GB2312"/>
          <w:color w:val="000000"/>
          <w:sz w:val="32"/>
        </w:rPr>
        <w:t>研究资料</w:t>
      </w:r>
    </w:p>
    <w:p w14:paraId="4471553E">
      <w:pPr>
        <w:spacing w:line="520" w:lineRule="exact"/>
        <w:ind w:firstLine="640"/>
      </w:pPr>
      <w:r>
        <w:rPr>
          <w:rFonts w:ascii="仿宋_GB2312" w:hAnsi="仿宋_GB2312" w:eastAsia="仿宋_GB2312" w:cs="仿宋_GB2312"/>
          <w:color w:val="000000"/>
          <w:sz w:val="32"/>
        </w:rPr>
        <w:t>根据申报产品的具体特点，提供适用的研究资料。可选择典型型号开展研究，并说明典型型号选择依据。</w:t>
      </w:r>
    </w:p>
    <w:p w14:paraId="68D5FD3E">
      <w:pPr>
        <w:spacing w:line="520" w:lineRule="exact"/>
        <w:ind w:firstLine="640" w:firstLineChars="200"/>
        <w:rPr>
          <w:rFonts w:ascii="仿宋_GB2312" w:hAnsi="仿宋_GB2312" w:eastAsia="仿宋_GB2312" w:cs="仿宋_GB2312"/>
          <w:color w:val="000000"/>
          <w:sz w:val="32"/>
        </w:rPr>
      </w:pPr>
      <w:r>
        <w:rPr>
          <w:rFonts w:ascii="'Times New Roman'" w:hAnsi="'Times New Roman'" w:cs="'Times New Roman'"/>
          <w:color w:val="000000"/>
          <w:sz w:val="32"/>
        </w:rPr>
        <w:t>4.1</w:t>
      </w:r>
      <w:r>
        <w:rPr>
          <w:rFonts w:ascii="仿宋_GB2312" w:hAnsi="仿宋_GB2312" w:eastAsia="仿宋_GB2312" w:cs="仿宋_GB2312"/>
          <w:color w:val="000000"/>
          <w:sz w:val="32"/>
        </w:rPr>
        <w:t>化学和物理性能研究</w:t>
      </w:r>
    </w:p>
    <w:p w14:paraId="0D434739">
      <w:pPr>
        <w:spacing w:line="520" w:lineRule="exact"/>
        <w:ind w:firstLine="640" w:firstLineChars="200"/>
        <w:rPr>
          <w:rFonts w:ascii="仿宋_GB2312" w:hAnsi="仿宋_GB2312" w:eastAsia="仿宋_GB2312" w:cs="仿宋_GB2312"/>
          <w:sz w:val="32"/>
        </w:rPr>
      </w:pPr>
      <w:r>
        <w:rPr>
          <w:rFonts w:ascii="仿宋_GB2312" w:hAnsi="仿宋_GB2312" w:eastAsia="仿宋_GB2312" w:cs="仿宋_GB2312"/>
          <w:sz w:val="32"/>
        </w:rPr>
        <w:t>应当提供产品技术要求中化学</w:t>
      </w:r>
      <w:r>
        <w:rPr>
          <w:rFonts w:ascii="'Times New Roman'" w:hAnsi="'Times New Roman'" w:cs="'Times New Roman'"/>
          <w:sz w:val="32"/>
        </w:rPr>
        <w:t>/</w:t>
      </w:r>
      <w:r>
        <w:rPr>
          <w:rFonts w:ascii="仿宋_GB2312" w:hAnsi="仿宋_GB2312" w:eastAsia="仿宋_GB2312" w:cs="仿宋_GB2312"/>
          <w:sz w:val="32"/>
        </w:rPr>
        <w:t>材料表征、物理和</w:t>
      </w:r>
      <w:r>
        <w:rPr>
          <w:sz w:val="32"/>
        </w:rPr>
        <w:t>/</w:t>
      </w:r>
      <w:r>
        <w:rPr>
          <w:rFonts w:ascii="仿宋_GB2312" w:hAnsi="仿宋_GB2312" w:eastAsia="仿宋_GB2312" w:cs="仿宋_GB2312"/>
          <w:sz w:val="32"/>
        </w:rPr>
        <w:t>或机械性能指标的确定依据、设计输入来源以及临床意义，所采用的标准或方法、采用的原因及理论基础。</w:t>
      </w:r>
      <w:r>
        <w:rPr>
          <w:rFonts w:hint="eastAsia" w:ascii="仿宋_GB2312" w:hAnsi="仿宋_GB2312" w:eastAsia="仿宋_GB2312" w:cs="仿宋_GB2312"/>
          <w:sz w:val="32"/>
          <w:lang w:eastAsia="zh-CN"/>
        </w:rPr>
        <w:t>申请人结合配套的驱动源的情况，</w:t>
      </w:r>
      <w:r>
        <w:rPr>
          <w:rFonts w:hint="default" w:ascii="仿宋_GB2312" w:hAnsi="仿宋_GB2312" w:eastAsia="仿宋_GB2312" w:cs="仿宋_GB2312"/>
          <w:sz w:val="32"/>
          <w:lang w:eastAsia="zh-CN"/>
        </w:rPr>
        <w:t>提供</w:t>
      </w:r>
      <w:r>
        <w:rPr>
          <w:rFonts w:hint="default" w:ascii="仿宋_GB2312" w:hAnsi="仿宋_GB2312" w:eastAsia="仿宋_GB2312" w:cs="仿宋_GB2312"/>
          <w:sz w:val="32"/>
          <w:lang w:val="en-US" w:eastAsia="zh-CN"/>
        </w:rPr>
        <w:t>其驱动源最大转速的情况下，牙科</w:t>
      </w:r>
      <w:r>
        <w:rPr>
          <w:rFonts w:hint="eastAsia" w:ascii="仿宋_GB2312" w:hAnsi="仿宋_GB2312" w:eastAsia="仿宋_GB2312" w:cs="仿宋_GB2312"/>
          <w:sz w:val="32"/>
          <w:lang w:eastAsia="zh-CN"/>
        </w:rPr>
        <w:t>手机转速的研究资料。</w:t>
      </w:r>
    </w:p>
    <w:p w14:paraId="2608CA7E">
      <w:pPr>
        <w:spacing w:line="520" w:lineRule="exact"/>
        <w:ind w:firstLine="640" w:firstLineChars="200"/>
      </w:pPr>
      <w:r>
        <w:rPr>
          <w:rFonts w:ascii="'Times New Roman'" w:hAnsi="'Times New Roman'" w:cs="'Times New Roman'"/>
          <w:sz w:val="32"/>
        </w:rPr>
        <w:t>4.2</w:t>
      </w:r>
      <w:r>
        <w:rPr>
          <w:rFonts w:ascii="仿宋_GB2312" w:hAnsi="仿宋_GB2312" w:eastAsia="仿宋_GB2312" w:cs="仿宋_GB2312"/>
          <w:sz w:val="32"/>
        </w:rPr>
        <w:t>电气系统安全性研究</w:t>
      </w:r>
    </w:p>
    <w:p w14:paraId="28117FF4">
      <w:pPr>
        <w:spacing w:line="520" w:lineRule="exact"/>
        <w:ind w:firstLine="640"/>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应提供电气安全性及电磁兼容性的研究资料。</w:t>
      </w:r>
    </w:p>
    <w:p w14:paraId="10213084">
      <w:pPr>
        <w:spacing w:line="520" w:lineRule="exact"/>
        <w:ind w:firstLine="640"/>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目前与</w:t>
      </w:r>
      <w:r>
        <w:rPr>
          <w:rFonts w:hint="eastAsia" w:ascii="仿宋_GB2312" w:hAnsi="仿宋_GB2312" w:eastAsia="仿宋_GB2312" w:cs="仿宋_GB2312"/>
          <w:color w:val="000000"/>
          <w:sz w:val="32"/>
          <w:lang w:eastAsia="zh-CN"/>
        </w:rPr>
        <w:t>牙科手机</w:t>
      </w:r>
      <w:r>
        <w:rPr>
          <w:rFonts w:hint="eastAsia" w:ascii="仿宋_GB2312" w:hAnsi="仿宋_GB2312" w:eastAsia="仿宋_GB2312" w:cs="仿宋_GB2312"/>
          <w:color w:val="000000"/>
          <w:sz w:val="32"/>
        </w:rPr>
        <w:t>相关的常用标准为GB 9706.1、YY 9706.102、</w:t>
      </w:r>
      <w:r>
        <w:rPr>
          <w:rFonts w:hint="eastAsia" w:ascii="仿宋_GB2312" w:hAnsi="仿宋_GB2312" w:eastAsia="仿宋_GB2312" w:cs="仿宋_GB2312"/>
          <w:color w:val="000000"/>
          <w:sz w:val="32"/>
          <w:lang w:eastAsia="zh-CN"/>
        </w:rPr>
        <w:t>G</w:t>
      </w:r>
      <w:r>
        <w:rPr>
          <w:rFonts w:hint="eastAsia" w:ascii="仿宋_GB2312" w:hAnsi="仿宋_GB2312" w:eastAsia="仿宋_GB2312" w:cs="仿宋_GB2312"/>
          <w:color w:val="000000"/>
          <w:sz w:val="32"/>
          <w:lang w:val="en-US" w:eastAsia="zh-CN"/>
        </w:rPr>
        <w:t>B</w:t>
      </w:r>
      <w:r>
        <w:rPr>
          <w:rFonts w:hint="eastAsia" w:ascii="仿宋_GB2312" w:hAnsi="仿宋_GB2312" w:eastAsia="仿宋_GB2312" w:cs="仿宋_GB2312"/>
          <w:color w:val="000000"/>
          <w:sz w:val="32"/>
        </w:rPr>
        <w:t xml:space="preserve"> 9706.</w:t>
      </w:r>
      <w:r>
        <w:rPr>
          <w:rFonts w:hint="eastAsia" w:ascii="仿宋_GB2312" w:hAnsi="仿宋_GB2312" w:eastAsia="仿宋_GB2312" w:cs="仿宋_GB2312"/>
          <w:color w:val="000000"/>
          <w:sz w:val="32"/>
          <w:lang w:eastAsia="zh-CN"/>
        </w:rPr>
        <w:t>2</w:t>
      </w:r>
      <w:r>
        <w:rPr>
          <w:rFonts w:hint="eastAsia" w:ascii="仿宋_GB2312" w:hAnsi="仿宋_GB2312" w:eastAsia="仿宋_GB2312" w:cs="仿宋_GB2312"/>
          <w:color w:val="000000"/>
          <w:sz w:val="32"/>
          <w:lang w:val="en-US" w:eastAsia="zh-CN"/>
        </w:rPr>
        <w:t>60</w:t>
      </w:r>
      <w:r>
        <w:rPr>
          <w:rFonts w:hint="eastAsia" w:ascii="仿宋_GB2312" w:hAnsi="仿宋_GB2312" w:eastAsia="仿宋_GB2312" w:cs="仿宋_GB2312"/>
          <w:color w:val="000000"/>
          <w:sz w:val="32"/>
        </w:rPr>
        <w:t>。申请人还可根据产品自身特点引用其他相关的标准（国际标准、行业标准等）。若适用的强制性标准中有不适用的条款，还应说明不适用理由。</w:t>
      </w:r>
    </w:p>
    <w:p w14:paraId="5CB6B08F">
      <w:pPr>
        <w:spacing w:line="520" w:lineRule="exact"/>
        <w:ind w:firstLine="640" w:firstLineChars="200"/>
        <w:rPr>
          <w:rFonts w:eastAsia="仿宋_GB2312"/>
          <w:sz w:val="32"/>
          <w:szCs w:val="32"/>
        </w:rPr>
      </w:pPr>
      <w:r>
        <w:rPr>
          <w:rFonts w:hint="eastAsia" w:eastAsia="仿宋_GB2312"/>
          <w:sz w:val="32"/>
          <w:szCs w:val="32"/>
          <w:lang w:val="en-US" w:eastAsia="zh-CN"/>
        </w:rPr>
        <w:t>4.3</w:t>
      </w:r>
      <w:r>
        <w:rPr>
          <w:rFonts w:hint="eastAsia" w:eastAsia="仿宋_GB2312"/>
          <w:sz w:val="32"/>
          <w:szCs w:val="32"/>
        </w:rPr>
        <w:t>联合使用</w:t>
      </w:r>
    </w:p>
    <w:p w14:paraId="053BCCE3">
      <w:pPr>
        <w:spacing w:line="520" w:lineRule="exact"/>
        <w:ind w:firstLine="640" w:firstLineChars="200"/>
        <w:rPr>
          <w:rFonts w:ascii="'Times New Roman'" w:hAnsi="'Times New Roman'" w:cs="'Times New Roman'"/>
          <w:color w:val="000000"/>
          <w:sz w:val="32"/>
        </w:rPr>
      </w:pPr>
      <w:r>
        <w:rPr>
          <w:rFonts w:hint="eastAsia" w:eastAsia="仿宋_GB2312"/>
          <w:sz w:val="32"/>
          <w:szCs w:val="32"/>
        </w:rPr>
        <w:t>如申报产品预期与</w:t>
      </w:r>
      <w:r>
        <w:rPr>
          <w:rFonts w:hint="eastAsia" w:eastAsia="仿宋_GB2312"/>
          <w:sz w:val="32"/>
          <w:szCs w:val="32"/>
          <w:lang w:eastAsia="zh-CN"/>
        </w:rPr>
        <w:t>马达、牙科设备</w:t>
      </w:r>
      <w:r>
        <w:rPr>
          <w:rFonts w:hint="eastAsia" w:eastAsia="仿宋_GB2312"/>
          <w:sz w:val="32"/>
          <w:szCs w:val="32"/>
        </w:rPr>
        <w:t>等联合使用，应当提供证明联合使用安全有效的研究资料，包括互联基本信息（连接类型、接口、协议、最低性能）、联合使用风险及控制措施、联合使用上的限制，兼容性研究等。</w:t>
      </w:r>
    </w:p>
    <w:p w14:paraId="3D01AECE">
      <w:pPr>
        <w:spacing w:line="520" w:lineRule="exact"/>
        <w:ind w:firstLine="640" w:firstLineChars="200"/>
        <w:rPr>
          <w:rFonts w:eastAsia="仿宋_GB2312"/>
        </w:rPr>
      </w:pPr>
      <w:r>
        <w:rPr>
          <w:rFonts w:ascii="'Times New Roman'" w:hAnsi="'Times New Roman'" w:cs="'Times New Roman'"/>
          <w:color w:val="000000"/>
          <w:sz w:val="32"/>
        </w:rPr>
        <w:t>4.</w:t>
      </w:r>
      <w:r>
        <w:rPr>
          <w:rFonts w:hint="eastAsia" w:ascii="'Times New Roman'" w:hAnsi="'Times New Roman'" w:cs="'Times New Roman'"/>
          <w:color w:val="000000"/>
          <w:sz w:val="32"/>
          <w:lang w:val="en-US" w:eastAsia="zh-CN"/>
        </w:rPr>
        <w:t>4</w:t>
      </w:r>
      <w:r>
        <w:rPr>
          <w:rFonts w:ascii="仿宋_GB2312" w:hAnsi="仿宋_GB2312" w:eastAsia="仿宋_GB2312" w:cs="仿宋_GB2312"/>
          <w:color w:val="000000"/>
          <w:sz w:val="32"/>
        </w:rPr>
        <w:t>辐射安全</w:t>
      </w:r>
      <w:r>
        <w:rPr>
          <w:rFonts w:hint="eastAsia" w:ascii="仿宋_GB2312" w:hAnsi="仿宋_GB2312" w:eastAsia="仿宋_GB2312" w:cs="仿宋_GB2312"/>
          <w:color w:val="000000"/>
          <w:sz w:val="32"/>
        </w:rPr>
        <w:t>研究</w:t>
      </w:r>
    </w:p>
    <w:p w14:paraId="7FC3165D">
      <w:pPr>
        <w:spacing w:line="520" w:lineRule="exact"/>
        <w:ind w:firstLine="640"/>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应按照《医疗器械光辐射安全注册审查指导原则》的要求，提交光辐射安全研究资料。</w:t>
      </w:r>
    </w:p>
    <w:p w14:paraId="3A1D891F">
      <w:pPr>
        <w:spacing w:line="520" w:lineRule="exact"/>
        <w:ind w:firstLine="640" w:firstLineChars="200"/>
        <w:rPr>
          <w:rFonts w:hint="eastAsia" w:ascii="'Times New Roman'" w:hAnsi="'Times New Roman'" w:cs="'Times New Roman'"/>
          <w:color w:val="000000"/>
          <w:sz w:val="32"/>
        </w:rPr>
      </w:pPr>
      <w:r>
        <w:rPr>
          <w:rFonts w:ascii="'Times New Roman'" w:hAnsi="'Times New Roman'" w:cs="'Times New Roman'"/>
          <w:color w:val="000000"/>
          <w:sz w:val="32"/>
        </w:rPr>
        <w:t>4.</w:t>
      </w:r>
      <w:r>
        <w:rPr>
          <w:rFonts w:hint="eastAsia" w:ascii="'Times New Roman'" w:hAnsi="'Times New Roman'" w:cs="'Times New Roman'"/>
          <w:color w:val="000000"/>
          <w:sz w:val="32"/>
          <w:lang w:val="en-US" w:eastAsia="zh-CN"/>
        </w:rPr>
        <w:t>5</w:t>
      </w:r>
      <w:r>
        <w:rPr>
          <w:rFonts w:hint="eastAsia" w:ascii="仿宋_GB2312" w:hAnsi="仿宋_GB2312" w:eastAsia="仿宋_GB2312" w:cs="仿宋_GB2312"/>
          <w:color w:val="000000"/>
          <w:sz w:val="32"/>
        </w:rPr>
        <w:t>生物学特性研究</w:t>
      </w:r>
    </w:p>
    <w:p w14:paraId="18C17AE3">
      <w:pPr>
        <w:spacing w:line="520" w:lineRule="exact"/>
        <w:ind w:firstLine="640"/>
      </w:pPr>
      <w:r>
        <w:rPr>
          <w:rFonts w:ascii="仿宋_GB2312" w:hAnsi="仿宋_GB2312" w:eastAsia="仿宋_GB2312" w:cs="仿宋_GB2312"/>
          <w:sz w:val="32"/>
        </w:rPr>
        <w:t>生物学评价报告应体现产品名称和型号，</w:t>
      </w:r>
      <w:r>
        <w:rPr>
          <w:rFonts w:hint="eastAsia" w:ascii="仿宋_GB2312" w:hAnsi="仿宋_GB2312" w:eastAsia="仿宋_GB2312" w:cs="仿宋_GB2312"/>
          <w:sz w:val="32"/>
        </w:rPr>
        <w:t>应</w:t>
      </w:r>
      <w:r>
        <w:rPr>
          <w:rFonts w:ascii="仿宋_GB2312" w:hAnsi="仿宋_GB2312" w:eastAsia="仿宋_GB2312" w:cs="仿宋_GB2312"/>
          <w:sz w:val="32"/>
        </w:rPr>
        <w:t>考虑临床使用中</w:t>
      </w:r>
      <w:r>
        <w:rPr>
          <w:rFonts w:hint="eastAsia" w:ascii="仿宋_GB2312" w:hAnsi="仿宋_GB2312" w:eastAsia="仿宋_GB2312" w:cs="仿宋_GB2312"/>
          <w:sz w:val="32"/>
        </w:rPr>
        <w:t>牙科手机</w:t>
      </w:r>
      <w:r>
        <w:rPr>
          <w:rFonts w:ascii="仿宋_GB2312" w:hAnsi="仿宋_GB2312" w:eastAsia="仿宋_GB2312" w:cs="仿宋_GB2312"/>
          <w:sz w:val="32"/>
        </w:rPr>
        <w:t>在口内操作，会与口腔内生理组织接触，因此应评价</w:t>
      </w:r>
      <w:r>
        <w:rPr>
          <w:rFonts w:hint="eastAsia" w:ascii="仿宋_GB2312" w:hAnsi="仿宋_GB2312" w:eastAsia="仿宋_GB2312" w:cs="仿宋_GB2312"/>
          <w:sz w:val="32"/>
        </w:rPr>
        <w:t>其</w:t>
      </w:r>
      <w:r>
        <w:rPr>
          <w:rFonts w:ascii="仿宋_GB2312" w:hAnsi="仿宋_GB2312" w:eastAsia="仿宋_GB2312" w:cs="仿宋_GB2312"/>
          <w:sz w:val="32"/>
        </w:rPr>
        <w:t>生物学风险。申请人应描述</w:t>
      </w:r>
      <w:r>
        <w:rPr>
          <w:rFonts w:hint="eastAsia" w:ascii="仿宋_GB2312" w:hAnsi="仿宋_GB2312" w:eastAsia="仿宋_GB2312" w:cs="仿宋_GB2312"/>
          <w:sz w:val="32"/>
        </w:rPr>
        <w:t>直接或间接与组织接触</w:t>
      </w:r>
      <w:r>
        <w:rPr>
          <w:rFonts w:ascii="仿宋_GB2312" w:hAnsi="仿宋_GB2312" w:eastAsia="仿宋_GB2312" w:cs="仿宋_GB2312"/>
          <w:sz w:val="32"/>
        </w:rPr>
        <w:t>的材料，以及在使用过程中与口腔黏膜组织接触的性质和时间，同时应考虑生产工艺及清洁灭菌对生物相容性的影响，考虑设计生产过程中可能引入的污染物、残留物、降解产物、加工残留物影响等。</w:t>
      </w:r>
    </w:p>
    <w:p w14:paraId="6E73A135">
      <w:pPr>
        <w:spacing w:line="520" w:lineRule="exact"/>
        <w:ind w:firstLine="640"/>
        <w:rPr>
          <w:rFonts w:ascii="仿宋_GB2312" w:hAnsi="仿宋_GB2312" w:eastAsia="仿宋_GB2312" w:cs="仿宋_GB2312"/>
          <w:color w:val="000000"/>
          <w:sz w:val="32"/>
        </w:rPr>
      </w:pPr>
      <w:r>
        <w:rPr>
          <w:rFonts w:ascii="仿宋_GB2312" w:hAnsi="仿宋_GB2312" w:eastAsia="仿宋_GB2312" w:cs="仿宋_GB2312"/>
          <w:color w:val="000000"/>
          <w:sz w:val="32"/>
        </w:rPr>
        <w:t>根据</w:t>
      </w:r>
      <w:r>
        <w:rPr>
          <w:rFonts w:ascii="'Times New Roman'" w:hAnsi="'Times New Roman'" w:cs="'Times New Roman'"/>
          <w:color w:val="000000"/>
          <w:sz w:val="32"/>
        </w:rPr>
        <w:t>GB/T 16886.1</w:t>
      </w:r>
      <w:r>
        <w:rPr>
          <w:rFonts w:hint="eastAsia" w:ascii="'Times New Roman'" w:hAnsi="'Times New Roman'" w:cs="'Times New Roman'"/>
          <w:color w:val="000000"/>
          <w:sz w:val="32"/>
        </w:rPr>
        <w:t>（或YY/T 0268）</w:t>
      </w:r>
      <w:r>
        <w:rPr>
          <w:rFonts w:ascii="仿宋_GB2312" w:hAnsi="仿宋_GB2312" w:eastAsia="仿宋_GB2312" w:cs="仿宋_GB2312"/>
          <w:color w:val="000000"/>
          <w:sz w:val="32"/>
        </w:rPr>
        <w:t>的分类要求，手机预期与人体</w:t>
      </w:r>
      <w:r>
        <w:rPr>
          <w:rFonts w:ascii="仿宋_GB2312" w:hAnsi="仿宋_GB2312" w:eastAsia="仿宋_GB2312" w:cs="仿宋_GB2312"/>
          <w:sz w:val="32"/>
        </w:rPr>
        <w:t>口腔黏膜组织短期接</w:t>
      </w:r>
      <w:r>
        <w:rPr>
          <w:rFonts w:ascii="仿宋_GB2312" w:hAnsi="仿宋_GB2312" w:eastAsia="仿宋_GB2312" w:cs="仿宋_GB2312"/>
          <w:color w:val="000000"/>
          <w:sz w:val="32"/>
        </w:rPr>
        <w:t>触，属于表面接触器械。如需进行生物学试验，通常应考虑细胞毒性、致敏、刺激或皮内反应，有可能接触破裂或损伤表面的则不限于这三项</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生物学评价报告应包括：生物相容性评价的依据和方法、所用材料的描述及与人体接触的性质、实施或豁免生物学试验的理由和论证、对于现有数据或试验结果的评价</w:t>
      </w:r>
    </w:p>
    <w:p w14:paraId="1B7FB412">
      <w:pPr>
        <w:spacing w:line="520" w:lineRule="exact"/>
        <w:ind w:firstLine="640" w:firstLineChars="200"/>
      </w:pPr>
      <w:r>
        <w:rPr>
          <w:rFonts w:ascii="'Times New Roman'" w:hAnsi="'Times New Roman'" w:cs="'Times New Roman'"/>
          <w:color w:val="000000"/>
          <w:sz w:val="32"/>
        </w:rPr>
        <w:t>4.</w:t>
      </w:r>
      <w:r>
        <w:rPr>
          <w:rFonts w:hint="eastAsia" w:ascii="'Times New Roman'" w:hAnsi="'Times New Roman'" w:cs="'Times New Roman'"/>
          <w:color w:val="000000"/>
          <w:sz w:val="32"/>
          <w:lang w:val="en-US" w:eastAsia="zh-CN"/>
        </w:rPr>
        <w:t>6</w:t>
      </w:r>
      <w:r>
        <w:rPr>
          <w:rFonts w:ascii="仿宋_GB2312" w:hAnsi="仿宋_GB2312" w:eastAsia="仿宋_GB2312" w:cs="仿宋_GB2312"/>
          <w:color w:val="000000"/>
          <w:sz w:val="32"/>
        </w:rPr>
        <w:t>清洁、消毒、灭菌研究</w:t>
      </w:r>
    </w:p>
    <w:p w14:paraId="34DA549F">
      <w:pPr>
        <w:spacing w:line="520" w:lineRule="exact"/>
        <w:ind w:firstLine="640"/>
        <w:rPr>
          <w:rFonts w:ascii="仿宋_GB2312" w:hAnsi="仿宋_GB2312" w:eastAsia="仿宋_GB2312" w:cs="仿宋_GB2312"/>
          <w:color w:val="000000"/>
          <w:sz w:val="32"/>
        </w:rPr>
      </w:pPr>
      <w:r>
        <w:rPr>
          <w:rFonts w:ascii="仿宋_GB2312" w:hAnsi="仿宋_GB2312" w:eastAsia="仿宋_GB2312" w:cs="仿宋_GB2312"/>
          <w:color w:val="000000"/>
          <w:sz w:val="32"/>
        </w:rPr>
        <w:t>手机应可耐受灭菌处理，并参照</w:t>
      </w:r>
      <w:r>
        <w:rPr>
          <w:rFonts w:hint="eastAsia" w:ascii="'Times New Roman'" w:hAnsi="'Times New Roman'" w:cs="'Times New Roman'"/>
          <w:color w:val="000000"/>
          <w:sz w:val="32"/>
        </w:rPr>
        <w:t>YY 1045</w:t>
      </w:r>
      <w:r>
        <w:rPr>
          <w:rFonts w:ascii="仿宋_GB2312" w:hAnsi="仿宋_GB2312" w:eastAsia="仿宋_GB2312" w:cs="仿宋_GB2312"/>
          <w:color w:val="000000"/>
          <w:sz w:val="32"/>
        </w:rPr>
        <w:t>的要求能够承受一定次数的灭菌循环，而无损坏现象。应提供该灭菌方法及其确定的依据。提供推荐的灭菌方法</w:t>
      </w:r>
      <w:r>
        <w:rPr>
          <w:rFonts w:hint="eastAsia" w:ascii="仿宋_GB2312" w:hAnsi="仿宋_GB2312" w:eastAsia="仿宋_GB2312" w:cs="仿宋_GB2312"/>
          <w:color w:val="000000"/>
          <w:sz w:val="32"/>
        </w:rPr>
        <w:t>有效性和</w:t>
      </w:r>
      <w:r>
        <w:rPr>
          <w:rFonts w:ascii="仿宋_GB2312" w:hAnsi="仿宋_GB2312" w:eastAsia="仿宋_GB2312" w:cs="仿宋_GB2312"/>
          <w:color w:val="000000"/>
          <w:sz w:val="32"/>
        </w:rPr>
        <w:t>耐受性的研究资料。</w:t>
      </w:r>
    </w:p>
    <w:p w14:paraId="2E1E1759">
      <w:pPr>
        <w:spacing w:line="520" w:lineRule="exact"/>
        <w:ind w:firstLine="640"/>
        <w:rPr>
          <w:rFonts w:ascii="仿宋_GB2312" w:hAnsi="仿宋_GB2312" w:eastAsia="仿宋_GB2312" w:cs="仿宋_GB2312"/>
          <w:color w:val="000000"/>
          <w:sz w:val="32"/>
        </w:rPr>
      </w:pPr>
      <w:r>
        <w:rPr>
          <w:rFonts w:ascii="仿宋_GB2312" w:hAnsi="仿宋_GB2312" w:eastAsia="仿宋_GB2312" w:cs="仿宋_GB2312"/>
          <w:color w:val="000000"/>
          <w:sz w:val="32"/>
        </w:rPr>
        <w:t>若产品经灭菌后可能产生残留物质，应当对灭菌后的产品进行残留毒性的研究，明确残留物信息及采取的处理方法，并提供相关研究资料。</w:t>
      </w:r>
    </w:p>
    <w:p w14:paraId="094255ED">
      <w:pPr>
        <w:spacing w:line="520" w:lineRule="exact"/>
        <w:ind w:firstLine="640" w:firstLineChars="200"/>
      </w:pPr>
      <w:r>
        <w:rPr>
          <w:rFonts w:eastAsia="仿宋_GB2312"/>
          <w:color w:val="000000"/>
          <w:sz w:val="32"/>
        </w:rPr>
        <w:t>4.</w:t>
      </w:r>
      <w:r>
        <w:rPr>
          <w:rFonts w:hint="eastAsia" w:eastAsia="仿宋_GB2312"/>
          <w:color w:val="000000"/>
          <w:sz w:val="32"/>
          <w:lang w:val="en-US" w:eastAsia="zh-CN"/>
        </w:rPr>
        <w:t>7</w:t>
      </w:r>
      <w:r>
        <w:rPr>
          <w:rFonts w:eastAsia="仿宋_GB2312"/>
          <w:color w:val="000000"/>
          <w:sz w:val="32"/>
        </w:rPr>
        <w:t>可用性研</w:t>
      </w:r>
      <w:r>
        <w:rPr>
          <w:rFonts w:ascii="仿宋_GB2312" w:hAnsi="仿宋_GB2312" w:eastAsia="仿宋_GB2312" w:cs="仿宋_GB2312"/>
          <w:color w:val="000000"/>
          <w:sz w:val="32"/>
        </w:rPr>
        <w:t>究</w:t>
      </w:r>
    </w:p>
    <w:p w14:paraId="1902B7D6">
      <w:pPr>
        <w:spacing w:line="520" w:lineRule="exact"/>
        <w:ind w:firstLine="640"/>
        <w:rPr>
          <w:rFonts w:hint="eastAsia" w:ascii="仿宋_GB2312" w:hAnsi="仿宋_GB2312" w:eastAsia="仿宋_GB2312" w:cs="仿宋_GB2312"/>
          <w:color w:val="000000"/>
          <w:sz w:val="32"/>
          <w:lang w:eastAsia="zh-CN"/>
        </w:rPr>
      </w:pPr>
      <w:r>
        <w:rPr>
          <w:rFonts w:hint="eastAsia" w:ascii="仿宋_GB2312" w:hAnsi="仿宋_GB2312" w:eastAsia="仿宋_GB2312" w:cs="仿宋_GB2312"/>
          <w:color w:val="000000"/>
          <w:sz w:val="32"/>
        </w:rPr>
        <w:t>应参照《医疗器械可用性工程注册审查指导原则》，按照中使用风险医疗器械要求提交使用错误评估报告</w:t>
      </w:r>
      <w:r>
        <w:rPr>
          <w:rFonts w:hint="eastAsia" w:ascii="仿宋_GB2312" w:hAnsi="仿宋_GB2312" w:eastAsia="仿宋_GB2312" w:cs="仿宋_GB2312"/>
          <w:color w:val="000000"/>
          <w:sz w:val="32"/>
          <w:lang w:eastAsia="zh-CN"/>
        </w:rPr>
        <w:t>。</w:t>
      </w:r>
    </w:p>
    <w:p w14:paraId="754FA636">
      <w:pPr>
        <w:spacing w:line="520" w:lineRule="exact"/>
        <w:ind w:firstLine="640" w:firstLineChars="200"/>
        <w:rPr>
          <w:rFonts w:eastAsia="仿宋_GB2312"/>
          <w:color w:val="000000"/>
          <w:sz w:val="32"/>
        </w:rPr>
      </w:pPr>
      <w:r>
        <w:rPr>
          <w:rFonts w:eastAsia="仿宋_GB2312"/>
          <w:color w:val="000000"/>
          <w:sz w:val="32"/>
        </w:rPr>
        <w:t>4.</w:t>
      </w:r>
      <w:r>
        <w:rPr>
          <w:rFonts w:hint="eastAsia" w:eastAsia="仿宋_GB2312"/>
          <w:color w:val="000000"/>
          <w:sz w:val="32"/>
          <w:lang w:val="en-US" w:eastAsia="zh-CN"/>
        </w:rPr>
        <w:t>8</w:t>
      </w:r>
      <w:r>
        <w:rPr>
          <w:rFonts w:eastAsia="仿宋_GB2312"/>
          <w:color w:val="000000"/>
          <w:sz w:val="32"/>
        </w:rPr>
        <w:t>证明产品安全性、有效性的其他研究资料。</w:t>
      </w:r>
    </w:p>
    <w:p w14:paraId="4949412C">
      <w:pPr>
        <w:pStyle w:val="5"/>
        <w:spacing w:line="520" w:lineRule="exact"/>
        <w:ind w:left="0" w:firstLine="640" w:firstLineChars="200"/>
        <w:rPr>
          <w:b w:val="0"/>
        </w:rPr>
      </w:pPr>
      <w:r>
        <w:rPr>
          <w:rFonts w:ascii="'Times New Roman'" w:hAnsi="'Times New Roman'" w:cs="'Times New Roman'"/>
          <w:b w:val="0"/>
          <w:color w:val="000000"/>
          <w:sz w:val="32"/>
        </w:rPr>
        <w:t>5.</w:t>
      </w:r>
      <w:r>
        <w:rPr>
          <w:rFonts w:ascii="仿宋_GB2312" w:hAnsi="仿宋_GB2312" w:eastAsia="仿宋_GB2312" w:cs="仿宋_GB2312"/>
          <w:b w:val="0"/>
          <w:color w:val="000000"/>
          <w:sz w:val="32"/>
        </w:rPr>
        <w:t>稳定性研究</w:t>
      </w:r>
    </w:p>
    <w:p w14:paraId="5BD544BF">
      <w:pPr>
        <w:spacing w:line="520" w:lineRule="exact"/>
        <w:ind w:firstLine="640" w:firstLineChars="200"/>
        <w:rPr>
          <w:rFonts w:hint="eastAsia" w:ascii="仿宋_GB2312" w:hAnsi="仿宋_GB2312" w:eastAsia="仿宋_GB2312" w:cs="仿宋_GB2312"/>
          <w:color w:val="000000"/>
          <w:sz w:val="32"/>
        </w:rPr>
      </w:pPr>
      <w:r>
        <w:rPr>
          <w:rFonts w:ascii="'Times New Roman'" w:hAnsi="'Times New Roman'" w:cs="'Times New Roman'"/>
          <w:color w:val="000000"/>
          <w:sz w:val="32"/>
        </w:rPr>
        <w:t>5.1</w:t>
      </w:r>
      <w:r>
        <w:rPr>
          <w:rFonts w:hint="eastAsia" w:ascii="仿宋_GB2312" w:hAnsi="仿宋_GB2312" w:eastAsia="仿宋_GB2312" w:cs="仿宋_GB2312"/>
          <w:color w:val="000000"/>
          <w:sz w:val="32"/>
        </w:rPr>
        <w:t>使用稳定性</w:t>
      </w:r>
    </w:p>
    <w:p w14:paraId="4B1B0C60">
      <w:pPr>
        <w:spacing w:line="520" w:lineRule="exact"/>
        <w:ind w:firstLine="640" w:firstLineChars="200"/>
        <w:rPr>
          <w:rFonts w:hint="eastAsia" w:eastAsia="仿宋_GB2312"/>
          <w:sz w:val="32"/>
          <w:szCs w:val="28"/>
          <w:highlight w:val="none"/>
          <w:lang w:eastAsia="zh-CN"/>
        </w:rPr>
      </w:pPr>
      <w:r>
        <w:rPr>
          <w:rFonts w:hint="eastAsia" w:eastAsia="仿宋_GB2312"/>
          <w:sz w:val="32"/>
          <w:szCs w:val="32"/>
        </w:rPr>
        <w:t>应当提供使用稳定性/可靠性研究资料，证明在规定的使用期限/使用次数内，在正常使用、维护和校准情况下，产品的性能功能满足使用要求。</w:t>
      </w:r>
    </w:p>
    <w:p w14:paraId="1849B4D5">
      <w:pPr>
        <w:spacing w:line="520" w:lineRule="exact"/>
        <w:ind w:firstLine="640"/>
        <w:rPr>
          <w:rFonts w:hint="eastAsia" w:eastAsia="仿宋_GB2312"/>
          <w:sz w:val="32"/>
          <w:szCs w:val="28"/>
          <w:highlight w:val="none"/>
          <w:lang w:eastAsia="zh-CN"/>
        </w:rPr>
      </w:pPr>
      <w:r>
        <w:rPr>
          <w:rFonts w:hint="eastAsia" w:eastAsia="仿宋_GB2312"/>
          <w:sz w:val="32"/>
          <w:szCs w:val="28"/>
          <w:highlight w:val="none"/>
          <w:lang w:eastAsia="zh-CN"/>
        </w:rPr>
        <w:t>牙科手机的使用期限</w:t>
      </w:r>
      <w:r>
        <w:rPr>
          <w:rFonts w:hint="eastAsia" w:eastAsia="仿宋_GB2312"/>
          <w:sz w:val="32"/>
          <w:szCs w:val="28"/>
          <w:highlight w:val="none"/>
        </w:rPr>
        <w:t>可参照《有源医疗器械使用期限注册技术审查指导原则》的要求进行评价</w:t>
      </w:r>
      <w:r>
        <w:rPr>
          <w:rFonts w:hint="eastAsia" w:eastAsia="仿宋_GB2312"/>
          <w:sz w:val="32"/>
          <w:szCs w:val="28"/>
          <w:highlight w:val="none"/>
          <w:lang w:eastAsia="zh-CN"/>
        </w:rPr>
        <w:t>，</w:t>
      </w:r>
      <w:r>
        <w:rPr>
          <w:rStyle w:val="62"/>
          <w:rFonts w:hint="eastAsia" w:eastAsia="仿宋_GB2312"/>
          <w:sz w:val="32"/>
          <w:szCs w:val="32"/>
          <w:highlight w:val="none"/>
        </w:rPr>
        <w:t>如采用加速老化和/或实时老化的方式进行</w:t>
      </w:r>
      <w:r>
        <w:rPr>
          <w:rFonts w:hint="eastAsia" w:eastAsia="仿宋_GB2312"/>
          <w:sz w:val="32"/>
          <w:szCs w:val="28"/>
          <w:highlight w:val="none"/>
          <w:lang w:eastAsia="zh-CN"/>
        </w:rPr>
        <w:t>。</w:t>
      </w:r>
    </w:p>
    <w:p w14:paraId="4716BD8F">
      <w:pPr>
        <w:spacing w:line="520" w:lineRule="exact"/>
        <w:ind w:firstLine="640"/>
        <w:rPr>
          <w:rFonts w:ascii="仿宋_GB2312" w:hAnsi="仿宋_GB2312" w:eastAsia="仿宋_GB2312" w:cs="仿宋_GB2312"/>
          <w:sz w:val="32"/>
        </w:rPr>
      </w:pPr>
      <w:r>
        <w:rPr>
          <w:rFonts w:hint="eastAsia" w:eastAsia="仿宋_GB2312"/>
          <w:sz w:val="32"/>
          <w:szCs w:val="28"/>
          <w:highlight w:val="none"/>
          <w:lang w:eastAsia="zh-CN"/>
        </w:rPr>
        <w:t>该</w:t>
      </w:r>
      <w:r>
        <w:rPr>
          <w:rFonts w:eastAsia="仿宋_GB2312"/>
          <w:spacing w:val="-4"/>
          <w:sz w:val="32"/>
          <w:szCs w:val="28"/>
          <w:highlight w:val="none"/>
        </w:rPr>
        <w:t>产品为有限次重复使用产品，需</w:t>
      </w:r>
      <w:r>
        <w:rPr>
          <w:rFonts w:hint="eastAsia" w:eastAsia="仿宋_GB2312"/>
          <w:spacing w:val="-4"/>
          <w:sz w:val="32"/>
          <w:szCs w:val="28"/>
          <w:highlight w:val="none"/>
          <w:lang w:eastAsia="zh-CN"/>
        </w:rPr>
        <w:t>在使用期限的基础上同时</w:t>
      </w:r>
      <w:r>
        <w:rPr>
          <w:rFonts w:eastAsia="仿宋_GB2312"/>
          <w:spacing w:val="-4"/>
          <w:sz w:val="32"/>
          <w:szCs w:val="28"/>
          <w:highlight w:val="none"/>
        </w:rPr>
        <w:t>考虑使用次数的验证</w:t>
      </w:r>
      <w:r>
        <w:rPr>
          <w:rFonts w:hint="eastAsia" w:eastAsia="仿宋_GB2312"/>
          <w:spacing w:val="-4"/>
          <w:sz w:val="32"/>
          <w:szCs w:val="28"/>
          <w:highlight w:val="none"/>
          <w:lang w:eastAsia="zh-CN"/>
        </w:rPr>
        <w:t>。</w:t>
      </w:r>
      <w:r>
        <w:rPr>
          <w:rFonts w:hint="eastAsia" w:ascii="仿宋_GB2312" w:hAnsi="仿宋_GB2312" w:eastAsia="仿宋_GB2312" w:cs="仿宋_GB2312"/>
          <w:sz w:val="32"/>
          <w:highlight w:val="none"/>
          <w:lang w:eastAsia="zh-CN"/>
        </w:rPr>
        <w:t>使用次数可</w:t>
      </w:r>
      <w:r>
        <w:rPr>
          <w:rFonts w:ascii="仿宋_GB2312" w:hAnsi="仿宋_GB2312" w:eastAsia="仿宋_GB2312" w:cs="仿宋_GB2312"/>
          <w:sz w:val="32"/>
          <w:highlight w:val="none"/>
        </w:rPr>
        <w:t>通过对产品多次模拟使用、清洁、灭菌后</w:t>
      </w:r>
      <w:r>
        <w:rPr>
          <w:rFonts w:hint="eastAsia" w:ascii="仿宋_GB2312" w:hAnsi="仿宋_GB2312" w:eastAsia="仿宋_GB2312" w:cs="仿宋_GB2312"/>
          <w:sz w:val="32"/>
          <w:highlight w:val="none"/>
          <w:lang w:eastAsia="zh-CN"/>
        </w:rPr>
        <w:t>的</w:t>
      </w:r>
      <w:r>
        <w:rPr>
          <w:rFonts w:ascii="仿宋_GB2312" w:hAnsi="仿宋_GB2312" w:eastAsia="仿宋_GB2312" w:cs="仿宋_GB2312"/>
          <w:sz w:val="32"/>
          <w:highlight w:val="none"/>
        </w:rPr>
        <w:t>灭菌耐受性研究</w:t>
      </w:r>
      <w:r>
        <w:rPr>
          <w:rFonts w:hint="eastAsia" w:ascii="仿宋_GB2312" w:hAnsi="仿宋_GB2312" w:eastAsia="仿宋_GB2312" w:cs="仿宋_GB2312"/>
          <w:sz w:val="32"/>
          <w:highlight w:val="none"/>
          <w:lang w:eastAsia="zh-CN"/>
        </w:rPr>
        <w:t>进</w:t>
      </w:r>
      <w:r>
        <w:rPr>
          <w:rFonts w:hint="eastAsia" w:ascii="仿宋_GB2312" w:hAnsi="仿宋_GB2312" w:eastAsia="仿宋_GB2312" w:cs="仿宋_GB2312"/>
          <w:sz w:val="32"/>
          <w:lang w:eastAsia="zh-CN"/>
        </w:rPr>
        <w:t>行评价。</w:t>
      </w:r>
    </w:p>
    <w:p w14:paraId="27B68155">
      <w:pPr>
        <w:spacing w:line="520" w:lineRule="exact"/>
        <w:ind w:firstLine="640" w:firstLineChars="0"/>
        <w:jc w:val="left"/>
        <w:rPr>
          <w:rFonts w:ascii="'Times New Roman'" w:hAnsi="'Times New Roman'" w:cs="'Times New Roman'"/>
          <w:color w:val="000000"/>
          <w:sz w:val="32"/>
        </w:rPr>
      </w:pPr>
      <w:r>
        <w:rPr>
          <w:rFonts w:hint="eastAsia" w:ascii="仿宋_GB2312" w:hAnsi="仿宋_GB2312" w:eastAsia="仿宋_GB2312" w:cs="仿宋_GB2312"/>
          <w:sz w:val="32"/>
          <w:lang w:eastAsia="zh-CN"/>
        </w:rPr>
        <w:t>试验后需对</w:t>
      </w:r>
      <w:r>
        <w:rPr>
          <w:rFonts w:ascii="仿宋_GB2312" w:hAnsi="仿宋_GB2312" w:eastAsia="仿宋_GB2312" w:cs="仿宋_GB2312"/>
          <w:sz w:val="32"/>
        </w:rPr>
        <w:t>产品性能和电气安全</w:t>
      </w:r>
      <w:r>
        <w:rPr>
          <w:rFonts w:hint="eastAsia" w:ascii="仿宋_GB2312" w:hAnsi="仿宋_GB2312" w:eastAsia="仿宋_GB2312" w:cs="仿宋_GB2312"/>
          <w:sz w:val="32"/>
        </w:rPr>
        <w:t>（若适用）</w:t>
      </w:r>
      <w:r>
        <w:rPr>
          <w:rFonts w:ascii="仿宋_GB2312" w:hAnsi="仿宋_GB2312" w:eastAsia="仿宋_GB2312" w:cs="仿宋_GB2312"/>
          <w:sz w:val="32"/>
        </w:rPr>
        <w:t>进行验证，证明产品的性能安全满足使用要求，</w:t>
      </w:r>
      <w:r>
        <w:rPr>
          <w:rStyle w:val="62"/>
          <w:rFonts w:hint="eastAsia" w:eastAsia="仿宋_GB2312"/>
          <w:sz w:val="32"/>
          <w:szCs w:val="32"/>
        </w:rPr>
        <w:t>应给出老化后测试的性能指标的确定依据，对于未测试的性能指标，应给出合理解释。</w:t>
      </w:r>
    </w:p>
    <w:p w14:paraId="4F2055C7">
      <w:pPr>
        <w:spacing w:line="520" w:lineRule="exact"/>
        <w:ind w:firstLine="640" w:firstLineChars="200"/>
        <w:jc w:val="left"/>
      </w:pPr>
      <w:r>
        <w:rPr>
          <w:rFonts w:ascii="'Times New Roman'" w:hAnsi="'Times New Roman'" w:cs="'Times New Roman'"/>
          <w:color w:val="000000"/>
          <w:sz w:val="32"/>
        </w:rPr>
        <w:t>5.2</w:t>
      </w:r>
      <w:r>
        <w:rPr>
          <w:rFonts w:ascii="仿宋_GB2312" w:hAnsi="仿宋_GB2312" w:eastAsia="仿宋_GB2312" w:cs="仿宋_GB2312"/>
          <w:color w:val="000000"/>
          <w:sz w:val="32"/>
        </w:rPr>
        <w:t>运输稳定性</w:t>
      </w:r>
    </w:p>
    <w:p w14:paraId="3E3DE2A8">
      <w:pPr>
        <w:spacing w:line="520" w:lineRule="exact"/>
        <w:ind w:firstLine="640"/>
        <w:rPr>
          <w:rFonts w:hint="eastAsia" w:ascii="仿宋_GB2312" w:hAnsi="仿宋_GB2312" w:eastAsia="仿宋_GB2312" w:cs="仿宋_GB2312"/>
          <w:sz w:val="32"/>
        </w:rPr>
      </w:pPr>
      <w:r>
        <w:rPr>
          <w:rFonts w:hint="eastAsia" w:ascii="仿宋_GB2312" w:hAnsi="仿宋_GB2312" w:eastAsia="仿宋_GB2312" w:cs="仿宋_GB2312"/>
          <w:sz w:val="32"/>
        </w:rPr>
        <w:t>应提供运输稳定性和包装研究资料，证明生产企业规定的运输条件不会对产品的特性和性能造成不利影响。</w:t>
      </w:r>
    </w:p>
    <w:p w14:paraId="3A756292">
      <w:pPr>
        <w:spacing w:line="520" w:lineRule="exact"/>
        <w:ind w:firstLine="640"/>
        <w:rPr>
          <w:rFonts w:hint="eastAsia" w:ascii="仿宋_GB2312" w:hAnsi="仿宋_GB2312" w:eastAsia="仿宋_GB2312" w:cs="仿宋_GB2312"/>
          <w:sz w:val="32"/>
        </w:rPr>
      </w:pPr>
      <w:r>
        <w:rPr>
          <w:rFonts w:hint="eastAsia" w:ascii="仿宋_GB2312" w:hAnsi="仿宋_GB2312" w:eastAsia="仿宋_GB2312" w:cs="仿宋_GB2312"/>
          <w:sz w:val="32"/>
        </w:rPr>
        <w:t>运输稳定性研究通常提供模拟运输试验进行，通过模拟规定的运输贮存条件，验证包装对性能及安全的保护能力。运输试验开始前及结束后，应对产品关键功能性能及电气安全进行验证，应提供验证项目的选择依据。模拟运输试验可参考GB/T 4857系列标准的要求进行，也可参考相应的国际标准，如ASTM D4169等。运输贮存条件应与说明书中规定的条件一致。</w:t>
      </w:r>
    </w:p>
    <w:p w14:paraId="4EF153C4">
      <w:pPr>
        <w:spacing w:line="520" w:lineRule="exact"/>
        <w:ind w:firstLine="640" w:firstLineChars="200"/>
        <w:rPr>
          <w:rFonts w:eastAsia="仿宋_GB2312"/>
        </w:rPr>
      </w:pPr>
      <w:r>
        <w:rPr>
          <w:rFonts w:ascii="'Times New Roman'" w:hAnsi="'Times New Roman'" w:cs="'Times New Roman'"/>
          <w:sz w:val="32"/>
        </w:rPr>
        <w:t>5.</w:t>
      </w:r>
      <w:r>
        <w:rPr>
          <w:rFonts w:hint="eastAsia" w:ascii="'Times New Roman'" w:hAnsi="'Times New Roman'" w:cs="'Times New Roman'"/>
          <w:sz w:val="32"/>
          <w:lang w:val="en-US" w:eastAsia="zh-CN"/>
        </w:rPr>
        <w:t>3</w:t>
      </w:r>
      <w:r>
        <w:rPr>
          <w:rFonts w:ascii="仿宋_GB2312" w:hAnsi="仿宋_GB2312" w:eastAsia="仿宋_GB2312" w:cs="仿宋_GB2312"/>
          <w:sz w:val="32"/>
          <w:lang w:val="en-US"/>
        </w:rPr>
        <w:t>医用电气</w:t>
      </w:r>
      <w:r>
        <w:rPr>
          <w:rFonts w:ascii="仿宋_GB2312" w:hAnsi="仿宋_GB2312" w:eastAsia="仿宋_GB2312" w:cs="仿宋_GB2312"/>
          <w:sz w:val="32"/>
        </w:rPr>
        <w:t>环境试验研究</w:t>
      </w:r>
      <w:r>
        <w:rPr>
          <w:rFonts w:hint="eastAsia" w:ascii="仿宋_GB2312" w:hAnsi="仿宋_GB2312" w:eastAsia="仿宋_GB2312" w:cs="仿宋_GB2312"/>
          <w:sz w:val="32"/>
        </w:rPr>
        <w:t>（若适用）</w:t>
      </w:r>
    </w:p>
    <w:p w14:paraId="073A81E0">
      <w:pPr>
        <w:spacing w:line="520" w:lineRule="exact"/>
        <w:ind w:firstLine="640"/>
        <w:rPr>
          <w:rFonts w:hint="eastAsia" w:ascii="仿宋_GB2312" w:hAnsi="仿宋_GB2312" w:eastAsia="仿宋_GB2312" w:cs="仿宋_GB2312"/>
          <w:sz w:val="32"/>
        </w:rPr>
      </w:pPr>
      <w:r>
        <w:rPr>
          <w:rFonts w:hint="eastAsia" w:ascii="仿宋_GB2312" w:hAnsi="仿宋_GB2312" w:eastAsia="仿宋_GB2312" w:cs="仿宋_GB2312"/>
          <w:sz w:val="32"/>
        </w:rPr>
        <w:t>主要包括气候环境条件、机械环境条件，可参考GB/T 14710《医用电器环境要求及试验方法》及其他适用的国家标准和行业标准开展环境试验研究。</w:t>
      </w:r>
    </w:p>
    <w:p w14:paraId="6D4EFEE1">
      <w:pPr>
        <w:spacing w:line="520" w:lineRule="exact"/>
        <w:ind w:firstLine="640" w:firstLineChars="200"/>
        <w:rPr>
          <w:color w:val="000000"/>
          <w:sz w:val="32"/>
        </w:rPr>
      </w:pPr>
      <w:r>
        <w:rPr>
          <w:rFonts w:hint="eastAsia" w:ascii="仿宋_GB2312" w:hAnsi="仿宋_GB2312" w:eastAsia="仿宋_GB2312" w:cs="仿宋_GB2312"/>
          <w:sz w:val="32"/>
        </w:rPr>
        <w:t>正常工作环境以产品标称为准，但需经相应环境试验验证。明确标识供电类型、电压。</w:t>
      </w:r>
    </w:p>
    <w:p w14:paraId="5F3B2FCB">
      <w:pPr>
        <w:spacing w:line="520" w:lineRule="exact"/>
        <w:ind w:firstLine="640" w:firstLineChars="200"/>
      </w:pPr>
      <w:r>
        <w:rPr>
          <w:rFonts w:hint="eastAsia"/>
          <w:color w:val="000000"/>
          <w:sz w:val="32"/>
          <w:lang w:val="en-US" w:eastAsia="zh-CN"/>
        </w:rPr>
        <w:t>6</w:t>
      </w:r>
      <w:r>
        <w:rPr>
          <w:rFonts w:ascii="仿宋_GB2312" w:hAnsi="仿宋_GB2312" w:eastAsia="仿宋_GB2312" w:cs="仿宋_GB2312"/>
          <w:color w:val="000000"/>
          <w:sz w:val="32"/>
        </w:rPr>
        <w:t>其他</w:t>
      </w:r>
    </w:p>
    <w:p w14:paraId="38A5EF8C">
      <w:pPr>
        <w:overflowPunct w:val="0"/>
        <w:autoSpaceDE w:val="0"/>
        <w:autoSpaceDN w:val="0"/>
        <w:spacing w:line="520" w:lineRule="exact"/>
        <w:ind w:firstLine="640" w:firstLineChars="200"/>
        <w:outlineLvl w:val="1"/>
        <w:rPr>
          <w:rFonts w:eastAsia="楷体_GB2312"/>
          <w:color w:val="000000"/>
          <w:sz w:val="32"/>
          <w:szCs w:val="32"/>
        </w:rPr>
      </w:pPr>
      <w:r>
        <w:rPr>
          <w:rFonts w:hint="eastAsia" w:ascii="仿宋_GB2312" w:hAnsi="仿宋_GB2312" w:eastAsia="仿宋_GB2312" w:cs="仿宋_GB2312"/>
          <w:sz w:val="32"/>
        </w:rPr>
        <w:t>该产品已列入《免于临床评价医疗器械目录》（以下简称“目录”），应按照《列入免于临床评价医疗器械目录产品对比说明技术指导原则》，提交申报产品相关信息与《目录》所述内容的对比资料和申报产品与已获准境内注册的《目录》中医疗器械的对比说明资料，应能证明申报产品与《目录》所述的产品具有基本等同性。</w:t>
      </w:r>
    </w:p>
    <w:p w14:paraId="77FFF296">
      <w:pPr>
        <w:overflowPunct w:val="0"/>
        <w:autoSpaceDE w:val="0"/>
        <w:autoSpaceDN w:val="0"/>
        <w:spacing w:line="520" w:lineRule="exact"/>
        <w:outlineLvl w:val="1"/>
        <w:rPr>
          <w:rFonts w:eastAsia="楷体_GB2312"/>
          <w:color w:val="000000"/>
          <w:sz w:val="32"/>
          <w:szCs w:val="32"/>
        </w:rPr>
      </w:pPr>
      <w:r>
        <w:rPr>
          <w:rFonts w:hint="eastAsia" w:eastAsia="楷体_GB2312"/>
          <w:color w:val="000000"/>
          <w:sz w:val="32"/>
          <w:szCs w:val="32"/>
        </w:rPr>
        <w:t>（五）</w:t>
      </w:r>
      <w:r>
        <w:rPr>
          <w:rFonts w:eastAsia="楷体_GB2312"/>
          <w:color w:val="000000"/>
          <w:sz w:val="32"/>
          <w:szCs w:val="32"/>
        </w:rPr>
        <w:t>产品说明书和标签</w:t>
      </w:r>
      <w:r>
        <w:rPr>
          <w:rFonts w:hint="eastAsia" w:eastAsia="楷体_GB2312"/>
          <w:color w:val="000000"/>
          <w:sz w:val="32"/>
          <w:szCs w:val="32"/>
        </w:rPr>
        <w:t>样稿</w:t>
      </w:r>
    </w:p>
    <w:p w14:paraId="2C23D1CD">
      <w:pPr>
        <w:spacing w:line="520" w:lineRule="exact"/>
        <w:ind w:firstLine="640"/>
        <w:rPr>
          <w:rFonts w:ascii="仿宋_GB2312" w:hAnsi="仿宋_GB2312" w:eastAsia="仿宋_GB2312" w:cs="仿宋_GB2312"/>
          <w:sz w:val="32"/>
        </w:rPr>
      </w:pPr>
      <w:r>
        <w:rPr>
          <w:rFonts w:hint="eastAsia" w:ascii="仿宋_GB2312" w:hAnsi="仿宋_GB2312" w:eastAsia="仿宋_GB2312" w:cs="仿宋_GB2312"/>
          <w:sz w:val="32"/>
        </w:rPr>
        <w:t>应符合《医疗器械说明书和标签管理规定》及相关</w:t>
      </w:r>
      <w:r>
        <w:rPr>
          <w:rFonts w:ascii="仿宋_GB2312" w:hAnsi="仿宋_GB2312" w:eastAsia="仿宋_GB2312" w:cs="仿宋_GB2312"/>
          <w:sz w:val="32"/>
        </w:rPr>
        <w:t>标准的要求。</w:t>
      </w:r>
    </w:p>
    <w:p w14:paraId="58F361F7">
      <w:pPr>
        <w:spacing w:line="520" w:lineRule="exact"/>
        <w:ind w:firstLine="640" w:firstLineChars="200"/>
      </w:pPr>
      <w:r>
        <w:rPr>
          <w:rFonts w:ascii="'Times New Roman'" w:hAnsi="'Times New Roman'" w:cs="'Times New Roman'"/>
          <w:color w:val="000000"/>
          <w:sz w:val="32"/>
        </w:rPr>
        <w:t>1.</w:t>
      </w:r>
      <w:r>
        <w:rPr>
          <w:rFonts w:ascii="仿宋_GB2312" w:hAnsi="仿宋_GB2312" w:eastAsia="仿宋_GB2312" w:cs="仿宋_GB2312"/>
          <w:color w:val="000000"/>
          <w:sz w:val="32"/>
        </w:rPr>
        <w:t>说明书的内容</w:t>
      </w:r>
    </w:p>
    <w:p w14:paraId="6F3A3CAD">
      <w:pPr>
        <w:spacing w:line="520" w:lineRule="exact"/>
        <w:ind w:firstLine="640" w:firstLineChars="200"/>
      </w:pPr>
      <w:r>
        <w:rPr>
          <w:rFonts w:ascii="仿宋_GB2312" w:hAnsi="仿宋_GB2312" w:eastAsia="仿宋_GB2312" w:cs="仿宋_GB2312"/>
          <w:color w:val="000000"/>
          <w:sz w:val="32"/>
        </w:rPr>
        <w:t>除符合《医疗器械说明书和标签管理规定》和相关标准中的要求之外，手机的说明书还应至少明确以下信息：</w:t>
      </w:r>
    </w:p>
    <w:p w14:paraId="2F96B1D3">
      <w:pPr>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w:t>
      </w:r>
      <w:r>
        <w:rPr>
          <w:rFonts w:ascii="仿宋_GB2312" w:hAnsi="仿宋_GB2312" w:eastAsia="仿宋_GB2312" w:cs="仿宋_GB2312"/>
          <w:color w:val="000000"/>
          <w:sz w:val="32"/>
        </w:rPr>
        <w:t>）明确牙科手机（含易损件如轴承、光导管，水路，气路等）的灭菌、维护、保养说明；明确灭菌周期的重要参数，例如时间、温度；明确干燥说明。</w:t>
      </w:r>
    </w:p>
    <w:p w14:paraId="4056A281">
      <w:pPr>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w:t>
      </w:r>
      <w:r>
        <w:rPr>
          <w:rFonts w:ascii="仿宋_GB2312" w:hAnsi="仿宋_GB2312" w:eastAsia="仿宋_GB2312" w:cs="仿宋_GB2312"/>
          <w:color w:val="000000"/>
          <w:sz w:val="32"/>
        </w:rPr>
        <w:t>）明确夹持的手术器械类型（如车针）、规格、尺寸。</w:t>
      </w:r>
    </w:p>
    <w:p w14:paraId="440AEA15">
      <w:pPr>
        <w:spacing w:line="520" w:lineRule="exact"/>
        <w:ind w:firstLine="640" w:firstLineChars="200"/>
        <w:rPr>
          <w:color w:val="000000"/>
        </w:rPr>
      </w:pPr>
      <w:r>
        <w:rPr>
          <w:rFonts w:ascii="仿宋_GB2312" w:hAnsi="仿宋_GB2312" w:eastAsia="仿宋_GB2312" w:cs="仿宋_GB2312"/>
          <w:color w:val="000000"/>
          <w:sz w:val="32"/>
        </w:rPr>
        <w:t>（</w:t>
      </w:r>
      <w:r>
        <w:rPr>
          <w:rFonts w:ascii="'Times New Roman'" w:hAnsi="'Times New Roman'" w:cs="'Times New Roman'"/>
          <w:color w:val="000000"/>
          <w:sz w:val="32"/>
        </w:rPr>
        <w:t>3</w:t>
      </w:r>
      <w:r>
        <w:rPr>
          <w:rFonts w:ascii="仿宋_GB2312" w:hAnsi="仿宋_GB2312" w:eastAsia="仿宋_GB2312" w:cs="仿宋_GB2312"/>
          <w:color w:val="000000"/>
          <w:sz w:val="32"/>
        </w:rPr>
        <w:t>）若为气源驱动的手机，明确压缩空气的供气压力及基本要求。</w:t>
      </w:r>
    </w:p>
    <w:p w14:paraId="144764C8">
      <w:pPr>
        <w:spacing w:line="520" w:lineRule="exact"/>
        <w:ind w:firstLine="640" w:firstLineChars="200"/>
        <w:rPr>
          <w:color w:val="000000"/>
        </w:rPr>
      </w:pPr>
      <w:r>
        <w:rPr>
          <w:rFonts w:ascii="仿宋_GB2312" w:hAnsi="仿宋_GB2312" w:eastAsia="仿宋_GB2312" w:cs="仿宋_GB2312"/>
          <w:color w:val="000000"/>
          <w:sz w:val="32"/>
        </w:rPr>
        <w:t>（</w:t>
      </w:r>
      <w:r>
        <w:rPr>
          <w:rFonts w:ascii="'Times New Roman'" w:hAnsi="'Times New Roman'" w:cs="'Times New Roman'"/>
          <w:color w:val="000000"/>
          <w:sz w:val="32"/>
        </w:rPr>
        <w:t>4</w:t>
      </w:r>
      <w:r>
        <w:rPr>
          <w:rFonts w:ascii="仿宋_GB2312" w:hAnsi="仿宋_GB2312" w:eastAsia="仿宋_GB2312" w:cs="仿宋_GB2312"/>
          <w:color w:val="000000"/>
          <w:sz w:val="32"/>
        </w:rPr>
        <w:t>）若带水冷却，明确水冷却方式（外给水、内给水），水源的压力及基本要求。</w:t>
      </w:r>
    </w:p>
    <w:p w14:paraId="100C6651">
      <w:pPr>
        <w:spacing w:line="520" w:lineRule="exact"/>
        <w:ind w:firstLine="640" w:firstLineChars="200"/>
        <w:rPr>
          <w:rFonts w:ascii="仿宋_GB2312" w:hAnsi="仿宋_GB2312" w:eastAsia="仿宋_GB2312" w:cs="仿宋_GB2312"/>
          <w:color w:val="auto"/>
          <w:sz w:val="32"/>
        </w:rPr>
      </w:pPr>
      <w:r>
        <w:rPr>
          <w:rFonts w:ascii="仿宋_GB2312" w:hAnsi="仿宋_GB2312" w:eastAsia="仿宋_GB2312" w:cs="仿宋_GB2312"/>
          <w:color w:val="auto"/>
          <w:sz w:val="32"/>
        </w:rPr>
        <w:t>（</w:t>
      </w:r>
      <w:r>
        <w:rPr>
          <w:rFonts w:ascii="'Times New Roman'" w:hAnsi="'Times New Roman'" w:cs="'Times New Roman'"/>
          <w:color w:val="auto"/>
          <w:sz w:val="32"/>
        </w:rPr>
        <w:t>5</w:t>
      </w:r>
      <w:r>
        <w:rPr>
          <w:rFonts w:ascii="仿宋_GB2312" w:hAnsi="仿宋_GB2312" w:eastAsia="仿宋_GB2312" w:cs="仿宋_GB2312"/>
          <w:color w:val="auto"/>
          <w:sz w:val="32"/>
        </w:rPr>
        <w:t>）在驱动马达的最大转速下，手机的空载转速。</w:t>
      </w:r>
    </w:p>
    <w:p w14:paraId="46C7F2D6">
      <w:pPr>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6</w:t>
      </w:r>
      <w:r>
        <w:rPr>
          <w:rFonts w:ascii="仿宋_GB2312" w:hAnsi="仿宋_GB2312" w:eastAsia="仿宋_GB2312" w:cs="仿宋_GB2312"/>
          <w:color w:val="000000"/>
          <w:sz w:val="32"/>
        </w:rPr>
        <w:t>）明确手机夹头形式、软管连接件类型（如适用，参照</w:t>
      </w:r>
      <w:r>
        <w:rPr>
          <w:color w:val="000000"/>
          <w:sz w:val="32"/>
        </w:rPr>
        <w:t>YY/T 0514</w:t>
      </w:r>
      <w:r>
        <w:rPr>
          <w:rFonts w:ascii="仿宋_GB2312" w:hAnsi="仿宋_GB2312" w:eastAsia="仿宋_GB2312" w:cs="仿宋_GB2312"/>
          <w:color w:val="000000"/>
          <w:sz w:val="32"/>
        </w:rPr>
        <w:t>进行明确）、联轴节类型。</w:t>
      </w:r>
    </w:p>
    <w:p w14:paraId="2B9344C7">
      <w:pPr>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7</w:t>
      </w:r>
      <w:r>
        <w:rPr>
          <w:rFonts w:ascii="仿宋_GB2312" w:hAnsi="仿宋_GB2312" w:eastAsia="仿宋_GB2312" w:cs="仿宋_GB2312"/>
          <w:color w:val="000000"/>
          <w:sz w:val="32"/>
        </w:rPr>
        <w:t>）若带水冷却，明确水冷却方式（外给水</w:t>
      </w:r>
      <w:r>
        <w:rPr>
          <w:color w:val="000000"/>
          <w:sz w:val="32"/>
        </w:rPr>
        <w:t>/</w:t>
      </w:r>
      <w:r>
        <w:rPr>
          <w:rFonts w:ascii="仿宋_GB2312" w:hAnsi="仿宋_GB2312" w:eastAsia="仿宋_GB2312" w:cs="仿宋_GB2312"/>
          <w:color w:val="000000"/>
          <w:sz w:val="32"/>
        </w:rPr>
        <w:t>内给水），水源的压力及基本要求。</w:t>
      </w:r>
    </w:p>
    <w:p w14:paraId="02FD503B">
      <w:pPr>
        <w:spacing w:line="520" w:lineRule="exact"/>
        <w:ind w:firstLine="640" w:firstLineChars="200"/>
      </w:pPr>
      <w:r>
        <w:rPr>
          <w:rFonts w:ascii="'Times New Roman'" w:hAnsi="'Times New Roman'" w:cs="'Times New Roman'"/>
          <w:color w:val="000000"/>
          <w:sz w:val="32"/>
        </w:rPr>
        <w:t>2.</w:t>
      </w:r>
      <w:r>
        <w:rPr>
          <w:rFonts w:ascii="仿宋_GB2312" w:hAnsi="仿宋_GB2312" w:eastAsia="仿宋_GB2312" w:cs="仿宋_GB2312"/>
          <w:color w:val="000000"/>
          <w:sz w:val="32"/>
        </w:rPr>
        <w:t>禁忌症、注意事项、警示及提示性说明</w:t>
      </w:r>
    </w:p>
    <w:p w14:paraId="52C3F227">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w:t>
      </w:r>
      <w:r>
        <w:rPr>
          <w:rFonts w:ascii="仿宋_GB2312" w:hAnsi="仿宋_GB2312" w:eastAsia="仿宋_GB2312" w:cs="仿宋_GB2312"/>
          <w:color w:val="000000"/>
          <w:sz w:val="32"/>
        </w:rPr>
        <w:t>）应仔细阅读、理解说明书中全部内容方可操作。</w:t>
      </w:r>
    </w:p>
    <w:p w14:paraId="1B8E58B8">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w:t>
      </w:r>
      <w:r>
        <w:rPr>
          <w:rFonts w:ascii="仿宋_GB2312" w:hAnsi="仿宋_GB2312" w:eastAsia="仿宋_GB2312" w:cs="仿宋_GB2312"/>
          <w:color w:val="000000"/>
          <w:sz w:val="32"/>
        </w:rPr>
        <w:t>）操作时应遵循仪器上的全部警示和说明。</w:t>
      </w:r>
    </w:p>
    <w:p w14:paraId="22BC0CFB">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3</w:t>
      </w:r>
      <w:r>
        <w:rPr>
          <w:rFonts w:ascii="仿宋_GB2312" w:hAnsi="仿宋_GB2312" w:eastAsia="仿宋_GB2312" w:cs="仿宋_GB2312"/>
          <w:color w:val="000000"/>
          <w:sz w:val="32"/>
        </w:rPr>
        <w:t>）本产品是特为口腔治疗而制造，不能作为其他用途。</w:t>
      </w:r>
    </w:p>
    <w:p w14:paraId="6BA9EF9F">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4</w:t>
      </w:r>
      <w:r>
        <w:rPr>
          <w:rFonts w:ascii="仿宋_GB2312" w:hAnsi="仿宋_GB2312" w:eastAsia="仿宋_GB2312" w:cs="仿宋_GB2312"/>
          <w:color w:val="000000"/>
          <w:sz w:val="32"/>
        </w:rPr>
        <w:t>）本产品为高速旋转手机，使用时请注意安全。</w:t>
      </w:r>
    </w:p>
    <w:p w14:paraId="0D795DD7">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5</w:t>
      </w:r>
      <w:r>
        <w:rPr>
          <w:rFonts w:ascii="仿宋_GB2312" w:hAnsi="仿宋_GB2312" w:eastAsia="仿宋_GB2312" w:cs="仿宋_GB2312"/>
          <w:color w:val="000000"/>
          <w:sz w:val="32"/>
        </w:rPr>
        <w:t>）本产品仅限于专业口腔科医生使用。</w:t>
      </w:r>
    </w:p>
    <w:p w14:paraId="48863AA4">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6</w:t>
      </w:r>
      <w:r>
        <w:rPr>
          <w:rFonts w:ascii="仿宋_GB2312" w:hAnsi="仿宋_GB2312" w:eastAsia="仿宋_GB2312" w:cs="仿宋_GB2312"/>
          <w:color w:val="000000"/>
          <w:sz w:val="32"/>
        </w:rPr>
        <w:t>）每次使用时，请预先在患者的口腔外进行运转检查。若发觉有松动、振动、杂音或发热等异常现象，请立即停止使用，并与原经销商联系。</w:t>
      </w:r>
    </w:p>
    <w:p w14:paraId="4AC18312">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7</w:t>
      </w:r>
      <w:r>
        <w:rPr>
          <w:rFonts w:ascii="仿宋_GB2312" w:hAnsi="仿宋_GB2312" w:eastAsia="仿宋_GB2312" w:cs="仿宋_GB2312"/>
          <w:color w:val="000000"/>
          <w:sz w:val="32"/>
        </w:rPr>
        <w:t>）已损坏的手机机芯有可能会产生很高的噪音，长时间使用会影响听力，请及早更换。</w:t>
      </w:r>
    </w:p>
    <w:p w14:paraId="2488D05C">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pacing w:val="-4"/>
          <w:sz w:val="32"/>
        </w:rPr>
        <w:t>8</w:t>
      </w:r>
      <w:r>
        <w:rPr>
          <w:rFonts w:ascii="仿宋_GB2312" w:hAnsi="仿宋_GB2312" w:eastAsia="仿宋_GB2312" w:cs="仿宋_GB2312"/>
          <w:color w:val="000000"/>
          <w:spacing w:val="-4"/>
          <w:sz w:val="32"/>
        </w:rPr>
        <w:t>）为免手机严重损坏，请避免手机受到撞击或不小心掉落。</w:t>
      </w:r>
    </w:p>
    <w:p w14:paraId="6597FA24">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9</w:t>
      </w:r>
      <w:r>
        <w:rPr>
          <w:rFonts w:ascii="仿宋_GB2312" w:hAnsi="仿宋_GB2312" w:eastAsia="仿宋_GB2312" w:cs="仿宋_GB2312"/>
          <w:color w:val="000000"/>
          <w:sz w:val="32"/>
        </w:rPr>
        <w:t>）使用的车针应符合</w:t>
      </w:r>
      <w:r>
        <w:rPr>
          <w:color w:val="000000"/>
          <w:sz w:val="32"/>
        </w:rPr>
        <w:t>YY</w:t>
      </w:r>
      <w:r>
        <w:rPr>
          <w:rFonts w:hint="eastAsia"/>
          <w:color w:val="000000"/>
          <w:sz w:val="32"/>
        </w:rPr>
        <w:t>/T</w:t>
      </w:r>
      <w:r>
        <w:rPr>
          <w:color w:val="000000"/>
          <w:sz w:val="32"/>
        </w:rPr>
        <w:t xml:space="preserve"> 0302.1</w:t>
      </w:r>
      <w:r>
        <w:rPr>
          <w:rFonts w:ascii="仿宋_GB2312" w:hAnsi="仿宋_GB2312" w:eastAsia="仿宋_GB2312" w:cs="仿宋_GB2312"/>
          <w:color w:val="000000"/>
          <w:sz w:val="32"/>
        </w:rPr>
        <w:t>的标准。使用车针时，必须了解车针的规定转速和规格是否符合本手机使用。使用弯曲、有裂纹、变形、已损坏及不符合规格的车针，可能会导致运转过程中突然折断、飞出等事故，造成伤害，以及损坏手机。</w:t>
      </w:r>
    </w:p>
    <w:p w14:paraId="5F3222F7">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10</w:t>
      </w:r>
      <w:r>
        <w:rPr>
          <w:rFonts w:ascii="仿宋_GB2312" w:hAnsi="仿宋_GB2312" w:eastAsia="仿宋_GB2312" w:cs="仿宋_GB2312"/>
          <w:color w:val="000000"/>
          <w:sz w:val="32"/>
        </w:rPr>
        <w:t>）气源、水源的压力和流量必须达到本机的要求。进气压力过高，会导致手机涡轮转速过高，而损坏轴承。</w:t>
      </w:r>
    </w:p>
    <w:p w14:paraId="1F1B6FA6">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11</w:t>
      </w:r>
      <w:r>
        <w:rPr>
          <w:rFonts w:ascii="仿宋_GB2312" w:hAnsi="仿宋_GB2312" w:eastAsia="仿宋_GB2312" w:cs="仿宋_GB2312"/>
          <w:color w:val="000000"/>
          <w:sz w:val="32"/>
        </w:rPr>
        <w:t>）可用通针疏通喷孔。</w:t>
      </w:r>
    </w:p>
    <w:p w14:paraId="5CDCF465">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12</w:t>
      </w:r>
      <w:r>
        <w:rPr>
          <w:rFonts w:ascii="仿宋_GB2312" w:hAnsi="仿宋_GB2312" w:eastAsia="仿宋_GB2312" w:cs="仿宋_GB2312"/>
          <w:color w:val="000000"/>
          <w:sz w:val="32"/>
        </w:rPr>
        <w:t>）产品储存和运输应在干燥、稳定（无摔碰）、远离酸碱等有害化学物质及气体的洁净的常温、常压、湿度小于</w:t>
      </w:r>
      <w:r>
        <w:rPr>
          <w:color w:val="000000"/>
          <w:sz w:val="32"/>
        </w:rPr>
        <w:t>90%</w:t>
      </w:r>
      <w:r>
        <w:rPr>
          <w:rFonts w:ascii="仿宋_GB2312" w:hAnsi="仿宋_GB2312" w:eastAsia="仿宋_GB2312" w:cs="仿宋_GB2312"/>
          <w:color w:val="000000"/>
          <w:sz w:val="32"/>
        </w:rPr>
        <w:t>的环境中。</w:t>
      </w:r>
    </w:p>
    <w:p w14:paraId="73AA699B">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13</w:t>
      </w:r>
      <w:r>
        <w:rPr>
          <w:rFonts w:ascii="仿宋_GB2312" w:hAnsi="仿宋_GB2312" w:eastAsia="仿宋_GB2312" w:cs="仿宋_GB2312"/>
          <w:color w:val="000000"/>
          <w:sz w:val="32"/>
        </w:rPr>
        <w:t>）产品使用寿命末期光纤导光棒为玻璃制品，按玻璃制品环保要求处理，其余金属可进行分类回收处理，</w:t>
      </w:r>
      <w:r>
        <w:rPr>
          <w:color w:val="000000"/>
          <w:sz w:val="32"/>
        </w:rPr>
        <w:t>LED</w:t>
      </w:r>
      <w:r>
        <w:rPr>
          <w:rFonts w:ascii="仿宋_GB2312" w:hAnsi="仿宋_GB2312" w:eastAsia="仿宋_GB2312" w:cs="仿宋_GB2312"/>
          <w:color w:val="000000"/>
          <w:sz w:val="32"/>
        </w:rPr>
        <w:t>灯是电子产品应按《废弃电器电子产品回收处理管理条例》处理。</w:t>
      </w:r>
    </w:p>
    <w:p w14:paraId="66EF506A">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14</w:t>
      </w:r>
      <w:r>
        <w:rPr>
          <w:rFonts w:ascii="仿宋_GB2312" w:hAnsi="仿宋_GB2312" w:eastAsia="仿宋_GB2312" w:cs="仿宋_GB2312"/>
          <w:color w:val="000000"/>
          <w:sz w:val="32"/>
        </w:rPr>
        <w:t>）本产品的维修需由专业人员负责。</w:t>
      </w:r>
    </w:p>
    <w:p w14:paraId="28ED779B">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15</w:t>
      </w:r>
      <w:r>
        <w:rPr>
          <w:rFonts w:ascii="仿宋_GB2312" w:hAnsi="仿宋_GB2312" w:eastAsia="仿宋_GB2312" w:cs="仿宋_GB2312"/>
          <w:color w:val="000000"/>
          <w:sz w:val="32"/>
        </w:rPr>
        <w:t>）为确保手机的使用寿命，应使用干燥、洁净的压缩空气并定期维护空气压缩机及气、水过滤系统以保证压缩空气及水的质量，使用未过滤的水将导致管道接头的堵塞。</w:t>
      </w:r>
    </w:p>
    <w:p w14:paraId="1362AF6C">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16</w:t>
      </w:r>
      <w:r>
        <w:rPr>
          <w:rFonts w:ascii="仿宋_GB2312" w:hAnsi="仿宋_GB2312" w:eastAsia="仿宋_GB2312" w:cs="仿宋_GB2312"/>
          <w:color w:val="000000"/>
          <w:sz w:val="32"/>
        </w:rPr>
        <w:t>）车针夹持部分不可过短，否则轴承负荷不均，加快轴承磨损。</w:t>
      </w:r>
    </w:p>
    <w:p w14:paraId="06276D47">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17</w:t>
      </w:r>
      <w:r>
        <w:rPr>
          <w:rFonts w:ascii="仿宋_GB2312" w:hAnsi="仿宋_GB2312" w:eastAsia="仿宋_GB2312" w:cs="仿宋_GB2312"/>
          <w:color w:val="000000"/>
          <w:sz w:val="32"/>
        </w:rPr>
        <w:t>）请保持车针夹头的清洁，避免内部因存有污物而导致车针夹持力减弱或机芯振动。</w:t>
      </w:r>
    </w:p>
    <w:p w14:paraId="594EF5B1">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18</w:t>
      </w:r>
      <w:r>
        <w:rPr>
          <w:rFonts w:ascii="仿宋_GB2312" w:hAnsi="仿宋_GB2312" w:eastAsia="仿宋_GB2312" w:cs="仿宋_GB2312"/>
          <w:color w:val="000000"/>
          <w:sz w:val="32"/>
        </w:rPr>
        <w:t>）手机未装上车针时，不得通气旋转，否则将损坏轴承。</w:t>
      </w:r>
    </w:p>
    <w:p w14:paraId="3DEA0640">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19</w:t>
      </w:r>
      <w:r>
        <w:rPr>
          <w:rFonts w:ascii="仿宋_GB2312" w:hAnsi="仿宋_GB2312" w:eastAsia="仿宋_GB2312" w:cs="仿宋_GB2312"/>
          <w:color w:val="000000"/>
          <w:sz w:val="32"/>
        </w:rPr>
        <w:t>）请在旋转完全停止后，再进行车针或手机的装卸，切勿在旋转中按压机头盖。</w:t>
      </w:r>
    </w:p>
    <w:p w14:paraId="35F8DB60">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20</w:t>
      </w:r>
      <w:r>
        <w:rPr>
          <w:rFonts w:ascii="仿宋_GB2312" w:hAnsi="仿宋_GB2312" w:eastAsia="仿宋_GB2312" w:cs="仿宋_GB2312"/>
          <w:color w:val="000000"/>
          <w:sz w:val="32"/>
        </w:rPr>
        <w:t>）手机如是扭针式芯轴，不工作或长时间存放时，请预先清洗和上油，并装上车针或标准棒，如是按压式芯轴，请拆卸车针和标准棒，避免芯轴疲劳磨损。</w:t>
      </w:r>
    </w:p>
    <w:p w14:paraId="22C1C7F7">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21</w:t>
      </w:r>
      <w:r>
        <w:rPr>
          <w:rFonts w:ascii="仿宋_GB2312" w:hAnsi="仿宋_GB2312" w:eastAsia="仿宋_GB2312" w:cs="仿宋_GB2312"/>
          <w:color w:val="000000"/>
          <w:sz w:val="32"/>
        </w:rPr>
        <w:t>）当手机表面沾有药品时，经高温消毒灭菌后，有可能致使手机表面镀层脱落或发黑，因此必须特别注意。</w:t>
      </w:r>
    </w:p>
    <w:p w14:paraId="24D63706">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22</w:t>
      </w:r>
      <w:r>
        <w:rPr>
          <w:rFonts w:ascii="仿宋_GB2312" w:hAnsi="仿宋_GB2312" w:eastAsia="仿宋_GB2312" w:cs="仿宋_GB2312"/>
          <w:color w:val="000000"/>
          <w:sz w:val="32"/>
        </w:rPr>
        <w:t>）端盖与手机头上的螺纹极为精细，打开时应先将扳手放在端盖适当的位置，对准后才扭动，以免损伤螺纹。</w:t>
      </w:r>
    </w:p>
    <w:p w14:paraId="6D47D8ED">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23</w:t>
      </w:r>
      <w:r>
        <w:rPr>
          <w:rFonts w:ascii="仿宋_GB2312" w:hAnsi="仿宋_GB2312" w:eastAsia="仿宋_GB2312" w:cs="仿宋_GB2312"/>
          <w:color w:val="000000"/>
          <w:sz w:val="32"/>
        </w:rPr>
        <w:t>）在装入新机芯前，注意清洁手机机头内部。</w:t>
      </w:r>
    </w:p>
    <w:p w14:paraId="27B754B7">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24</w:t>
      </w:r>
      <w:r>
        <w:rPr>
          <w:rFonts w:ascii="仿宋_GB2312" w:hAnsi="仿宋_GB2312" w:eastAsia="仿宋_GB2312" w:cs="仿宋_GB2312"/>
          <w:color w:val="000000"/>
          <w:sz w:val="32"/>
        </w:rPr>
        <w:t>）血友病患者慎用。</w:t>
      </w:r>
    </w:p>
    <w:p w14:paraId="494BC21E">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pacing w:val="-6"/>
          <w:sz w:val="32"/>
        </w:rPr>
        <w:t>25</w:t>
      </w:r>
      <w:r>
        <w:rPr>
          <w:rFonts w:ascii="仿宋_GB2312" w:hAnsi="仿宋_GB2312" w:eastAsia="仿宋_GB2312" w:cs="仿宋_GB2312"/>
          <w:color w:val="000000"/>
          <w:spacing w:val="-6"/>
          <w:sz w:val="32"/>
        </w:rPr>
        <w:t>）带有心脏起搏器的患者或医生慎用电动马达驱动手机。</w:t>
      </w:r>
    </w:p>
    <w:p w14:paraId="4E37BC19">
      <w:pPr>
        <w:tabs>
          <w:tab w:val="left" w:pos="728"/>
          <w:tab w:val="left" w:pos="1276"/>
          <w:tab w:val="left" w:pos="1386"/>
          <w:tab w:val="left" w:pos="1418"/>
        </w:tabs>
        <w:spacing w:line="520" w:lineRule="exact"/>
        <w:ind w:firstLine="640" w:firstLineChars="200"/>
      </w:pPr>
      <w:r>
        <w:rPr>
          <w:rFonts w:ascii="仿宋_GB2312" w:hAnsi="仿宋_GB2312" w:eastAsia="仿宋_GB2312" w:cs="仿宋_GB2312"/>
          <w:color w:val="000000"/>
          <w:sz w:val="32"/>
        </w:rPr>
        <w:t>（</w:t>
      </w:r>
      <w:r>
        <w:rPr>
          <w:rFonts w:ascii="'Times New Roman'" w:hAnsi="'Times New Roman'" w:cs="'Times New Roman'"/>
          <w:color w:val="000000"/>
          <w:sz w:val="32"/>
        </w:rPr>
        <w:t>26</w:t>
      </w:r>
      <w:r>
        <w:rPr>
          <w:rFonts w:ascii="仿宋_GB2312" w:hAnsi="仿宋_GB2312" w:eastAsia="仿宋_GB2312" w:cs="仿宋_GB2312"/>
          <w:color w:val="000000"/>
          <w:sz w:val="32"/>
        </w:rPr>
        <w:t>）心脏病患者、孕妇及幼儿慎用。</w:t>
      </w:r>
    </w:p>
    <w:p w14:paraId="6C22700F">
      <w:pPr>
        <w:tabs>
          <w:tab w:val="left" w:pos="728"/>
          <w:tab w:val="left" w:pos="1276"/>
          <w:tab w:val="left" w:pos="1386"/>
          <w:tab w:val="left" w:pos="1418"/>
        </w:tabs>
        <w:spacing w:line="520" w:lineRule="exact"/>
        <w:ind w:firstLine="640" w:firstLineChars="200"/>
        <w:rPr>
          <w:rFonts w:hint="eastAsia" w:ascii="'Times New Roman'" w:hAnsi="'Times New Roman'" w:cs="'Times New Roman'"/>
          <w:color w:val="000000"/>
          <w:sz w:val="32"/>
        </w:rPr>
      </w:pPr>
      <w:r>
        <w:rPr>
          <w:rFonts w:ascii="'Times New Roman'" w:hAnsi="'Times New Roman'" w:cs="'Times New Roman'"/>
          <w:color w:val="000000"/>
          <w:sz w:val="32"/>
        </w:rPr>
        <w:t xml:space="preserve"> 3.</w:t>
      </w:r>
      <w:r>
        <w:rPr>
          <w:rFonts w:ascii="仿宋_GB2312" w:hAnsi="仿宋_GB2312" w:eastAsia="仿宋_GB2312" w:cs="仿宋_GB2312"/>
          <w:color w:val="000000"/>
          <w:spacing w:val="-6"/>
          <w:sz w:val="32"/>
        </w:rPr>
        <w:t>应当在说明书中明确重复使用的处理过程，包括清洁、消毒、包装及灭菌的方法和重复使用的次数或者其他限制。</w:t>
      </w:r>
    </w:p>
    <w:p w14:paraId="5EB6E4B3">
      <w:pPr>
        <w:tabs>
          <w:tab w:val="left" w:pos="728"/>
          <w:tab w:val="left" w:pos="1276"/>
          <w:tab w:val="left" w:pos="1386"/>
          <w:tab w:val="left" w:pos="1418"/>
        </w:tabs>
        <w:overflowPunct/>
        <w:autoSpaceDE/>
        <w:autoSpaceDN/>
        <w:spacing w:line="520" w:lineRule="exact"/>
        <w:ind w:firstLine="616" w:firstLineChars="200"/>
        <w:outlineLvl w:val="9"/>
        <w:rPr>
          <w:rFonts w:hint="default" w:ascii="仿宋_GB2312" w:hAnsi="仿宋_GB2312" w:eastAsia="仿宋_GB2312" w:cs="仿宋_GB2312"/>
          <w:color w:val="000000"/>
          <w:spacing w:val="-6"/>
          <w:sz w:val="32"/>
        </w:rPr>
      </w:pPr>
      <w:r>
        <w:rPr>
          <w:rFonts w:hint="default" w:ascii="仿宋_GB2312" w:hAnsi="仿宋_GB2312" w:eastAsia="仿宋_GB2312" w:cs="仿宋_GB2312"/>
          <w:color w:val="000000"/>
          <w:spacing w:val="-6"/>
          <w:sz w:val="32"/>
        </w:rPr>
        <w:t>（六）质量管理体系文件</w:t>
      </w:r>
    </w:p>
    <w:p w14:paraId="0BB7A05A">
      <w:pPr>
        <w:tabs>
          <w:tab w:val="left" w:pos="728"/>
          <w:tab w:val="left" w:pos="1276"/>
          <w:tab w:val="left" w:pos="1386"/>
          <w:tab w:val="left" w:pos="1418"/>
        </w:tabs>
        <w:overflowPunct/>
        <w:autoSpaceDE/>
        <w:autoSpaceDN/>
        <w:spacing w:line="520" w:lineRule="exact"/>
        <w:ind w:firstLine="616" w:firstLineChars="200"/>
        <w:outlineLvl w:val="9"/>
        <w:rPr>
          <w:rFonts w:hint="default" w:ascii="仿宋_GB2312" w:hAnsi="仿宋_GB2312" w:eastAsia="仿宋_GB2312" w:cs="仿宋_GB2312"/>
          <w:color w:val="000000"/>
          <w:spacing w:val="-6"/>
          <w:sz w:val="32"/>
        </w:rPr>
      </w:pPr>
      <w:r>
        <w:rPr>
          <w:rFonts w:hint="default" w:ascii="仿宋_GB2312" w:hAnsi="仿宋_GB2312" w:eastAsia="仿宋_GB2312" w:cs="仿宋_GB2312"/>
          <w:color w:val="000000"/>
          <w:spacing w:val="-6"/>
          <w:sz w:val="32"/>
        </w:rPr>
        <w:t>1.应依据《关于公布医疗器械注册申报资料要求和批准证明文件格式的公告》（2021年第121号）要求提供质量管理体系核查文件。</w:t>
      </w:r>
    </w:p>
    <w:p w14:paraId="6AE0E5E8">
      <w:pPr>
        <w:spacing w:line="520" w:lineRule="exact"/>
        <w:ind w:firstLine="924" w:firstLineChars="300"/>
      </w:pPr>
      <w:r>
        <w:rPr>
          <w:rFonts w:hint="default" w:ascii="仿宋_GB2312" w:hAnsi="仿宋_GB2312" w:eastAsia="仿宋_GB2312" w:cs="仿宋_GB2312"/>
          <w:color w:val="000000"/>
          <w:spacing w:val="-6"/>
          <w:sz w:val="32"/>
        </w:rPr>
        <w:t>2.若产品有多个研制、生产场地，应概述每个研制、生产场地的实际情况。</w:t>
      </w:r>
    </w:p>
    <w:p w14:paraId="1C5824B6">
      <w:pPr>
        <w:overflowPunct w:val="0"/>
        <w:autoSpaceDE w:val="0"/>
        <w:autoSpaceDN w:val="0"/>
        <w:spacing w:line="520" w:lineRule="exact"/>
        <w:ind w:firstLine="567"/>
        <w:outlineLvl w:val="0"/>
        <w:rPr>
          <w:rFonts w:eastAsia="黑体" w:cs="仿宋_GB2312"/>
          <w:snapToGrid w:val="0"/>
          <w:color w:val="000000"/>
          <w:kern w:val="0"/>
          <w:sz w:val="32"/>
          <w:szCs w:val="32"/>
        </w:rPr>
      </w:pPr>
      <w:r>
        <w:rPr>
          <w:rFonts w:hint="eastAsia" w:eastAsia="黑体" w:cs="仿宋_GB2312"/>
          <w:snapToGrid w:val="0"/>
          <w:color w:val="000000"/>
          <w:kern w:val="0"/>
          <w:sz w:val="32"/>
          <w:szCs w:val="32"/>
        </w:rPr>
        <w:t>三</w:t>
      </w:r>
      <w:r>
        <w:rPr>
          <w:rFonts w:eastAsia="黑体" w:cs="仿宋_GB2312"/>
          <w:snapToGrid w:val="0"/>
          <w:color w:val="000000"/>
          <w:kern w:val="0"/>
          <w:sz w:val="32"/>
          <w:szCs w:val="32"/>
        </w:rPr>
        <w:t>、参考文献</w:t>
      </w:r>
    </w:p>
    <w:p w14:paraId="5794A56E">
      <w:pPr>
        <w:spacing w:line="520" w:lineRule="exact"/>
        <w:ind w:firstLine="640" w:firstLineChars="200"/>
        <w:rPr>
          <w:rFonts w:eastAsia="仿宋_GB2312"/>
          <w:color w:val="000000"/>
          <w:sz w:val="32"/>
          <w:szCs w:val="32"/>
        </w:rPr>
      </w:pPr>
      <w:r>
        <w:rPr>
          <w:rFonts w:hint="eastAsia" w:eastAsia="仿宋_GB2312"/>
          <w:snapToGrid w:val="0"/>
          <w:color w:val="000000"/>
          <w:kern w:val="0"/>
          <w:sz w:val="32"/>
          <w:szCs w:val="32"/>
        </w:rPr>
        <w:t>[1]</w:t>
      </w:r>
      <w:r>
        <w:rPr>
          <w:rFonts w:eastAsia="仿宋_GB2312"/>
          <w:color w:val="000000"/>
          <w:sz w:val="32"/>
          <w:szCs w:val="32"/>
        </w:rPr>
        <w:t>国家市场监督管理总局</w:t>
      </w:r>
      <w:r>
        <w:rPr>
          <w:rFonts w:hint="eastAsia" w:eastAsia="仿宋_GB2312"/>
          <w:color w:val="000000"/>
          <w:sz w:val="32"/>
          <w:szCs w:val="32"/>
        </w:rPr>
        <w:t>.</w:t>
      </w:r>
      <w:r>
        <w:rPr>
          <w:rFonts w:eastAsia="仿宋_GB2312"/>
          <w:color w:val="000000"/>
          <w:sz w:val="32"/>
          <w:szCs w:val="32"/>
        </w:rPr>
        <w:t>医疗器械注册与备案管理办法:国家市场监督管理总局令第47号</w:t>
      </w:r>
      <w:r>
        <w:rPr>
          <w:rFonts w:eastAsia="仿宋_GB2312"/>
          <w:color w:val="000000"/>
          <w:sz w:val="32"/>
          <w:szCs w:val="32"/>
          <w:lang w:val="en"/>
        </w:rPr>
        <w:t>[Z]</w:t>
      </w:r>
      <w:r>
        <w:rPr>
          <w:rFonts w:eastAsia="仿宋_GB2312"/>
          <w:color w:val="000000"/>
          <w:sz w:val="32"/>
          <w:szCs w:val="32"/>
        </w:rPr>
        <w:t>.</w:t>
      </w:r>
    </w:p>
    <w:p w14:paraId="4405DC55">
      <w:pPr>
        <w:overflowPunct w:val="0"/>
        <w:spacing w:line="520" w:lineRule="exact"/>
        <w:ind w:firstLine="640" w:firstLineChars="200"/>
        <w:rPr>
          <w:rFonts w:eastAsia="仿宋_GB2312"/>
          <w:color w:val="000000"/>
          <w:sz w:val="32"/>
          <w:szCs w:val="32"/>
        </w:rPr>
      </w:pPr>
      <w:r>
        <w:rPr>
          <w:rFonts w:hint="eastAsia" w:eastAsia="仿宋_GB2312"/>
          <w:snapToGrid w:val="0"/>
          <w:color w:val="000000"/>
          <w:kern w:val="0"/>
          <w:sz w:val="32"/>
          <w:szCs w:val="32"/>
        </w:rPr>
        <w:t>[2]国家食品药品监督管理总局.医疗器械说明书和标签管理规定:国家食品药品监督管理总局令第6号[Z].</w:t>
      </w:r>
    </w:p>
    <w:p w14:paraId="04B4D35A">
      <w:pPr>
        <w:spacing w:line="520" w:lineRule="exact"/>
        <w:ind w:right="-67" w:rightChars="-32" w:firstLine="640" w:firstLineChars="200"/>
        <w:rPr>
          <w:rFonts w:eastAsia="仿宋_GB2312"/>
          <w:color w:val="000000"/>
          <w:sz w:val="32"/>
          <w:szCs w:val="32"/>
        </w:rPr>
      </w:pPr>
      <w:r>
        <w:rPr>
          <w:rFonts w:hint="eastAsia" w:eastAsia="楷体_GB2312"/>
          <w:color w:val="000000"/>
          <w:sz w:val="32"/>
          <w:szCs w:val="32"/>
        </w:rPr>
        <w:t>[3]</w:t>
      </w:r>
      <w:r>
        <w:rPr>
          <w:rFonts w:hint="eastAsia" w:eastAsia="仿宋_GB2312"/>
          <w:color w:val="000000"/>
          <w:sz w:val="32"/>
          <w:szCs w:val="32"/>
        </w:rPr>
        <w:t>国家药品监督管理局.</w:t>
      </w:r>
      <w:r>
        <w:rPr>
          <w:rFonts w:eastAsia="仿宋_GB2312"/>
          <w:color w:val="000000"/>
          <w:sz w:val="32"/>
          <w:szCs w:val="32"/>
        </w:rPr>
        <w:t>医疗器械注册申报资料要求和批准证明文件格式</w:t>
      </w:r>
      <w:r>
        <w:rPr>
          <w:rFonts w:hint="eastAsia" w:eastAsia="仿宋_GB2312"/>
          <w:color w:val="000000"/>
          <w:sz w:val="32"/>
          <w:szCs w:val="32"/>
        </w:rPr>
        <w:t>:国家药监局公告2021年第121号</w:t>
      </w:r>
      <w:r>
        <w:rPr>
          <w:rFonts w:eastAsia="仿宋_GB2312"/>
          <w:color w:val="000000"/>
          <w:sz w:val="32"/>
          <w:szCs w:val="32"/>
          <w:lang w:val="en"/>
        </w:rPr>
        <w:t>[Z]</w:t>
      </w:r>
      <w:r>
        <w:rPr>
          <w:rFonts w:eastAsia="仿宋_GB2312"/>
          <w:color w:val="000000"/>
          <w:sz w:val="32"/>
          <w:szCs w:val="32"/>
        </w:rPr>
        <w:t>.</w:t>
      </w:r>
    </w:p>
    <w:p w14:paraId="769B6225">
      <w:pPr>
        <w:spacing w:line="520" w:lineRule="exact"/>
        <w:ind w:right="-67" w:rightChars="-32" w:firstLine="640" w:firstLineChars="200"/>
        <w:rPr>
          <w:rFonts w:eastAsia="仿宋_GB2312"/>
          <w:color w:val="000000"/>
          <w:sz w:val="32"/>
          <w:szCs w:val="32"/>
        </w:rPr>
      </w:pPr>
      <w:r>
        <w:rPr>
          <w:rFonts w:eastAsia="仿宋_GB2312"/>
          <w:color w:val="000000"/>
          <w:kern w:val="0"/>
          <w:sz w:val="32"/>
          <w:szCs w:val="32"/>
        </w:rPr>
        <w:t>[</w:t>
      </w:r>
      <w:r>
        <w:rPr>
          <w:rFonts w:hint="eastAsia" w:eastAsia="仿宋_GB2312"/>
          <w:color w:val="000000"/>
          <w:kern w:val="0"/>
          <w:sz w:val="32"/>
          <w:szCs w:val="32"/>
        </w:rPr>
        <w:t>4</w:t>
      </w:r>
      <w:r>
        <w:rPr>
          <w:rFonts w:eastAsia="仿宋_GB2312"/>
          <w:color w:val="000000"/>
          <w:kern w:val="0"/>
          <w:sz w:val="32"/>
          <w:szCs w:val="32"/>
        </w:rPr>
        <w:t>]</w:t>
      </w:r>
      <w:r>
        <w:rPr>
          <w:rFonts w:hint="eastAsia" w:eastAsia="仿宋_GB2312"/>
          <w:color w:val="000000"/>
          <w:sz w:val="32"/>
          <w:szCs w:val="32"/>
        </w:rPr>
        <w:t>国家药品监督管理局.</w:t>
      </w:r>
      <w:r>
        <w:rPr>
          <w:rFonts w:eastAsia="仿宋_GB2312"/>
          <w:color w:val="000000"/>
          <w:sz w:val="32"/>
          <w:szCs w:val="32"/>
        </w:rPr>
        <w:t>医疗器械产品技术要求编写指导原则</w:t>
      </w:r>
      <w:r>
        <w:rPr>
          <w:rFonts w:hint="eastAsia" w:eastAsia="仿宋_GB2312"/>
          <w:color w:val="000000"/>
          <w:sz w:val="32"/>
          <w:szCs w:val="32"/>
        </w:rPr>
        <w:t>:国家药监局</w:t>
      </w:r>
      <w:r>
        <w:rPr>
          <w:rFonts w:hint="eastAsia" w:eastAsia="仿宋_GB2312"/>
          <w:color w:val="000000"/>
          <w:sz w:val="32"/>
          <w:szCs w:val="32"/>
          <w:lang w:val="en"/>
        </w:rPr>
        <w:t>通告</w:t>
      </w:r>
      <w:r>
        <w:rPr>
          <w:rFonts w:eastAsia="仿宋_GB2312"/>
          <w:color w:val="000000"/>
          <w:sz w:val="32"/>
          <w:szCs w:val="32"/>
          <w:lang w:val="en"/>
        </w:rPr>
        <w:t>20</w:t>
      </w:r>
      <w:r>
        <w:rPr>
          <w:rFonts w:hint="eastAsia" w:eastAsia="仿宋_GB2312"/>
          <w:color w:val="000000"/>
          <w:sz w:val="32"/>
          <w:szCs w:val="32"/>
          <w:lang w:val="en"/>
        </w:rPr>
        <w:t>22</w:t>
      </w:r>
      <w:r>
        <w:rPr>
          <w:rFonts w:eastAsia="仿宋_GB2312"/>
          <w:color w:val="000000"/>
          <w:sz w:val="32"/>
          <w:szCs w:val="32"/>
          <w:lang w:val="en"/>
        </w:rPr>
        <w:t>年第8号[Z]</w:t>
      </w:r>
      <w:r>
        <w:rPr>
          <w:rFonts w:eastAsia="仿宋_GB2312"/>
          <w:color w:val="000000"/>
          <w:sz w:val="32"/>
          <w:szCs w:val="32"/>
        </w:rPr>
        <w:t>.</w:t>
      </w:r>
    </w:p>
    <w:p w14:paraId="4CB55EA5">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[5]</w:t>
      </w:r>
      <w:r>
        <w:rPr>
          <w:rFonts w:eastAsia="仿宋_GB2312"/>
          <w:color w:val="000000"/>
          <w:sz w:val="32"/>
          <w:szCs w:val="32"/>
          <w:lang w:val="en"/>
        </w:rPr>
        <w:t>国家食品药品监督管理局</w:t>
      </w:r>
      <w:r>
        <w:rPr>
          <w:rFonts w:eastAsia="仿宋_GB2312"/>
          <w:color w:val="000000"/>
          <w:sz w:val="32"/>
          <w:szCs w:val="32"/>
        </w:rPr>
        <w:t>.医疗器械分类目录</w:t>
      </w:r>
      <w:r>
        <w:rPr>
          <w:rFonts w:hint="eastAsia" w:eastAsia="仿宋_GB2312"/>
          <w:color w:val="000000"/>
          <w:sz w:val="32"/>
          <w:szCs w:val="32"/>
        </w:rPr>
        <w:t>:</w:t>
      </w:r>
      <w:r>
        <w:rPr>
          <w:rFonts w:eastAsia="仿宋_GB2312"/>
          <w:color w:val="000000"/>
          <w:sz w:val="32"/>
          <w:szCs w:val="32"/>
          <w:lang w:val="en"/>
        </w:rPr>
        <w:t>国家食品药品监督管理总局</w:t>
      </w:r>
      <w:r>
        <w:rPr>
          <w:rFonts w:hint="eastAsia" w:eastAsia="仿宋_GB2312"/>
          <w:color w:val="000000"/>
          <w:sz w:val="32"/>
          <w:szCs w:val="32"/>
          <w:lang w:val="en"/>
        </w:rPr>
        <w:t>公告</w:t>
      </w:r>
      <w:r>
        <w:rPr>
          <w:rFonts w:eastAsia="仿宋_GB2312"/>
          <w:color w:val="000000"/>
          <w:sz w:val="32"/>
          <w:szCs w:val="32"/>
          <w:lang w:val="en"/>
        </w:rPr>
        <w:t>2017年第104号</w:t>
      </w:r>
      <w:r>
        <w:rPr>
          <w:rFonts w:eastAsia="仿宋_GB2312"/>
          <w:color w:val="000000"/>
          <w:sz w:val="32"/>
          <w:szCs w:val="32"/>
        </w:rPr>
        <w:t>[Z].</w:t>
      </w:r>
    </w:p>
    <w:p w14:paraId="3A843C55">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[6]</w:t>
      </w:r>
      <w:r>
        <w:rPr>
          <w:rFonts w:eastAsia="仿宋_GB2312"/>
          <w:color w:val="000000"/>
          <w:sz w:val="32"/>
          <w:szCs w:val="28"/>
        </w:rPr>
        <w:t>国家食品药品监督管理局</w:t>
      </w:r>
      <w:r>
        <w:rPr>
          <w:rFonts w:hint="eastAsia" w:eastAsia="仿宋_GB2312"/>
          <w:color w:val="000000"/>
          <w:sz w:val="32"/>
          <w:szCs w:val="32"/>
        </w:rPr>
        <w:t>.</w:t>
      </w:r>
      <w:r>
        <w:rPr>
          <w:rFonts w:eastAsia="仿宋_GB2312"/>
          <w:color w:val="000000"/>
          <w:sz w:val="32"/>
          <w:szCs w:val="32"/>
        </w:rPr>
        <w:t>医疗器械通用名称命名规则</w:t>
      </w:r>
      <w:r>
        <w:rPr>
          <w:rFonts w:hint="eastAsia" w:eastAsia="仿宋_GB2312"/>
          <w:color w:val="000000"/>
          <w:sz w:val="32"/>
          <w:szCs w:val="32"/>
        </w:rPr>
        <w:t>：</w:t>
      </w:r>
      <w:r>
        <w:rPr>
          <w:rFonts w:eastAsia="仿宋_GB2312"/>
          <w:color w:val="000000"/>
          <w:sz w:val="32"/>
          <w:szCs w:val="28"/>
        </w:rPr>
        <w:t>国家食品药品监督管理总局令第19号</w:t>
      </w:r>
      <w:r>
        <w:rPr>
          <w:rFonts w:eastAsia="仿宋_GB2312"/>
          <w:color w:val="000000"/>
          <w:sz w:val="32"/>
          <w:szCs w:val="32"/>
        </w:rPr>
        <w:t>[Z].</w:t>
      </w:r>
    </w:p>
    <w:p w14:paraId="389C5861">
      <w:pPr>
        <w:spacing w:line="520" w:lineRule="exact"/>
        <w:ind w:firstLine="640" w:firstLineChars="200"/>
      </w:pPr>
      <w:r>
        <w:rPr>
          <w:rFonts w:ascii="'Times New Roman'" w:hAnsi="'Times New Roman'" w:cs="'Times New Roman'"/>
          <w:color w:val="000000"/>
          <w:sz w:val="32"/>
        </w:rPr>
        <w:t>[7]</w:t>
      </w:r>
      <w:r>
        <w:rPr>
          <w:rFonts w:ascii="仿宋_GB2312" w:hAnsi="仿宋_GB2312" w:eastAsia="仿宋_GB2312" w:cs="仿宋_GB2312"/>
          <w:color w:val="000000"/>
          <w:sz w:val="32"/>
        </w:rPr>
        <w:t>国家药品监督管理局</w:t>
      </w:r>
      <w:r>
        <w:rPr>
          <w:color w:val="000000"/>
          <w:sz w:val="32"/>
        </w:rPr>
        <w:t>.</w:t>
      </w:r>
      <w:r>
        <w:rPr>
          <w:rFonts w:ascii="仿宋_GB2312" w:hAnsi="仿宋_GB2312" w:eastAsia="仿宋_GB2312" w:cs="仿宋_GB2312"/>
          <w:color w:val="000000"/>
          <w:sz w:val="32"/>
        </w:rPr>
        <w:t>国家药监局关于发布医疗器械安全和性能基本原则的通告</w:t>
      </w:r>
      <w:r>
        <w:rPr>
          <w:rFonts w:ascii="'Times New Roman'" w:hAnsi="'Times New Roman'" w:cs="'Times New Roman'"/>
          <w:color w:val="000000"/>
          <w:sz w:val="32"/>
        </w:rPr>
        <w:t>:2020</w:t>
      </w:r>
      <w:r>
        <w:rPr>
          <w:rFonts w:ascii="仿宋_GB2312" w:hAnsi="仿宋_GB2312" w:eastAsia="仿宋_GB2312" w:cs="仿宋_GB2312"/>
          <w:color w:val="000000"/>
          <w:sz w:val="32"/>
        </w:rPr>
        <w:t>年第</w:t>
      </w:r>
      <w:r>
        <w:rPr>
          <w:color w:val="000000"/>
          <w:sz w:val="32"/>
        </w:rPr>
        <w:t>18</w:t>
      </w:r>
      <w:r>
        <w:rPr>
          <w:rFonts w:ascii="仿宋_GB2312" w:hAnsi="仿宋_GB2312" w:eastAsia="仿宋_GB2312" w:cs="仿宋_GB2312"/>
          <w:color w:val="000000"/>
          <w:sz w:val="32"/>
        </w:rPr>
        <w:t xml:space="preserve">号 </w:t>
      </w:r>
      <w:r>
        <w:rPr>
          <w:color w:val="000000"/>
          <w:sz w:val="32"/>
        </w:rPr>
        <w:t>[Z].</w:t>
      </w:r>
    </w:p>
    <w:p w14:paraId="2DF75A61">
      <w:pPr>
        <w:spacing w:line="520" w:lineRule="exact"/>
        <w:ind w:firstLine="640" w:firstLineChars="200"/>
      </w:pPr>
      <w:r>
        <w:rPr>
          <w:rFonts w:ascii="'Times New Roman'" w:hAnsi="'Times New Roman'" w:cs="'Times New Roman'"/>
          <w:color w:val="000000"/>
          <w:sz w:val="32"/>
        </w:rPr>
        <w:t>[8]</w:t>
      </w:r>
      <w:r>
        <w:rPr>
          <w:rFonts w:ascii="仿宋_GB2312" w:hAnsi="仿宋_GB2312" w:eastAsia="仿宋_GB2312" w:cs="仿宋_GB2312"/>
          <w:color w:val="000000"/>
          <w:sz w:val="32"/>
        </w:rPr>
        <w:t>国家药品监督管理局医疗器械技术审评中心</w:t>
      </w:r>
      <w:r>
        <w:rPr>
          <w:color w:val="000000"/>
          <w:sz w:val="32"/>
        </w:rPr>
        <w:t>.</w:t>
      </w:r>
      <w:r>
        <w:rPr>
          <w:rFonts w:ascii="仿宋_GB2312" w:hAnsi="仿宋_GB2312" w:eastAsia="仿宋_GB2312" w:cs="仿宋_GB2312"/>
          <w:color w:val="000000"/>
          <w:sz w:val="32"/>
        </w:rPr>
        <w:t>关于发布医疗器械安全和性能基本原则符合性技术指南的通告</w:t>
      </w:r>
      <w:r>
        <w:rPr>
          <w:color w:val="000000"/>
          <w:sz w:val="32"/>
        </w:rPr>
        <w:t>:2022</w:t>
      </w:r>
      <w:r>
        <w:rPr>
          <w:rFonts w:ascii="仿宋_GB2312" w:hAnsi="仿宋_GB2312" w:eastAsia="仿宋_GB2312" w:cs="仿宋_GB2312"/>
          <w:color w:val="000000"/>
          <w:sz w:val="32"/>
        </w:rPr>
        <w:t>年第</w:t>
      </w:r>
      <w:r>
        <w:rPr>
          <w:color w:val="000000"/>
          <w:sz w:val="32"/>
        </w:rPr>
        <w:t>29</w:t>
      </w:r>
      <w:r>
        <w:rPr>
          <w:rFonts w:ascii="仿宋_GB2312" w:hAnsi="仿宋_GB2312" w:eastAsia="仿宋_GB2312" w:cs="仿宋_GB2312"/>
          <w:color w:val="000000"/>
          <w:sz w:val="32"/>
        </w:rPr>
        <w:t xml:space="preserve">号 </w:t>
      </w:r>
      <w:r>
        <w:rPr>
          <w:color w:val="000000"/>
          <w:sz w:val="32"/>
        </w:rPr>
        <w:t>[Z].</w:t>
      </w:r>
    </w:p>
    <w:p w14:paraId="73A68CCC">
      <w:pPr>
        <w:spacing w:line="520" w:lineRule="exact"/>
        <w:ind w:firstLine="640" w:firstLineChars="200"/>
      </w:pPr>
      <w:r>
        <w:rPr>
          <w:rFonts w:ascii="'Times New Roman'" w:hAnsi="'Times New Roman'" w:cs="'Times New Roman'"/>
          <w:color w:val="000000"/>
          <w:sz w:val="32"/>
        </w:rPr>
        <w:t>[9]</w:t>
      </w:r>
      <w:r>
        <w:rPr>
          <w:rFonts w:ascii="仿宋_GB2312" w:hAnsi="仿宋_GB2312" w:eastAsia="仿宋_GB2312" w:cs="仿宋_GB2312"/>
          <w:color w:val="000000"/>
          <w:sz w:val="32"/>
        </w:rPr>
        <w:t>国家药品监督管理局</w:t>
      </w:r>
      <w:r>
        <w:rPr>
          <w:color w:val="000000"/>
          <w:sz w:val="32"/>
        </w:rPr>
        <w:t>.</w:t>
      </w:r>
      <w:r>
        <w:rPr>
          <w:rFonts w:ascii="仿宋_GB2312" w:hAnsi="仿宋_GB2312" w:eastAsia="仿宋_GB2312" w:cs="仿宋_GB2312"/>
          <w:color w:val="000000"/>
          <w:sz w:val="32"/>
        </w:rPr>
        <w:t>国家药监局关于发布免于临床评价医疗器械目录的通告</w:t>
      </w:r>
      <w:r>
        <w:rPr>
          <w:color w:val="000000"/>
          <w:sz w:val="32"/>
        </w:rPr>
        <w:t>:2025年第19号</w:t>
      </w:r>
      <w:r>
        <w:rPr>
          <w:rFonts w:ascii="仿宋_GB2312" w:hAnsi="仿宋_GB2312" w:eastAsia="仿宋_GB2312" w:cs="仿宋_GB2312"/>
          <w:color w:val="000000"/>
          <w:sz w:val="32"/>
        </w:rPr>
        <w:t xml:space="preserve"> </w:t>
      </w:r>
      <w:r>
        <w:rPr>
          <w:color w:val="000000"/>
          <w:sz w:val="32"/>
        </w:rPr>
        <w:t>[Z].</w:t>
      </w:r>
    </w:p>
    <w:p w14:paraId="5180E27E">
      <w:pPr>
        <w:overflowPunct w:val="0"/>
        <w:spacing w:line="520" w:lineRule="exact"/>
        <w:rPr>
          <w:rFonts w:eastAsia="仿宋_GB2312"/>
          <w:color w:val="000000"/>
          <w:sz w:val="32"/>
          <w:szCs w:val="32"/>
        </w:rPr>
      </w:pPr>
      <w:r>
        <w:rPr>
          <w:rFonts w:hint="eastAsia" w:eastAsia="仿宋_GB2312"/>
          <w:color w:val="2972F4"/>
          <w:sz w:val="32"/>
          <w:szCs w:val="32"/>
        </w:rPr>
        <w:t xml:space="preserve">   </w:t>
      </w:r>
      <w:r>
        <w:rPr>
          <w:rFonts w:hint="eastAsia" w:eastAsia="仿宋_GB2312"/>
          <w:color w:val="000000"/>
          <w:sz w:val="32"/>
          <w:szCs w:val="32"/>
        </w:rPr>
        <w:t xml:space="preserve"> [10] GB/T 42062,医疗器械 风险管理对医疗器械的应用[</w:t>
      </w:r>
      <w:r>
        <w:rPr>
          <w:rFonts w:eastAsia="仿宋_GB2312"/>
          <w:color w:val="000000"/>
          <w:sz w:val="32"/>
          <w:szCs w:val="32"/>
        </w:rPr>
        <w:t>S].</w:t>
      </w:r>
    </w:p>
    <w:p w14:paraId="12C85B76">
      <w:pPr>
        <w:spacing w:line="520" w:lineRule="exact"/>
        <w:ind w:firstLine="640" w:firstLineChars="200"/>
      </w:pPr>
      <w:r>
        <w:rPr>
          <w:rFonts w:ascii="'Times New Roman'" w:hAnsi="'Times New Roman'" w:cs="'Times New Roman'"/>
          <w:color w:val="000000"/>
          <w:sz w:val="32"/>
        </w:rPr>
        <w:t>[</w:t>
      </w:r>
      <w:r>
        <w:rPr>
          <w:color w:val="000000"/>
          <w:sz w:val="32"/>
        </w:rPr>
        <w:t>11</w:t>
      </w:r>
      <w:r>
        <w:rPr>
          <w:rFonts w:ascii="'Times New Roman'" w:hAnsi="'Times New Roman'" w:cs="'Times New Roman'"/>
          <w:color w:val="000000"/>
          <w:sz w:val="32"/>
        </w:rPr>
        <w:t>]GB/ T 14710,</w:t>
      </w:r>
      <w:r>
        <w:rPr>
          <w:rFonts w:ascii="仿宋_GB2312" w:hAnsi="仿宋_GB2312" w:eastAsia="仿宋_GB2312" w:cs="仿宋_GB2312"/>
          <w:color w:val="000000"/>
          <w:sz w:val="32"/>
        </w:rPr>
        <w:t>医用电器环境要求及试验方法</w:t>
      </w:r>
      <w:r>
        <w:rPr>
          <w:rFonts w:ascii="'Times New Roman'" w:hAnsi="'Times New Roman'" w:cs="'Times New Roman'"/>
          <w:color w:val="000000"/>
          <w:sz w:val="32"/>
        </w:rPr>
        <w:t>[S].</w:t>
      </w:r>
    </w:p>
    <w:p w14:paraId="0FA28FC3">
      <w:pPr>
        <w:spacing w:line="520" w:lineRule="exact"/>
        <w:ind w:firstLine="640" w:firstLineChars="200"/>
        <w:rPr>
          <w:rFonts w:hint="eastAsia" w:ascii="'Times New Roman'" w:hAnsi="'Times New Roman'" w:cs="'Times New Roman'"/>
          <w:color w:val="000000"/>
          <w:sz w:val="32"/>
        </w:rPr>
      </w:pPr>
      <w:r>
        <w:rPr>
          <w:rFonts w:ascii="'Times New Roman'" w:hAnsi="'Times New Roman'" w:cs="'Times New Roman'"/>
          <w:color w:val="000000"/>
          <w:sz w:val="32"/>
        </w:rPr>
        <w:t>[</w:t>
      </w:r>
      <w:r>
        <w:rPr>
          <w:color w:val="000000"/>
          <w:sz w:val="32"/>
        </w:rPr>
        <w:t>12</w:t>
      </w:r>
      <w:r>
        <w:rPr>
          <w:rFonts w:ascii="'Times New Roman'" w:hAnsi="'Times New Roman'" w:cs="'Times New Roman'"/>
          <w:color w:val="000000"/>
          <w:sz w:val="32"/>
        </w:rPr>
        <w:t>]GB/T 4857,</w:t>
      </w:r>
      <w:r>
        <w:rPr>
          <w:rFonts w:ascii="仿宋_GB2312" w:hAnsi="仿宋_GB2312" w:eastAsia="仿宋_GB2312" w:cs="仿宋_GB2312"/>
          <w:color w:val="000000"/>
          <w:sz w:val="32"/>
        </w:rPr>
        <w:t>包装</w:t>
      </w:r>
      <w:r>
        <w:rPr>
          <w:rFonts w:ascii="'Times New Roman'" w:hAnsi="'Times New Roman'" w:cs="'Times New Roman'"/>
          <w:color w:val="000000"/>
          <w:sz w:val="32"/>
        </w:rPr>
        <w:t xml:space="preserve"> </w:t>
      </w:r>
      <w:r>
        <w:rPr>
          <w:rFonts w:ascii="仿宋_GB2312" w:hAnsi="仿宋_GB2312" w:eastAsia="仿宋_GB2312" w:cs="仿宋_GB2312"/>
          <w:color w:val="000000"/>
          <w:sz w:val="32"/>
        </w:rPr>
        <w:t>运输包装件系列标准</w:t>
      </w:r>
      <w:r>
        <w:rPr>
          <w:rFonts w:ascii="'Times New Roman'" w:hAnsi="'Times New Roman'" w:cs="'Times New Roman'"/>
          <w:color w:val="000000"/>
          <w:sz w:val="32"/>
        </w:rPr>
        <w:t>[S].</w:t>
      </w:r>
    </w:p>
    <w:p w14:paraId="5624E809">
      <w:pPr>
        <w:spacing w:line="520" w:lineRule="exact"/>
        <w:ind w:firstLine="640" w:firstLineChars="200"/>
      </w:pPr>
      <w:r>
        <w:rPr>
          <w:rFonts w:ascii="'Times New Roman'" w:hAnsi="'Times New Roman'" w:cs="'Times New Roman'"/>
          <w:color w:val="000000"/>
          <w:sz w:val="32"/>
        </w:rPr>
        <w:t>[</w:t>
      </w:r>
      <w:r>
        <w:rPr>
          <w:color w:val="000000"/>
          <w:sz w:val="32"/>
        </w:rPr>
        <w:t>13</w:t>
      </w:r>
      <w:r>
        <w:rPr>
          <w:rFonts w:ascii="'Times New Roman'" w:hAnsi="'Times New Roman'" w:cs="'Times New Roman'"/>
          <w:color w:val="000000"/>
          <w:sz w:val="32"/>
        </w:rPr>
        <w:t>]YY/T 0681,</w:t>
      </w:r>
      <w:r>
        <w:rPr>
          <w:rFonts w:ascii="仿宋_GB2312" w:hAnsi="仿宋_GB2312" w:eastAsia="仿宋_GB2312" w:cs="仿宋_GB2312"/>
          <w:color w:val="000000"/>
          <w:sz w:val="32"/>
        </w:rPr>
        <w:t>无菌医疗器械包装试验方法</w:t>
      </w:r>
      <w:r>
        <w:rPr>
          <w:rFonts w:ascii="'Times New Roman'" w:hAnsi="'Times New Roman'" w:cs="'Times New Roman'"/>
          <w:color w:val="000000"/>
          <w:sz w:val="32"/>
        </w:rPr>
        <w:t xml:space="preserve"> </w:t>
      </w:r>
      <w:r>
        <w:rPr>
          <w:rFonts w:ascii="仿宋_GB2312" w:hAnsi="仿宋_GB2312" w:eastAsia="仿宋_GB2312" w:cs="仿宋_GB2312"/>
          <w:color w:val="000000"/>
          <w:sz w:val="32"/>
        </w:rPr>
        <w:t>系列标准</w:t>
      </w:r>
      <w:r>
        <w:rPr>
          <w:rFonts w:ascii="'Times New Roman'" w:hAnsi="'Times New Roman'" w:cs="'Times New Roman'"/>
          <w:color w:val="000000"/>
          <w:sz w:val="32"/>
        </w:rPr>
        <w:t>[S].</w:t>
      </w:r>
    </w:p>
    <w:p w14:paraId="46B83FC5">
      <w:pPr>
        <w:spacing w:line="520" w:lineRule="exact"/>
        <w:ind w:firstLine="640" w:firstLineChars="200"/>
      </w:pPr>
      <w:r>
        <w:rPr>
          <w:rFonts w:ascii="'Times New Roman'" w:hAnsi="'Times New Roman'" w:cs="'Times New Roman'"/>
          <w:color w:val="000000"/>
          <w:sz w:val="32"/>
        </w:rPr>
        <w:t>[14]GB/T 16886.1,</w:t>
      </w:r>
      <w:r>
        <w:rPr>
          <w:rFonts w:ascii="仿宋_GB2312" w:hAnsi="仿宋_GB2312" w:eastAsia="仿宋_GB2312" w:cs="仿宋_GB2312"/>
          <w:color w:val="000000"/>
          <w:sz w:val="32"/>
        </w:rPr>
        <w:t>医疗器械生物学评价</w:t>
      </w:r>
      <w:r>
        <w:rPr>
          <w:rFonts w:ascii="'Times New Roman'" w:hAnsi="'Times New Roman'" w:cs="'Times New Roman'"/>
          <w:color w:val="000000"/>
          <w:sz w:val="32"/>
        </w:rPr>
        <w:t xml:space="preserve"> </w:t>
      </w:r>
      <w:r>
        <w:rPr>
          <w:rFonts w:ascii="仿宋_GB2312" w:hAnsi="仿宋_GB2312" w:eastAsia="仿宋_GB2312" w:cs="仿宋_GB2312"/>
          <w:color w:val="000000"/>
          <w:sz w:val="32"/>
        </w:rPr>
        <w:t>第</w:t>
      </w:r>
      <w:r>
        <w:rPr>
          <w:rFonts w:ascii="'Times New Roman'" w:hAnsi="'Times New Roman'" w:cs="'Times New Roman'"/>
          <w:color w:val="000000"/>
          <w:sz w:val="32"/>
        </w:rPr>
        <w:t>1</w:t>
      </w:r>
      <w:r>
        <w:rPr>
          <w:rFonts w:ascii="仿宋_GB2312" w:hAnsi="仿宋_GB2312" w:eastAsia="仿宋_GB2312" w:cs="仿宋_GB2312"/>
          <w:color w:val="000000"/>
          <w:sz w:val="32"/>
        </w:rPr>
        <w:t>部分：风险管理过程中的评价与试验</w:t>
      </w:r>
      <w:r>
        <w:rPr>
          <w:rFonts w:ascii="'Times New Roman'" w:hAnsi="'Times New Roman'" w:cs="'Times New Roman'"/>
          <w:color w:val="000000"/>
          <w:sz w:val="32"/>
        </w:rPr>
        <w:t>[S].</w:t>
      </w:r>
    </w:p>
    <w:p w14:paraId="76FE75E7">
      <w:pPr>
        <w:spacing w:line="520" w:lineRule="exact"/>
        <w:ind w:firstLine="640" w:firstLineChars="200"/>
        <w:rPr>
          <w:rFonts w:hint="eastAsia" w:ascii="'Times New Roman'" w:hAnsi="'Times New Roman'" w:cs="'Times New Roman'"/>
          <w:sz w:val="32"/>
        </w:rPr>
      </w:pPr>
      <w:r>
        <w:rPr>
          <w:rFonts w:ascii="'Times New Roman'" w:hAnsi="'Times New Roman'" w:cs="'Times New Roman'"/>
          <w:sz w:val="32"/>
        </w:rPr>
        <w:t>[1</w:t>
      </w:r>
      <w:r>
        <w:rPr>
          <w:sz w:val="32"/>
        </w:rPr>
        <w:t>5</w:t>
      </w:r>
      <w:r>
        <w:rPr>
          <w:rFonts w:ascii="'Times New Roman'" w:hAnsi="'Times New Roman'" w:cs="'Times New Roman'"/>
          <w:sz w:val="32"/>
        </w:rPr>
        <w:t>]YY/T 0268-2008,</w:t>
      </w:r>
      <w:r>
        <w:rPr>
          <w:rFonts w:ascii="仿宋_GB2312" w:hAnsi="仿宋_GB2312" w:eastAsia="仿宋_GB2312" w:cs="仿宋_GB2312"/>
          <w:color w:val="000000"/>
          <w:sz w:val="32"/>
        </w:rPr>
        <w:t>牙科学 口腔医疗器械生物学评价 第1单元：评价与试验</w:t>
      </w:r>
      <w:r>
        <w:rPr>
          <w:rFonts w:ascii="'Times New Roman'" w:hAnsi="'Times New Roman'" w:cs="'Times New Roman'"/>
          <w:sz w:val="32"/>
        </w:rPr>
        <w:t>[S].</w:t>
      </w:r>
    </w:p>
    <w:p w14:paraId="69762C6E">
      <w:pPr>
        <w:kinsoku w:val="0"/>
        <w:overflowPunct w:val="0"/>
        <w:spacing w:before="120" w:line="520" w:lineRule="exact"/>
        <w:ind w:firstLine="640" w:firstLineChars="200"/>
        <w:outlineLvl w:val="0"/>
        <w:rPr>
          <w:rFonts w:eastAsia="仿宋_GB2312"/>
          <w:snapToGrid w:val="0"/>
          <w:color w:val="000000"/>
          <w:kern w:val="0"/>
          <w:sz w:val="32"/>
          <w:szCs w:val="32"/>
        </w:rPr>
      </w:pPr>
    </w:p>
    <w:p w14:paraId="63580FE3">
      <w:pPr>
        <w:kinsoku w:val="0"/>
        <w:overflowPunct w:val="0"/>
        <w:spacing w:before="120" w:line="520" w:lineRule="exact"/>
        <w:ind w:firstLine="640" w:firstLineChars="200"/>
        <w:outlineLvl w:val="0"/>
        <w:rPr>
          <w:rFonts w:eastAsia="仿宋_GB2312"/>
          <w:snapToGrid w:val="0"/>
          <w:color w:val="000000"/>
          <w:kern w:val="0"/>
          <w:sz w:val="32"/>
          <w:szCs w:val="32"/>
        </w:rPr>
      </w:pPr>
      <w:r>
        <w:rPr>
          <w:rFonts w:eastAsia="仿宋_GB2312"/>
          <w:snapToGrid w:val="0"/>
          <w:color w:val="000000"/>
          <w:kern w:val="0"/>
          <w:sz w:val="32"/>
          <w:szCs w:val="32"/>
        </w:rPr>
        <w:t>附</w:t>
      </w:r>
      <w:r>
        <w:rPr>
          <w:rFonts w:hint="eastAsia" w:eastAsia="仿宋_GB2312"/>
          <w:snapToGrid w:val="0"/>
          <w:color w:val="000000"/>
          <w:kern w:val="0"/>
          <w:sz w:val="32"/>
          <w:szCs w:val="32"/>
        </w:rPr>
        <w:t>件：1.产品风险管理资料关注点</w:t>
      </w:r>
    </w:p>
    <w:p w14:paraId="3FEA9918">
      <w:pPr>
        <w:pStyle w:val="2"/>
        <w:spacing w:line="520" w:lineRule="exact"/>
        <w:rPr>
          <w:rFonts w:eastAsia="仿宋_GB2312"/>
          <w:snapToGrid w:val="0"/>
          <w:color w:val="2972F4"/>
          <w:kern w:val="0"/>
          <w:sz w:val="32"/>
          <w:szCs w:val="32"/>
        </w:rPr>
      </w:pPr>
    </w:p>
    <w:p w14:paraId="53657DEF">
      <w:pPr>
        <w:spacing w:line="520" w:lineRule="exact"/>
        <w:rPr>
          <w:rFonts w:eastAsia="黑体" w:cs="黑体"/>
          <w:snapToGrid w:val="0"/>
          <w:color w:val="000000"/>
          <w:kern w:val="0"/>
          <w:sz w:val="32"/>
          <w:szCs w:val="32"/>
        </w:rPr>
      </w:pPr>
      <w:r>
        <w:rPr>
          <w:rFonts w:hint="eastAsia" w:eastAsia="黑体" w:cs="黑体"/>
          <w:snapToGrid w:val="0"/>
          <w:color w:val="000000"/>
          <w:kern w:val="0"/>
          <w:sz w:val="32"/>
          <w:szCs w:val="32"/>
        </w:rPr>
        <w:br w:type="page"/>
      </w:r>
    </w:p>
    <w:p w14:paraId="1763755D">
      <w:pPr>
        <w:overflowPunct w:val="0"/>
        <w:autoSpaceDE w:val="0"/>
        <w:autoSpaceDN w:val="0"/>
        <w:spacing w:line="520" w:lineRule="exact"/>
        <w:ind w:left="3" w:hanging="3" w:hangingChars="1"/>
        <w:jc w:val="left"/>
        <w:outlineLvl w:val="0"/>
        <w:rPr>
          <w:rFonts w:eastAsia="黑体" w:cs="黑体"/>
          <w:snapToGrid w:val="0"/>
          <w:color w:val="000000"/>
          <w:kern w:val="0"/>
          <w:sz w:val="32"/>
          <w:szCs w:val="32"/>
        </w:rPr>
      </w:pPr>
      <w:r>
        <w:rPr>
          <w:rFonts w:hint="eastAsia" w:eastAsia="黑体" w:cs="黑体"/>
          <w:snapToGrid w:val="0"/>
          <w:color w:val="000000"/>
          <w:kern w:val="0"/>
          <w:sz w:val="32"/>
          <w:szCs w:val="32"/>
        </w:rPr>
        <w:t>附件</w:t>
      </w:r>
      <w:r>
        <w:rPr>
          <w:rFonts w:hint="eastAsia" w:eastAsia="黑体" w:cs="黑体"/>
          <w:snapToGrid w:val="0"/>
          <w:color w:val="000000"/>
          <w:kern w:val="0"/>
          <w:sz w:val="32"/>
          <w:szCs w:val="32"/>
          <w:lang w:val="en-US" w:eastAsia="zh-CN"/>
        </w:rPr>
        <w:t>1</w:t>
      </w:r>
    </w:p>
    <w:p w14:paraId="20282CC1">
      <w:pPr>
        <w:spacing w:line="520" w:lineRule="exact"/>
        <w:ind w:firstLine="0" w:firstLineChars="0"/>
        <w:jc w:val="center"/>
        <w:rPr>
          <w:rFonts w:hint="eastAsia" w:ascii="Times New Roman" w:hAnsi="Times New Roman" w:eastAsia="方正小标宋简体"/>
          <w:kern w:val="0"/>
          <w:sz w:val="44"/>
          <w:szCs w:val="44"/>
        </w:rPr>
      </w:pPr>
      <w:bookmarkStart w:id="8" w:name="_Toc433873358"/>
      <w:r>
        <w:rPr>
          <w:rFonts w:hint="eastAsia" w:ascii="Times New Roman" w:hAnsi="Times New Roman" w:eastAsia="方正小标宋简体"/>
          <w:kern w:val="0"/>
          <w:sz w:val="44"/>
          <w:szCs w:val="44"/>
        </w:rPr>
        <w:t>产品风险管理资料</w:t>
      </w:r>
      <w:bookmarkEnd w:id="8"/>
      <w:r>
        <w:rPr>
          <w:rFonts w:hint="eastAsia" w:ascii="Times New Roman" w:hAnsi="Times New Roman" w:eastAsia="方正小标宋简体"/>
          <w:kern w:val="0"/>
          <w:sz w:val="44"/>
          <w:szCs w:val="44"/>
        </w:rPr>
        <w:t>关注点</w:t>
      </w:r>
    </w:p>
    <w:p w14:paraId="13F27B1D">
      <w:pPr>
        <w:spacing w:line="520" w:lineRule="exact"/>
        <w:ind w:firstLine="0" w:firstLineChars="0"/>
        <w:jc w:val="center"/>
        <w:rPr>
          <w:rFonts w:hint="eastAsia" w:ascii="Times New Roman" w:hAnsi="Times New Roman" w:eastAsia="方正小标宋简体"/>
          <w:kern w:val="0"/>
          <w:sz w:val="44"/>
          <w:szCs w:val="44"/>
        </w:rPr>
      </w:pPr>
    </w:p>
    <w:p w14:paraId="6955D41A">
      <w:pPr>
        <w:spacing w:line="520" w:lineRule="exact"/>
        <w:ind w:firstLine="640" w:firstLineChars="200"/>
        <w:rPr>
          <w:rFonts w:eastAsia="仿宋_GB2312"/>
          <w:snapToGrid w:val="0"/>
          <w:color w:val="000000"/>
          <w:kern w:val="0"/>
          <w:sz w:val="32"/>
          <w:szCs w:val="32"/>
          <w:lang w:val="zh-CN"/>
        </w:rPr>
      </w:pPr>
      <w:r>
        <w:rPr>
          <w:rFonts w:hint="eastAsia" w:eastAsia="仿宋_GB2312"/>
          <w:snapToGrid w:val="0"/>
          <w:color w:val="000000"/>
          <w:kern w:val="0"/>
          <w:sz w:val="32"/>
          <w:szCs w:val="32"/>
        </w:rPr>
        <w:t>风险管理报告应符合GB</w:t>
      </w:r>
      <w:r>
        <w:rPr>
          <w:rFonts w:eastAsia="仿宋_GB2312"/>
          <w:snapToGrid w:val="0"/>
          <w:color w:val="000000"/>
          <w:kern w:val="0"/>
          <w:sz w:val="32"/>
          <w:szCs w:val="32"/>
        </w:rPr>
        <w:t xml:space="preserve">/T </w:t>
      </w:r>
      <w:r>
        <w:rPr>
          <w:rFonts w:hint="eastAsia" w:eastAsia="仿宋_GB2312"/>
          <w:snapToGrid w:val="0"/>
          <w:color w:val="000000"/>
          <w:kern w:val="0"/>
          <w:sz w:val="32"/>
          <w:szCs w:val="32"/>
        </w:rPr>
        <w:t>42062</w:t>
      </w:r>
      <w:r>
        <w:rPr>
          <w:rFonts w:eastAsia="仿宋_GB2312"/>
          <w:snapToGrid w:val="0"/>
          <w:color w:val="000000"/>
          <w:kern w:val="0"/>
          <w:sz w:val="32"/>
          <w:szCs w:val="32"/>
        </w:rPr>
        <w:t>《医疗器械风险管理对医疗器械的应用》</w:t>
      </w:r>
      <w:r>
        <w:rPr>
          <w:rFonts w:hint="eastAsia" w:eastAsia="仿宋_GB2312"/>
          <w:snapToGrid w:val="0"/>
          <w:color w:val="000000"/>
          <w:kern w:val="0"/>
          <w:sz w:val="32"/>
          <w:szCs w:val="32"/>
        </w:rPr>
        <w:t>以及适用的安全标准（如</w:t>
      </w:r>
      <w:r>
        <w:rPr>
          <w:rFonts w:ascii="'Times New Roman'" w:hAnsi="'Times New Roman'" w:cs="'Times New Roman'"/>
          <w:color w:val="000000"/>
          <w:sz w:val="32"/>
        </w:rPr>
        <w:t>GB 9706.1</w:t>
      </w:r>
      <w:r>
        <w:rPr>
          <w:rFonts w:ascii="仿宋_GB2312" w:hAnsi="仿宋_GB2312" w:eastAsia="仿宋_GB2312" w:cs="仿宋_GB2312"/>
          <w:color w:val="000000"/>
          <w:sz w:val="32"/>
        </w:rPr>
        <w:t>、</w:t>
      </w:r>
      <w:r>
        <w:rPr>
          <w:rFonts w:ascii="'Times New Roman'" w:hAnsi="'Times New Roman'" w:cs="'Times New Roman'"/>
          <w:color w:val="000000"/>
          <w:sz w:val="32"/>
        </w:rPr>
        <w:t>YY 9706.102</w:t>
      </w:r>
      <w:r>
        <w:rPr>
          <w:rFonts w:hint="eastAsia" w:ascii="'Times New Roman'" w:hAnsi="'Times New Roman'" w:cs="'Times New Roman'"/>
          <w:color w:val="000000"/>
          <w:sz w:val="32"/>
        </w:rPr>
        <w:t>、GB 9706.260</w:t>
      </w:r>
      <w:r>
        <w:rPr>
          <w:rFonts w:hint="eastAsia" w:eastAsia="仿宋_GB2312"/>
          <w:snapToGrid w:val="0"/>
          <w:color w:val="000000"/>
          <w:kern w:val="0"/>
          <w:sz w:val="32"/>
          <w:szCs w:val="32"/>
        </w:rPr>
        <w:t>等）及规范性文件的有关要求，审查要点包括：</w:t>
      </w:r>
    </w:p>
    <w:p w14:paraId="269CC51B">
      <w:pPr>
        <w:tabs>
          <w:tab w:val="left" w:pos="8040"/>
        </w:tabs>
        <w:spacing w:line="520" w:lineRule="exact"/>
        <w:ind w:firstLine="640" w:firstLineChars="200"/>
      </w:pPr>
      <w:r>
        <w:rPr>
          <w:rFonts w:ascii="'Times New Roman'" w:hAnsi="'Times New Roman'" w:cs="'Times New Roman'"/>
          <w:color w:val="000000"/>
          <w:sz w:val="32"/>
        </w:rPr>
        <w:t>1.1</w:t>
      </w:r>
      <w:r>
        <w:rPr>
          <w:rFonts w:ascii="仿宋_GB2312" w:hAnsi="仿宋_GB2312" w:eastAsia="仿宋_GB2312" w:cs="仿宋_GB2312"/>
          <w:color w:val="000000"/>
          <w:sz w:val="32"/>
        </w:rPr>
        <w:t>与安全有关的特性的识别可参考</w:t>
      </w:r>
      <w:r>
        <w:rPr>
          <w:color w:val="000000"/>
          <w:sz w:val="32"/>
        </w:rPr>
        <w:t>YY/T 1437</w:t>
      </w:r>
      <w:r>
        <w:rPr>
          <w:rFonts w:ascii="仿宋_GB2312" w:hAnsi="仿宋_GB2312" w:eastAsia="仿宋_GB2312" w:cs="仿宋_GB2312"/>
          <w:color w:val="000000"/>
          <w:sz w:val="32"/>
        </w:rPr>
        <w:t>标准附录</w:t>
      </w:r>
      <w:r>
        <w:rPr>
          <w:rFonts w:ascii="'Times New Roman'" w:hAnsi="'Times New Roman'" w:cs="'Times New Roman'"/>
          <w:color w:val="000000"/>
          <w:sz w:val="32"/>
        </w:rPr>
        <w:t>A</w:t>
      </w:r>
      <w:r>
        <w:rPr>
          <w:rFonts w:ascii="仿宋_GB2312" w:hAnsi="仿宋_GB2312" w:eastAsia="仿宋_GB2312" w:cs="仿宋_GB2312"/>
          <w:color w:val="000000"/>
          <w:sz w:val="32"/>
        </w:rPr>
        <w:t>。确定与安全有关的特性应具有合理的可预见性，应从所有涉及人员的角度提出关于医疗器械的制造、预期用户、预期用途、合理可遇见的误使用和最终处置的问题，识别影响安全的医疗器械的特性和相关的危险；</w:t>
      </w:r>
    </w:p>
    <w:p w14:paraId="7860666F">
      <w:pPr>
        <w:tabs>
          <w:tab w:val="left" w:pos="8040"/>
        </w:tabs>
        <w:spacing w:line="520" w:lineRule="exact"/>
        <w:ind w:firstLine="640" w:firstLineChars="200"/>
      </w:pPr>
      <w:r>
        <w:rPr>
          <w:rFonts w:ascii="'Times New Roman'" w:hAnsi="'Times New Roman'" w:cs="'Times New Roman'"/>
          <w:color w:val="000000"/>
          <w:sz w:val="32"/>
        </w:rPr>
        <w:t>1.2</w:t>
      </w:r>
      <w:r>
        <w:rPr>
          <w:rFonts w:ascii="仿宋_GB2312" w:hAnsi="仿宋_GB2312" w:eastAsia="仿宋_GB2312" w:cs="仿宋_GB2312"/>
          <w:color w:val="000000"/>
          <w:sz w:val="32"/>
        </w:rPr>
        <w:t>危险和危险情况的识别可参考</w:t>
      </w:r>
      <w:r>
        <w:rPr>
          <w:rFonts w:ascii="'Times New Roman'" w:hAnsi="'Times New Roman'" w:cs="'Times New Roman'"/>
          <w:color w:val="000000"/>
          <w:sz w:val="32"/>
        </w:rPr>
        <w:t>GB/T 42062</w:t>
      </w:r>
      <w:r>
        <w:rPr>
          <w:rFonts w:ascii="仿宋_GB2312" w:hAnsi="仿宋_GB2312" w:eastAsia="仿宋_GB2312" w:cs="仿宋_GB2312"/>
          <w:color w:val="000000"/>
          <w:sz w:val="32"/>
        </w:rPr>
        <w:t>标准附录</w:t>
      </w:r>
      <w:r>
        <w:rPr>
          <w:color w:val="000000"/>
          <w:sz w:val="32"/>
        </w:rPr>
        <w:t>C</w:t>
      </w:r>
      <w:r>
        <w:rPr>
          <w:rFonts w:ascii="仿宋_GB2312" w:hAnsi="仿宋_GB2312" w:eastAsia="仿宋_GB2312" w:cs="仿宋_GB2312"/>
          <w:color w:val="000000"/>
          <w:sz w:val="32"/>
        </w:rPr>
        <w:t>；</w:t>
      </w:r>
    </w:p>
    <w:p w14:paraId="180EFC80">
      <w:pPr>
        <w:tabs>
          <w:tab w:val="left" w:pos="8040"/>
        </w:tabs>
        <w:spacing w:line="520" w:lineRule="exact"/>
        <w:ind w:firstLine="640" w:firstLineChars="200"/>
      </w:pPr>
      <w:r>
        <w:rPr>
          <w:rFonts w:ascii="'Times New Roman'" w:hAnsi="'Times New Roman'" w:cs="'Times New Roman'"/>
          <w:color w:val="000000"/>
          <w:sz w:val="32"/>
        </w:rPr>
        <w:t>1.3</w:t>
      </w:r>
      <w:r>
        <w:rPr>
          <w:rFonts w:ascii="仿宋_GB2312" w:hAnsi="仿宋_GB2312" w:eastAsia="仿宋_GB2312" w:cs="仿宋_GB2312"/>
          <w:color w:val="000000"/>
          <w:sz w:val="32"/>
        </w:rPr>
        <w:t>风险控制的方案、方案实施的验证、方案有效性的验证，及综合剩余风险的评价可参考</w:t>
      </w:r>
      <w:r>
        <w:rPr>
          <w:rFonts w:ascii="'Times New Roman'" w:hAnsi="'Times New Roman'" w:cs="'Times New Roman'"/>
          <w:color w:val="000000"/>
          <w:sz w:val="32"/>
        </w:rPr>
        <w:t>GB/T 42062</w:t>
      </w:r>
      <w:r>
        <w:rPr>
          <w:rFonts w:ascii="仿宋_GB2312" w:hAnsi="仿宋_GB2312" w:eastAsia="仿宋_GB2312" w:cs="仿宋_GB2312"/>
          <w:color w:val="000000"/>
          <w:sz w:val="32"/>
        </w:rPr>
        <w:t>标准第</w:t>
      </w:r>
      <w:r>
        <w:rPr>
          <w:color w:val="000000"/>
          <w:sz w:val="32"/>
        </w:rPr>
        <w:t>7</w:t>
      </w:r>
      <w:r>
        <w:rPr>
          <w:rFonts w:ascii="仿宋_GB2312" w:hAnsi="仿宋_GB2312" w:eastAsia="仿宋_GB2312" w:cs="仿宋_GB2312"/>
          <w:color w:val="000000"/>
          <w:sz w:val="32"/>
        </w:rPr>
        <w:t>、第</w:t>
      </w:r>
      <w:r>
        <w:rPr>
          <w:color w:val="000000"/>
          <w:sz w:val="32"/>
        </w:rPr>
        <w:t>8</w:t>
      </w:r>
      <w:r>
        <w:rPr>
          <w:rFonts w:ascii="仿宋_GB2312" w:hAnsi="仿宋_GB2312" w:eastAsia="仿宋_GB2312" w:cs="仿宋_GB2312"/>
          <w:color w:val="000000"/>
          <w:sz w:val="32"/>
        </w:rPr>
        <w:t>章的相关要求；</w:t>
      </w:r>
    </w:p>
    <w:p w14:paraId="649B5BCC">
      <w:pPr>
        <w:tabs>
          <w:tab w:val="left" w:pos="8040"/>
        </w:tabs>
        <w:spacing w:line="520" w:lineRule="exact"/>
        <w:ind w:firstLine="640" w:firstLineChars="200"/>
      </w:pPr>
      <w:r>
        <w:rPr>
          <w:rFonts w:ascii="'Times New Roman'" w:hAnsi="'Times New Roman'" w:cs="'Times New Roman'"/>
          <w:color w:val="000000"/>
          <w:sz w:val="32"/>
        </w:rPr>
        <w:t>1.4</w:t>
      </w:r>
      <w:r>
        <w:rPr>
          <w:rFonts w:ascii="仿宋_GB2312" w:hAnsi="仿宋_GB2312" w:eastAsia="仿宋_GB2312" w:cs="仿宋_GB2312"/>
          <w:color w:val="000000"/>
          <w:sz w:val="32"/>
        </w:rPr>
        <w:t>应提供采取风险控制措施前后的风险矩阵表，应包括综合剩余风险是否可接受的判定。</w:t>
      </w:r>
    </w:p>
    <w:p w14:paraId="25B03E60">
      <w:pPr>
        <w:tabs>
          <w:tab w:val="left" w:pos="8040"/>
        </w:tabs>
        <w:spacing w:line="520" w:lineRule="exact"/>
        <w:ind w:firstLine="640" w:firstLineChars="200"/>
      </w:pPr>
      <w:r>
        <w:rPr>
          <w:rFonts w:ascii="'Times New Roman'" w:hAnsi="'Times New Roman'" w:cs="'Times New Roman'"/>
          <w:color w:val="000000"/>
          <w:sz w:val="32"/>
        </w:rPr>
        <w:t>1.5</w:t>
      </w:r>
      <w:r>
        <w:rPr>
          <w:rFonts w:ascii="仿宋_GB2312" w:hAnsi="仿宋_GB2312" w:eastAsia="仿宋_GB2312" w:cs="仿宋_GB2312"/>
          <w:color w:val="000000"/>
          <w:sz w:val="32"/>
        </w:rPr>
        <w:t>识别出的基本性能及其识别过程。</w:t>
      </w:r>
    </w:p>
    <w:p w14:paraId="15C3B79C">
      <w:pPr>
        <w:tabs>
          <w:tab w:val="left" w:pos="8040"/>
        </w:tabs>
        <w:spacing w:line="520" w:lineRule="exact"/>
        <w:ind w:firstLine="640" w:firstLineChars="200"/>
      </w:pPr>
      <w:r>
        <w:rPr>
          <w:rFonts w:ascii="仿宋_GB2312" w:hAnsi="仿宋_GB2312" w:eastAsia="仿宋_GB2312" w:cs="仿宋_GB2312"/>
          <w:color w:val="000000"/>
          <w:sz w:val="32"/>
        </w:rPr>
        <w:t>依据</w:t>
      </w:r>
      <w:r>
        <w:rPr>
          <w:rFonts w:ascii="'Times New Roman'" w:hAnsi="'Times New Roman'" w:cs="'Times New Roman'"/>
          <w:color w:val="000000"/>
          <w:sz w:val="32"/>
        </w:rPr>
        <w:t>GB/T 42062</w:t>
      </w:r>
      <w:r>
        <w:rPr>
          <w:rFonts w:ascii="仿宋_GB2312" w:hAnsi="仿宋_GB2312" w:eastAsia="仿宋_GB2312" w:cs="仿宋_GB2312"/>
          <w:color w:val="000000"/>
          <w:sz w:val="32"/>
        </w:rPr>
        <w:t>标准附录</w:t>
      </w:r>
      <w:r>
        <w:rPr>
          <w:color w:val="000000"/>
          <w:sz w:val="32"/>
        </w:rPr>
        <w:t>C</w:t>
      </w:r>
      <w:r>
        <w:rPr>
          <w:rFonts w:ascii="仿宋_GB2312" w:hAnsi="仿宋_GB2312" w:eastAsia="仿宋_GB2312" w:cs="仿宋_GB2312"/>
          <w:color w:val="000000"/>
          <w:sz w:val="32"/>
        </w:rPr>
        <w:t>列举了牙科手机有关的可能危险示例的不完全清单，</w:t>
      </w:r>
      <w:r>
        <w:rPr>
          <w:rFonts w:hint="eastAsia" w:ascii="仿宋_GB2312" w:hAnsi="仿宋_GB2312" w:eastAsia="仿宋_GB2312" w:cs="仿宋_GB2312"/>
          <w:color w:val="000000"/>
          <w:sz w:val="32"/>
          <w:lang w:eastAsia="zh-CN"/>
        </w:rPr>
        <w:t>如下，</w:t>
      </w:r>
      <w:r>
        <w:rPr>
          <w:rFonts w:ascii="仿宋_GB2312" w:hAnsi="仿宋_GB2312" w:eastAsia="仿宋_GB2312" w:cs="仿宋_GB2312"/>
          <w:color w:val="000000"/>
          <w:sz w:val="32"/>
        </w:rPr>
        <w:t>以帮助判定与牙科手机有关的危险。注册申请人还应根据自身产品特点确定其他可能危险。针对产品的各项风险，注册申请人应确定是否需要采取控制措施确保风险降到可接受的程度。</w:t>
      </w:r>
    </w:p>
    <w:p w14:paraId="5221BD14">
      <w:pPr>
        <w:spacing w:line="520" w:lineRule="exact"/>
        <w:jc w:val="center"/>
        <w:rPr>
          <w:rFonts w:ascii="黑体" w:hAnsi="黑体" w:eastAsia="黑体" w:cs="黑体"/>
          <w:color w:val="000000"/>
          <w:sz w:val="28"/>
        </w:rPr>
      </w:pPr>
    </w:p>
    <w:p w14:paraId="55796633">
      <w:pPr>
        <w:spacing w:line="520" w:lineRule="exact"/>
        <w:jc w:val="center"/>
        <w:rPr>
          <w:rFonts w:ascii="黑体" w:hAnsi="黑体" w:eastAsia="黑体" w:cs="黑体"/>
          <w:color w:val="000000"/>
          <w:sz w:val="28"/>
        </w:rPr>
      </w:pPr>
    </w:p>
    <w:p w14:paraId="7DCE5DB0">
      <w:pPr>
        <w:spacing w:line="520" w:lineRule="exact"/>
        <w:jc w:val="center"/>
      </w:pPr>
      <w:r>
        <w:rPr>
          <w:rFonts w:hint="eastAsia" w:ascii="Times New Roman" w:hAnsi="Times New Roman" w:eastAsia="黑体"/>
          <w:kern w:val="0"/>
          <w:sz w:val="28"/>
        </w:rPr>
        <w:t>表</w:t>
      </w:r>
      <w:r>
        <w:rPr>
          <w:rFonts w:hint="eastAsia" w:eastAsia="黑体"/>
          <w:kern w:val="0"/>
          <w:sz w:val="28"/>
          <w:lang w:val="en-US" w:eastAsia="zh-CN"/>
        </w:rPr>
        <w:t>2</w:t>
      </w:r>
      <w:r>
        <w:rPr>
          <w:rFonts w:hint="eastAsia" w:ascii="Times New Roman" w:hAnsi="Times New Roman" w:eastAsia="黑体"/>
          <w:kern w:val="0"/>
          <w:sz w:val="28"/>
        </w:rPr>
        <w:t xml:space="preserve">  </w:t>
      </w:r>
      <w:r>
        <w:rPr>
          <w:rFonts w:hint="eastAsia" w:eastAsia="黑体"/>
          <w:kern w:val="0"/>
          <w:sz w:val="28"/>
          <w:lang w:eastAsia="zh-CN"/>
        </w:rPr>
        <w:t>牙科手机</w:t>
      </w:r>
      <w:r>
        <w:rPr>
          <w:rFonts w:hint="eastAsia" w:ascii="Times New Roman" w:hAnsi="Times New Roman" w:eastAsia="黑体"/>
          <w:kern w:val="0"/>
          <w:sz w:val="28"/>
        </w:rPr>
        <w:t>产品的主要危险</w:t>
      </w:r>
    </w:p>
    <w:tbl>
      <w:tblPr>
        <w:tblStyle w:val="18"/>
        <w:tblW w:w="8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3645"/>
        <w:gridCol w:w="1815"/>
        <w:gridCol w:w="1410"/>
      </w:tblGrid>
      <w:tr w14:paraId="4D274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9" w:type="dxa"/>
            <w:tcBorders>
              <w:top w:val="single" w:color="000000" w:sz="10" w:space="0"/>
              <w:left w:val="single" w:color="000000" w:sz="10" w:space="0"/>
              <w:bottom w:val="single" w:color="000000" w:sz="10" w:space="0"/>
              <w:right w:val="single" w:color="000000" w:sz="10" w:space="0"/>
            </w:tcBorders>
            <w:tcMar>
              <w:top w:w="0" w:type="dxa"/>
              <w:left w:w="108" w:type="dxa"/>
              <w:bottom w:w="0" w:type="dxa"/>
              <w:right w:w="108" w:type="dxa"/>
            </w:tcMar>
            <w:vAlign w:val="center"/>
          </w:tcPr>
          <w:p w14:paraId="34840DE3">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危险类型</w:t>
            </w:r>
          </w:p>
        </w:tc>
        <w:tc>
          <w:tcPr>
            <w:tcW w:w="3645" w:type="dxa"/>
            <w:tcBorders>
              <w:top w:val="single" w:color="000000" w:sz="10" w:space="0"/>
              <w:left w:val="single" w:color="000000" w:sz="0" w:space="0"/>
              <w:bottom w:val="single" w:color="000000" w:sz="10" w:space="0"/>
              <w:right w:val="single" w:color="000000" w:sz="10" w:space="0"/>
            </w:tcBorders>
            <w:tcMar>
              <w:top w:w="0" w:type="dxa"/>
              <w:left w:w="108" w:type="dxa"/>
              <w:bottom w:w="0" w:type="dxa"/>
              <w:right w:w="108" w:type="dxa"/>
            </w:tcMar>
            <w:vAlign w:val="center"/>
          </w:tcPr>
          <w:p w14:paraId="1C8C4DB1">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示例</w:t>
            </w:r>
          </w:p>
        </w:tc>
        <w:tc>
          <w:tcPr>
            <w:tcW w:w="1815" w:type="dxa"/>
            <w:tcBorders>
              <w:top w:val="single" w:color="000000" w:sz="10" w:space="0"/>
              <w:left w:val="single" w:color="000000" w:sz="0" w:space="0"/>
              <w:bottom w:val="single" w:color="000000" w:sz="10" w:space="0"/>
              <w:right w:val="single" w:color="000000" w:sz="10" w:space="0"/>
            </w:tcBorders>
            <w:tcMar>
              <w:top w:w="0" w:type="dxa"/>
              <w:left w:w="108" w:type="dxa"/>
              <w:bottom w:w="0" w:type="dxa"/>
              <w:right w:w="108" w:type="dxa"/>
            </w:tcMar>
            <w:vAlign w:val="center"/>
          </w:tcPr>
          <w:p w14:paraId="07B14D6D">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危险处境</w:t>
            </w:r>
          </w:p>
        </w:tc>
        <w:tc>
          <w:tcPr>
            <w:tcW w:w="1410" w:type="dxa"/>
            <w:tcBorders>
              <w:top w:val="single" w:color="000000" w:sz="10" w:space="0"/>
              <w:left w:val="single" w:color="000000" w:sz="0" w:space="0"/>
              <w:bottom w:val="single" w:color="000000" w:sz="10" w:space="0"/>
              <w:right w:val="single" w:color="000000" w:sz="10" w:space="0"/>
            </w:tcBorders>
            <w:tcMar>
              <w:top w:w="0" w:type="dxa"/>
              <w:left w:w="108" w:type="dxa"/>
              <w:bottom w:w="0" w:type="dxa"/>
              <w:right w:w="108" w:type="dxa"/>
            </w:tcMar>
            <w:vAlign w:val="center"/>
          </w:tcPr>
          <w:p w14:paraId="2DF8B53C">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损害</w:t>
            </w:r>
          </w:p>
        </w:tc>
      </w:tr>
      <w:tr w14:paraId="3208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39" w:type="dxa"/>
            <w:gridSpan w:val="4"/>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5D3BF9C2">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能量</w:t>
            </w:r>
          </w:p>
        </w:tc>
      </w:tr>
      <w:tr w14:paraId="7A98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26596DDE">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电场</w:t>
            </w:r>
          </w:p>
          <w:p w14:paraId="0558BD7C">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磁场</w:t>
            </w:r>
          </w:p>
        </w:tc>
        <w:tc>
          <w:tcPr>
            <w:tcW w:w="364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193362FA">
            <w:pPr>
              <w:spacing w:line="520" w:lineRule="exact"/>
              <w:ind w:left="42" w:leftChars="20" w:right="42" w:rightChars="20"/>
              <w:rPr>
                <w:sz w:val="28"/>
                <w:szCs w:val="28"/>
              </w:rPr>
            </w:pPr>
            <w:r>
              <w:rPr>
                <w:rFonts w:ascii="仿宋_GB2312" w:hAnsi="仿宋_GB2312" w:eastAsia="仿宋_GB2312" w:cs="仿宋_GB2312"/>
                <w:color w:val="000000"/>
                <w:sz w:val="28"/>
                <w:szCs w:val="28"/>
              </w:rPr>
              <w:t>设计不合理导致电磁场过大影响其他设备的运转。</w:t>
            </w:r>
          </w:p>
          <w:p w14:paraId="70B7132C">
            <w:pPr>
              <w:spacing w:line="520" w:lineRule="exact"/>
              <w:ind w:left="42" w:leftChars="20" w:right="42" w:rightChars="20"/>
              <w:rPr>
                <w:sz w:val="28"/>
                <w:szCs w:val="28"/>
              </w:rPr>
            </w:pPr>
            <w:r>
              <w:rPr>
                <w:rFonts w:ascii="仿宋_GB2312" w:hAnsi="仿宋_GB2312" w:eastAsia="仿宋_GB2312" w:cs="仿宋_GB2312"/>
                <w:color w:val="000000"/>
                <w:sz w:val="28"/>
                <w:szCs w:val="28"/>
              </w:rPr>
              <w:t>在强电磁辐射源边使用影响设备的运转。</w:t>
            </w:r>
          </w:p>
        </w:tc>
        <w:tc>
          <w:tcPr>
            <w:tcW w:w="181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79295640">
            <w:pPr>
              <w:spacing w:line="520" w:lineRule="exact"/>
              <w:ind w:right="42" w:rightChars="20"/>
              <w:rPr>
                <w:sz w:val="28"/>
                <w:szCs w:val="28"/>
              </w:rPr>
            </w:pPr>
            <w:r>
              <w:rPr>
                <w:rFonts w:ascii="仿宋_GB2312" w:hAnsi="仿宋_GB2312" w:eastAsia="仿宋_GB2312" w:cs="仿宋_GB2312"/>
                <w:color w:val="000000"/>
                <w:sz w:val="28"/>
                <w:szCs w:val="28"/>
              </w:rPr>
              <w:t>其他设备运转故障。</w:t>
            </w:r>
          </w:p>
          <w:p w14:paraId="703D85A7">
            <w:pPr>
              <w:spacing w:line="520" w:lineRule="exact"/>
              <w:ind w:left="42" w:leftChars="20" w:right="42" w:rightChars="20"/>
              <w:rPr>
                <w:sz w:val="28"/>
                <w:szCs w:val="28"/>
              </w:rPr>
            </w:pPr>
            <w:r>
              <w:rPr>
                <w:rFonts w:ascii="仿宋_GB2312" w:hAnsi="仿宋_GB2312" w:eastAsia="仿宋_GB2312" w:cs="仿宋_GB2312"/>
                <w:color w:val="000000"/>
                <w:sz w:val="28"/>
                <w:szCs w:val="28"/>
              </w:rPr>
              <w:t>设备运转故障。</w:t>
            </w:r>
          </w:p>
        </w:tc>
        <w:tc>
          <w:tcPr>
            <w:tcW w:w="1410"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1105466">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设备故障</w:t>
            </w:r>
          </w:p>
        </w:tc>
      </w:tr>
      <w:tr w14:paraId="366E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0A68E4F8">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热能</w:t>
            </w:r>
          </w:p>
          <w:p w14:paraId="497E9E64">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高温</w:t>
            </w:r>
          </w:p>
        </w:tc>
        <w:tc>
          <w:tcPr>
            <w:tcW w:w="364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51421BEF">
            <w:pPr>
              <w:spacing w:line="520" w:lineRule="exact"/>
              <w:ind w:left="42" w:leftChars="20" w:right="42" w:rightChars="20"/>
              <w:rPr>
                <w:sz w:val="28"/>
                <w:szCs w:val="28"/>
              </w:rPr>
            </w:pPr>
            <w:r>
              <w:rPr>
                <w:rFonts w:ascii="仿宋_GB2312" w:hAnsi="仿宋_GB2312" w:eastAsia="仿宋_GB2312" w:cs="仿宋_GB2312"/>
                <w:color w:val="000000"/>
                <w:sz w:val="28"/>
                <w:szCs w:val="28"/>
              </w:rPr>
              <w:t>转动部分性能不稳定可能导致摩擦高温。</w:t>
            </w:r>
          </w:p>
        </w:tc>
        <w:tc>
          <w:tcPr>
            <w:tcW w:w="181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30E563BC">
            <w:pPr>
              <w:spacing w:line="520" w:lineRule="exact"/>
              <w:ind w:left="42" w:leftChars="20" w:right="42" w:rightChars="20"/>
              <w:rPr>
                <w:sz w:val="28"/>
                <w:szCs w:val="28"/>
              </w:rPr>
            </w:pPr>
            <w:r>
              <w:rPr>
                <w:rFonts w:ascii="仿宋_GB2312" w:hAnsi="仿宋_GB2312" w:eastAsia="仿宋_GB2312" w:cs="仿宋_GB2312"/>
                <w:color w:val="000000"/>
                <w:sz w:val="28"/>
                <w:szCs w:val="28"/>
              </w:rPr>
              <w:t>设备温度太高而烫伤病人或操作者。</w:t>
            </w:r>
          </w:p>
        </w:tc>
        <w:tc>
          <w:tcPr>
            <w:tcW w:w="1410"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79711CDC">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烫伤</w:t>
            </w:r>
          </w:p>
        </w:tc>
      </w:tr>
      <w:tr w14:paraId="536A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19DB7105">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机械能</w:t>
            </w:r>
          </w:p>
          <w:p w14:paraId="76381B7A">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重力</w:t>
            </w:r>
          </w:p>
          <w:p w14:paraId="1D59BF9D">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－坠落</w:t>
            </w:r>
          </w:p>
          <w:p w14:paraId="7D60662C">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－悬挂质量</w:t>
            </w:r>
          </w:p>
          <w:p w14:paraId="530D9F42">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振动</w:t>
            </w:r>
          </w:p>
          <w:p w14:paraId="4827451D">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运动零件</w:t>
            </w:r>
          </w:p>
          <w:p w14:paraId="05DB91E3">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患者的移动和定位</w:t>
            </w:r>
          </w:p>
        </w:tc>
        <w:tc>
          <w:tcPr>
            <w:tcW w:w="364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00F9A84">
            <w:pPr>
              <w:spacing w:line="520" w:lineRule="exact"/>
              <w:ind w:left="42" w:leftChars="20" w:right="42" w:rightChars="20"/>
              <w:rPr>
                <w:sz w:val="28"/>
                <w:szCs w:val="28"/>
              </w:rPr>
            </w:pPr>
            <w:r>
              <w:rPr>
                <w:rFonts w:ascii="仿宋_GB2312" w:hAnsi="仿宋_GB2312" w:eastAsia="仿宋_GB2312" w:cs="仿宋_GB2312"/>
                <w:color w:val="000000"/>
                <w:sz w:val="28"/>
                <w:szCs w:val="28"/>
              </w:rPr>
              <w:t>设计不合理，采购原料不合格，生产控制失控。如：手机夹持力不足或夹轴失效操作时发生车针脱落，车针折断现象。</w:t>
            </w:r>
          </w:p>
        </w:tc>
        <w:tc>
          <w:tcPr>
            <w:tcW w:w="181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514F29D5">
            <w:pPr>
              <w:spacing w:line="520" w:lineRule="exact"/>
              <w:ind w:left="42" w:leftChars="20" w:right="42" w:rightChars="20"/>
              <w:rPr>
                <w:sz w:val="28"/>
                <w:szCs w:val="28"/>
              </w:rPr>
            </w:pPr>
            <w:r>
              <w:rPr>
                <w:rFonts w:ascii="仿宋_GB2312" w:hAnsi="仿宋_GB2312" w:eastAsia="仿宋_GB2312" w:cs="仿宋_GB2312"/>
                <w:color w:val="000000"/>
                <w:sz w:val="28"/>
                <w:szCs w:val="28"/>
              </w:rPr>
              <w:t>错误的机械能或机械力施加到病人。</w:t>
            </w:r>
          </w:p>
        </w:tc>
        <w:tc>
          <w:tcPr>
            <w:tcW w:w="1410"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4B33EE99">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机械损伤</w:t>
            </w:r>
          </w:p>
        </w:tc>
      </w:tr>
      <w:tr w14:paraId="3227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06EBBF67">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声能</w:t>
            </w:r>
          </w:p>
          <w:p w14:paraId="585ECDD6">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－超声能量</w:t>
            </w:r>
          </w:p>
          <w:p w14:paraId="4FECF257">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－次声能量</w:t>
            </w:r>
          </w:p>
          <w:p w14:paraId="3CB54B00">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－声音</w:t>
            </w:r>
          </w:p>
        </w:tc>
        <w:tc>
          <w:tcPr>
            <w:tcW w:w="364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7A908616">
            <w:pPr>
              <w:spacing w:line="520" w:lineRule="exact"/>
              <w:ind w:left="42" w:leftChars="20" w:right="42" w:rightChars="20"/>
              <w:rPr>
                <w:sz w:val="28"/>
                <w:szCs w:val="28"/>
              </w:rPr>
            </w:pPr>
            <w:r>
              <w:rPr>
                <w:rFonts w:ascii="仿宋_GB2312" w:hAnsi="仿宋_GB2312" w:eastAsia="仿宋_GB2312" w:cs="仿宋_GB2312"/>
                <w:color w:val="000000"/>
                <w:sz w:val="28"/>
                <w:szCs w:val="28"/>
              </w:rPr>
              <w:t>设计不合理，采购原料不合格，生产控制失控。</w:t>
            </w:r>
          </w:p>
        </w:tc>
        <w:tc>
          <w:tcPr>
            <w:tcW w:w="181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7F797F0F">
            <w:pPr>
              <w:spacing w:line="520" w:lineRule="exact"/>
              <w:ind w:left="42" w:leftChars="20" w:right="42" w:rightChars="20"/>
              <w:rPr>
                <w:sz w:val="28"/>
                <w:szCs w:val="28"/>
              </w:rPr>
            </w:pPr>
            <w:r>
              <w:rPr>
                <w:rFonts w:ascii="仿宋_GB2312" w:hAnsi="仿宋_GB2312" w:eastAsia="仿宋_GB2312" w:cs="仿宋_GB2312"/>
                <w:color w:val="000000"/>
                <w:sz w:val="28"/>
                <w:szCs w:val="28"/>
              </w:rPr>
              <w:t>噪音，超声。</w:t>
            </w:r>
          </w:p>
        </w:tc>
        <w:tc>
          <w:tcPr>
            <w:tcW w:w="1410"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D3D7874">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噪音，超声损伤</w:t>
            </w:r>
          </w:p>
        </w:tc>
      </w:tr>
      <w:tr w14:paraId="6C4C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9" w:type="dxa"/>
            <w:gridSpan w:val="4"/>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7AFFD10A">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生物学和化学</w:t>
            </w:r>
          </w:p>
        </w:tc>
      </w:tr>
      <w:tr w14:paraId="130A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0FD32731">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细菌</w:t>
            </w:r>
          </w:p>
          <w:p w14:paraId="3FA20445">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病毒</w:t>
            </w:r>
          </w:p>
          <w:p w14:paraId="0B93A71E">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其他微生物</w:t>
            </w:r>
          </w:p>
        </w:tc>
        <w:tc>
          <w:tcPr>
            <w:tcW w:w="364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11B1A3CE">
            <w:pPr>
              <w:spacing w:line="520" w:lineRule="exact"/>
              <w:ind w:left="42" w:leftChars="20" w:right="42" w:rightChars="20"/>
              <w:rPr>
                <w:sz w:val="28"/>
                <w:szCs w:val="28"/>
              </w:rPr>
            </w:pPr>
            <w:r>
              <w:rPr>
                <w:rFonts w:ascii="仿宋_GB2312" w:hAnsi="仿宋_GB2312" w:eastAsia="仿宋_GB2312" w:cs="仿宋_GB2312"/>
                <w:color w:val="000000"/>
                <w:sz w:val="28"/>
                <w:szCs w:val="28"/>
              </w:rPr>
              <w:t>生产环境和产品清洁未控制好导致管路受污染。</w:t>
            </w:r>
          </w:p>
        </w:tc>
        <w:tc>
          <w:tcPr>
            <w:tcW w:w="181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7BA127DE">
            <w:pPr>
              <w:spacing w:line="520" w:lineRule="exact"/>
              <w:ind w:left="42" w:leftChars="20" w:right="42" w:rightChars="20"/>
              <w:rPr>
                <w:sz w:val="28"/>
                <w:szCs w:val="28"/>
              </w:rPr>
            </w:pPr>
            <w:r>
              <w:rPr>
                <w:rFonts w:ascii="仿宋_GB2312" w:hAnsi="仿宋_GB2312" w:eastAsia="仿宋_GB2312" w:cs="仿宋_GB2312"/>
                <w:color w:val="000000"/>
                <w:sz w:val="28"/>
                <w:szCs w:val="28"/>
              </w:rPr>
              <w:t>使用过程中细菌、病毒或其他微生物进入患者的体内。</w:t>
            </w:r>
          </w:p>
        </w:tc>
        <w:tc>
          <w:tcPr>
            <w:tcW w:w="1410"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592EB4CD">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细菌、病毒等感染</w:t>
            </w:r>
          </w:p>
          <w:p w14:paraId="02935267">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死亡</w:t>
            </w:r>
          </w:p>
        </w:tc>
      </w:tr>
      <w:tr w14:paraId="418B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407EEA97">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消毒、清洁</w:t>
            </w:r>
          </w:p>
        </w:tc>
        <w:tc>
          <w:tcPr>
            <w:tcW w:w="364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3FEB246A">
            <w:pPr>
              <w:spacing w:line="520" w:lineRule="exact"/>
              <w:ind w:left="42" w:leftChars="20" w:right="42" w:rightChars="20"/>
              <w:rPr>
                <w:sz w:val="28"/>
                <w:szCs w:val="28"/>
              </w:rPr>
            </w:pPr>
            <w:r>
              <w:rPr>
                <w:rFonts w:ascii="仿宋_GB2312" w:hAnsi="仿宋_GB2312" w:eastAsia="仿宋_GB2312" w:cs="仿宋_GB2312"/>
                <w:color w:val="000000"/>
                <w:sz w:val="28"/>
                <w:szCs w:val="28"/>
              </w:rPr>
              <w:t>应用部件消毒不完全传染疾病。</w:t>
            </w:r>
          </w:p>
        </w:tc>
        <w:tc>
          <w:tcPr>
            <w:tcW w:w="181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3A6ECAD5">
            <w:pPr>
              <w:spacing w:line="520" w:lineRule="exact"/>
              <w:ind w:left="42" w:leftChars="20" w:right="42" w:rightChars="20"/>
              <w:rPr>
                <w:sz w:val="28"/>
                <w:szCs w:val="28"/>
              </w:rPr>
            </w:pPr>
            <w:r>
              <w:rPr>
                <w:rFonts w:ascii="仿宋_GB2312" w:hAnsi="仿宋_GB2312" w:eastAsia="仿宋_GB2312" w:cs="仿宋_GB2312"/>
                <w:color w:val="000000"/>
                <w:sz w:val="28"/>
                <w:szCs w:val="28"/>
              </w:rPr>
              <w:t>交叉传染。</w:t>
            </w:r>
          </w:p>
        </w:tc>
        <w:tc>
          <w:tcPr>
            <w:tcW w:w="1410"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563659FE">
            <w:pPr>
              <w:spacing w:line="520" w:lineRule="exact"/>
              <w:ind w:left="42" w:leftChars="20" w:right="42" w:rightChars="20"/>
              <w:jc w:val="left"/>
              <w:rPr>
                <w:sz w:val="28"/>
                <w:szCs w:val="28"/>
              </w:rPr>
            </w:pPr>
            <w:r>
              <w:rPr>
                <w:rFonts w:ascii="仿宋_GB2312" w:hAnsi="仿宋_GB2312" w:eastAsia="仿宋_GB2312" w:cs="仿宋_GB2312"/>
                <w:color w:val="000000"/>
                <w:sz w:val="28"/>
                <w:szCs w:val="28"/>
              </w:rPr>
              <w:t>传染高致病性疾病</w:t>
            </w:r>
          </w:p>
        </w:tc>
      </w:tr>
      <w:tr w14:paraId="4FDF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9" w:type="dxa"/>
            <w:gridSpan w:val="4"/>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30462EE8">
            <w:pPr>
              <w:spacing w:line="520" w:lineRule="exact"/>
              <w:ind w:left="42" w:leftChars="20" w:right="42" w:rightChars="20"/>
              <w:jc w:val="center"/>
              <w:rPr>
                <w:sz w:val="28"/>
                <w:szCs w:val="28"/>
              </w:rPr>
            </w:pPr>
            <w:r>
              <w:rPr>
                <w:sz w:val="28"/>
                <w:szCs w:val="28"/>
              </w:rPr>
              <w:t>操作—功能</w:t>
            </w:r>
          </w:p>
        </w:tc>
      </w:tr>
      <w:tr w14:paraId="3685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787159EB">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功能的丧失或变坏</w:t>
            </w:r>
          </w:p>
        </w:tc>
        <w:tc>
          <w:tcPr>
            <w:tcW w:w="364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F2B5B08">
            <w:pPr>
              <w:spacing w:line="520" w:lineRule="exact"/>
              <w:ind w:left="42" w:leftChars="20" w:right="42" w:rightChars="20"/>
              <w:rPr>
                <w:sz w:val="28"/>
                <w:szCs w:val="28"/>
              </w:rPr>
            </w:pPr>
            <w:r>
              <w:rPr>
                <w:rFonts w:ascii="仿宋_GB2312" w:hAnsi="仿宋_GB2312" w:eastAsia="仿宋_GB2312" w:cs="仿宋_GB2312"/>
                <w:color w:val="000000"/>
                <w:sz w:val="28"/>
                <w:szCs w:val="28"/>
              </w:rPr>
              <w:t>零部件故障导致功能丧失。</w:t>
            </w:r>
          </w:p>
        </w:tc>
        <w:tc>
          <w:tcPr>
            <w:tcW w:w="181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008B675D">
            <w:pPr>
              <w:spacing w:line="520" w:lineRule="exact"/>
              <w:ind w:left="42" w:leftChars="20" w:right="42" w:rightChars="20"/>
              <w:rPr>
                <w:sz w:val="28"/>
                <w:szCs w:val="28"/>
              </w:rPr>
            </w:pPr>
            <w:r>
              <w:rPr>
                <w:rFonts w:ascii="仿宋_GB2312" w:hAnsi="仿宋_GB2312" w:eastAsia="仿宋_GB2312" w:cs="仿宋_GB2312"/>
                <w:color w:val="000000"/>
                <w:sz w:val="28"/>
                <w:szCs w:val="28"/>
              </w:rPr>
              <w:t>使用时导致无法正常使用。</w:t>
            </w:r>
          </w:p>
        </w:tc>
        <w:tc>
          <w:tcPr>
            <w:tcW w:w="1410"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730AADB">
            <w:pPr>
              <w:spacing w:line="520" w:lineRule="exact"/>
              <w:ind w:left="42" w:leftChars="20" w:right="42" w:rightChars="20"/>
              <w:rPr>
                <w:sz w:val="28"/>
                <w:szCs w:val="28"/>
              </w:rPr>
            </w:pPr>
            <w:r>
              <w:rPr>
                <w:rFonts w:ascii="仿宋_GB2312" w:hAnsi="仿宋_GB2312" w:eastAsia="仿宋_GB2312" w:cs="仿宋_GB2312"/>
                <w:color w:val="000000"/>
                <w:sz w:val="28"/>
                <w:szCs w:val="28"/>
              </w:rPr>
              <w:t>治疗失败</w:t>
            </w:r>
          </w:p>
          <w:p w14:paraId="7AEADBBF">
            <w:pPr>
              <w:spacing w:line="520" w:lineRule="exact"/>
              <w:ind w:left="42" w:leftChars="20" w:right="42" w:rightChars="20"/>
              <w:rPr>
                <w:sz w:val="28"/>
                <w:szCs w:val="28"/>
              </w:rPr>
            </w:pPr>
            <w:r>
              <w:rPr>
                <w:rFonts w:ascii="'Times New Roman'" w:hAnsi="'Times New Roman'" w:cs="'Times New Roman'"/>
                <w:color w:val="000000"/>
                <w:sz w:val="28"/>
                <w:szCs w:val="28"/>
              </w:rPr>
              <w:t> </w:t>
            </w:r>
          </w:p>
        </w:tc>
      </w:tr>
      <w:tr w14:paraId="52C9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45ED3574">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操作危害</w:t>
            </w:r>
            <w:r>
              <w:rPr>
                <w:rFonts w:ascii="'Times New Roman'" w:hAnsi="'Times New Roman'" w:cs="'Times New Roman'"/>
                <w:color w:val="000000"/>
                <w:sz w:val="28"/>
                <w:szCs w:val="28"/>
              </w:rPr>
              <w:t>-</w:t>
            </w:r>
            <w:r>
              <w:rPr>
                <w:rFonts w:ascii="仿宋_GB2312" w:hAnsi="仿宋_GB2312" w:eastAsia="仿宋_GB2312" w:cs="仿宋_GB2312"/>
                <w:color w:val="000000"/>
                <w:sz w:val="28"/>
                <w:szCs w:val="28"/>
              </w:rPr>
              <w:t>使用错误</w:t>
            </w:r>
          </w:p>
          <w:p w14:paraId="3D0BC291">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不遵守规则</w:t>
            </w:r>
          </w:p>
          <w:p w14:paraId="21599ED5">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缺乏知识</w:t>
            </w:r>
          </w:p>
          <w:p w14:paraId="5C47DBB2">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违反常规</w:t>
            </w:r>
          </w:p>
        </w:tc>
        <w:tc>
          <w:tcPr>
            <w:tcW w:w="364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1D3D6C1">
            <w:pPr>
              <w:spacing w:line="520" w:lineRule="exact"/>
              <w:ind w:left="42" w:leftChars="20" w:right="42" w:rightChars="20"/>
              <w:rPr>
                <w:sz w:val="28"/>
                <w:szCs w:val="28"/>
              </w:rPr>
            </w:pPr>
            <w:r>
              <w:rPr>
                <w:rFonts w:ascii="仿宋_GB2312" w:hAnsi="仿宋_GB2312" w:eastAsia="仿宋_GB2312" w:cs="仿宋_GB2312"/>
                <w:color w:val="000000"/>
                <w:sz w:val="28"/>
                <w:szCs w:val="28"/>
              </w:rPr>
              <w:t>错误的使用了产品；</w:t>
            </w:r>
          </w:p>
          <w:p w14:paraId="14305903">
            <w:pPr>
              <w:spacing w:line="520" w:lineRule="exact"/>
              <w:ind w:left="42" w:leftChars="20" w:right="42" w:rightChars="20"/>
              <w:rPr>
                <w:sz w:val="28"/>
                <w:szCs w:val="28"/>
              </w:rPr>
            </w:pPr>
            <w:r>
              <w:rPr>
                <w:rFonts w:ascii="仿宋_GB2312" w:hAnsi="仿宋_GB2312" w:eastAsia="仿宋_GB2312" w:cs="仿宋_GB2312"/>
                <w:color w:val="000000"/>
                <w:sz w:val="28"/>
                <w:szCs w:val="28"/>
              </w:rPr>
              <w:t>损坏了产品。</w:t>
            </w:r>
          </w:p>
          <w:p w14:paraId="19190F3E">
            <w:pPr>
              <w:spacing w:line="520" w:lineRule="exact"/>
              <w:ind w:left="42" w:leftChars="20" w:right="42" w:rightChars="20"/>
              <w:rPr>
                <w:sz w:val="28"/>
                <w:szCs w:val="28"/>
              </w:rPr>
            </w:pPr>
            <w:r>
              <w:rPr>
                <w:rFonts w:ascii="'Times New Roman'" w:hAnsi="'Times New Roman'" w:cs="'Times New Roman'"/>
                <w:color w:val="000000"/>
                <w:sz w:val="28"/>
                <w:szCs w:val="28"/>
              </w:rPr>
              <w:t> </w:t>
            </w:r>
          </w:p>
        </w:tc>
        <w:tc>
          <w:tcPr>
            <w:tcW w:w="181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3AB3FC4B">
            <w:pPr>
              <w:spacing w:line="520" w:lineRule="exact"/>
              <w:ind w:left="42" w:leftChars="20" w:right="42" w:rightChars="20"/>
              <w:rPr>
                <w:sz w:val="28"/>
                <w:szCs w:val="28"/>
              </w:rPr>
            </w:pPr>
            <w:r>
              <w:rPr>
                <w:rFonts w:ascii="仿宋_GB2312" w:hAnsi="仿宋_GB2312" w:eastAsia="仿宋_GB2312" w:cs="仿宋_GB2312"/>
                <w:color w:val="000000"/>
                <w:sz w:val="28"/>
                <w:szCs w:val="28"/>
              </w:rPr>
              <w:t>使用时导致无法正常使用。</w:t>
            </w:r>
          </w:p>
          <w:p w14:paraId="5E0A5E56">
            <w:pPr>
              <w:spacing w:line="520" w:lineRule="exact"/>
              <w:ind w:left="42" w:leftChars="20" w:right="42" w:rightChars="20"/>
              <w:rPr>
                <w:sz w:val="28"/>
                <w:szCs w:val="28"/>
              </w:rPr>
            </w:pPr>
            <w:r>
              <w:rPr>
                <w:rFonts w:ascii="'Times New Roman'" w:hAnsi="'Times New Roman'" w:cs="'Times New Roman'"/>
                <w:color w:val="000000"/>
                <w:sz w:val="28"/>
                <w:szCs w:val="28"/>
              </w:rPr>
              <w:t> </w:t>
            </w:r>
          </w:p>
        </w:tc>
        <w:tc>
          <w:tcPr>
            <w:tcW w:w="1410"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94215A5">
            <w:pPr>
              <w:spacing w:line="520" w:lineRule="exact"/>
              <w:ind w:left="42" w:leftChars="20" w:right="42" w:rightChars="20"/>
              <w:rPr>
                <w:sz w:val="28"/>
                <w:szCs w:val="28"/>
              </w:rPr>
            </w:pPr>
            <w:r>
              <w:rPr>
                <w:rFonts w:ascii="仿宋_GB2312" w:hAnsi="仿宋_GB2312" w:eastAsia="仿宋_GB2312" w:cs="仿宋_GB2312"/>
                <w:color w:val="000000"/>
                <w:sz w:val="28"/>
                <w:szCs w:val="28"/>
              </w:rPr>
              <w:t>治疗失败</w:t>
            </w:r>
          </w:p>
        </w:tc>
      </w:tr>
      <w:tr w14:paraId="5DB2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9" w:type="dxa"/>
            <w:gridSpan w:val="4"/>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0C285C75">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信息—标记</w:t>
            </w:r>
          </w:p>
        </w:tc>
      </w:tr>
      <w:tr w14:paraId="7C51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25EA27BB">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不完整的使用说明</w:t>
            </w:r>
          </w:p>
          <w:p w14:paraId="50A16E61">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性能特征的不适当的描述</w:t>
            </w:r>
          </w:p>
        </w:tc>
        <w:tc>
          <w:tcPr>
            <w:tcW w:w="364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5DA73F7F">
            <w:pPr>
              <w:spacing w:line="520" w:lineRule="exact"/>
              <w:ind w:left="42" w:leftChars="20" w:right="42" w:rightChars="20"/>
              <w:rPr>
                <w:sz w:val="28"/>
                <w:szCs w:val="28"/>
              </w:rPr>
            </w:pPr>
            <w:r>
              <w:rPr>
                <w:rFonts w:ascii="'Times New Roman'" w:hAnsi="'Times New Roman'" w:cs="'Times New Roman'"/>
                <w:color w:val="000000"/>
                <w:sz w:val="28"/>
                <w:szCs w:val="28"/>
              </w:rPr>
              <w:t>1.</w:t>
            </w:r>
            <w:r>
              <w:rPr>
                <w:rFonts w:ascii="仿宋_GB2312" w:hAnsi="仿宋_GB2312" w:eastAsia="仿宋_GB2312" w:cs="仿宋_GB2312"/>
                <w:color w:val="000000"/>
                <w:sz w:val="28"/>
                <w:szCs w:val="28"/>
              </w:rPr>
              <w:t>标签设计错误；</w:t>
            </w:r>
          </w:p>
          <w:p w14:paraId="0816942F">
            <w:pPr>
              <w:spacing w:line="520" w:lineRule="exact"/>
              <w:ind w:left="42" w:leftChars="20" w:right="42" w:rightChars="20"/>
              <w:rPr>
                <w:sz w:val="28"/>
                <w:szCs w:val="28"/>
              </w:rPr>
            </w:pPr>
            <w:r>
              <w:rPr>
                <w:rFonts w:ascii="'Times New Roman'" w:hAnsi="'Times New Roman'" w:cs="'Times New Roman'"/>
                <w:color w:val="000000"/>
                <w:sz w:val="28"/>
                <w:szCs w:val="28"/>
              </w:rPr>
              <w:t>2.</w:t>
            </w:r>
            <w:r>
              <w:rPr>
                <w:rFonts w:ascii="仿宋_GB2312" w:hAnsi="仿宋_GB2312" w:eastAsia="仿宋_GB2312" w:cs="仿宋_GB2312"/>
                <w:color w:val="000000"/>
                <w:sz w:val="28"/>
                <w:szCs w:val="28"/>
              </w:rPr>
              <w:t>标签使用错误。</w:t>
            </w:r>
          </w:p>
        </w:tc>
        <w:tc>
          <w:tcPr>
            <w:tcW w:w="181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67AE42C5">
            <w:pPr>
              <w:spacing w:line="520" w:lineRule="exact"/>
              <w:ind w:left="42" w:leftChars="20" w:right="42" w:rightChars="20"/>
              <w:rPr>
                <w:sz w:val="28"/>
                <w:szCs w:val="28"/>
              </w:rPr>
            </w:pPr>
            <w:r>
              <w:rPr>
                <w:rFonts w:ascii="仿宋_GB2312" w:hAnsi="仿宋_GB2312" w:eastAsia="仿宋_GB2312" w:cs="仿宋_GB2312"/>
                <w:color w:val="000000"/>
                <w:sz w:val="28"/>
                <w:szCs w:val="28"/>
              </w:rPr>
              <w:t>给用户在使用、操作上误导，使用时导致无法正常使用。</w:t>
            </w:r>
          </w:p>
        </w:tc>
        <w:tc>
          <w:tcPr>
            <w:tcW w:w="1410"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790BCFDA">
            <w:pPr>
              <w:spacing w:line="520" w:lineRule="exact"/>
              <w:ind w:left="42" w:leftChars="20" w:right="42" w:rightChars="20"/>
              <w:rPr>
                <w:sz w:val="28"/>
                <w:szCs w:val="28"/>
              </w:rPr>
            </w:pPr>
            <w:r>
              <w:rPr>
                <w:rFonts w:ascii="仿宋_GB2312" w:hAnsi="仿宋_GB2312" w:eastAsia="仿宋_GB2312" w:cs="仿宋_GB2312"/>
                <w:color w:val="000000"/>
                <w:sz w:val="28"/>
                <w:szCs w:val="28"/>
              </w:rPr>
              <w:t>治疗失败</w:t>
            </w:r>
          </w:p>
        </w:tc>
      </w:tr>
      <w:tr w14:paraId="1073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299D1BD3">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不适当的预期使用规范</w:t>
            </w:r>
          </w:p>
          <w:p w14:paraId="264E795C">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限制未充分公示</w:t>
            </w:r>
          </w:p>
        </w:tc>
        <w:tc>
          <w:tcPr>
            <w:tcW w:w="364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00D356F5">
            <w:pPr>
              <w:spacing w:line="520" w:lineRule="exact"/>
              <w:ind w:left="42" w:leftChars="20" w:right="42" w:rightChars="20"/>
              <w:rPr>
                <w:sz w:val="28"/>
                <w:szCs w:val="28"/>
              </w:rPr>
            </w:pPr>
            <w:r>
              <w:rPr>
                <w:rFonts w:ascii="'Times New Roman'" w:hAnsi="'Times New Roman'" w:cs="'Times New Roman'"/>
                <w:color w:val="000000"/>
                <w:sz w:val="28"/>
                <w:szCs w:val="28"/>
              </w:rPr>
              <w:t>1.</w:t>
            </w:r>
            <w:r>
              <w:rPr>
                <w:rFonts w:ascii="仿宋_GB2312" w:hAnsi="仿宋_GB2312" w:eastAsia="仿宋_GB2312" w:cs="仿宋_GB2312"/>
                <w:color w:val="000000"/>
                <w:sz w:val="28"/>
                <w:szCs w:val="28"/>
              </w:rPr>
              <w:t>标签设计错误；</w:t>
            </w:r>
          </w:p>
          <w:p w14:paraId="0427C5EA">
            <w:pPr>
              <w:spacing w:line="520" w:lineRule="exact"/>
              <w:ind w:left="42" w:leftChars="20" w:right="42" w:rightChars="20"/>
              <w:rPr>
                <w:sz w:val="28"/>
                <w:szCs w:val="28"/>
              </w:rPr>
            </w:pPr>
            <w:r>
              <w:rPr>
                <w:rFonts w:ascii="'Times New Roman'" w:hAnsi="'Times New Roman'" w:cs="'Times New Roman'"/>
                <w:color w:val="000000"/>
                <w:sz w:val="28"/>
                <w:szCs w:val="28"/>
              </w:rPr>
              <w:t>2.</w:t>
            </w:r>
            <w:r>
              <w:rPr>
                <w:rFonts w:ascii="仿宋_GB2312" w:hAnsi="仿宋_GB2312" w:eastAsia="仿宋_GB2312" w:cs="仿宋_GB2312"/>
                <w:color w:val="000000"/>
                <w:sz w:val="28"/>
                <w:szCs w:val="28"/>
              </w:rPr>
              <w:t>标签使用错误。</w:t>
            </w:r>
          </w:p>
        </w:tc>
        <w:tc>
          <w:tcPr>
            <w:tcW w:w="1815"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1FDED4A0">
            <w:pPr>
              <w:spacing w:line="520" w:lineRule="exact"/>
              <w:ind w:left="42" w:leftChars="20" w:right="42" w:rightChars="20"/>
              <w:rPr>
                <w:sz w:val="28"/>
                <w:szCs w:val="28"/>
              </w:rPr>
            </w:pPr>
            <w:r>
              <w:rPr>
                <w:rFonts w:ascii="仿宋_GB2312" w:hAnsi="仿宋_GB2312" w:eastAsia="仿宋_GB2312" w:cs="仿宋_GB2312"/>
                <w:color w:val="000000"/>
                <w:sz w:val="28"/>
                <w:szCs w:val="28"/>
              </w:rPr>
              <w:t>给用户在使用、操作上误导，使用时导致无法正常使用。</w:t>
            </w:r>
          </w:p>
        </w:tc>
        <w:tc>
          <w:tcPr>
            <w:tcW w:w="1410" w:type="dxa"/>
            <w:tcBorders>
              <w:top w:val="single" w:color="000000" w:sz="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1DE70EDF">
            <w:pPr>
              <w:spacing w:line="520" w:lineRule="exact"/>
              <w:ind w:left="42" w:leftChars="20" w:right="42" w:rightChars="20"/>
              <w:rPr>
                <w:sz w:val="28"/>
                <w:szCs w:val="28"/>
              </w:rPr>
            </w:pPr>
            <w:r>
              <w:rPr>
                <w:rFonts w:ascii="仿宋_GB2312" w:hAnsi="仿宋_GB2312" w:eastAsia="仿宋_GB2312" w:cs="仿宋_GB2312"/>
                <w:color w:val="000000"/>
                <w:sz w:val="28"/>
                <w:szCs w:val="28"/>
              </w:rPr>
              <w:t>治疗失败</w:t>
            </w:r>
          </w:p>
        </w:tc>
      </w:tr>
      <w:tr w14:paraId="374DB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9" w:type="dxa"/>
            <w:gridSpan w:val="4"/>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38A7DE63">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信息—操作说明书</w:t>
            </w:r>
          </w:p>
        </w:tc>
      </w:tr>
      <w:tr w14:paraId="1713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4E14483A">
            <w:pPr>
              <w:spacing w:line="520" w:lineRule="exact"/>
              <w:ind w:left="42" w:leftChars="20" w:right="42" w:rightChars="20"/>
              <w:jc w:val="center"/>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使用前检查规范不适当</w:t>
            </w:r>
          </w:p>
        </w:tc>
        <w:tc>
          <w:tcPr>
            <w:tcW w:w="364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4C9CBCD3">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操作说明中注意事项未写明或标注不明显；</w:t>
            </w:r>
          </w:p>
          <w:p w14:paraId="6BFEFED8">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使用已损坏的产品；</w:t>
            </w:r>
          </w:p>
          <w:p w14:paraId="456BDD5D">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使用了受污染的产品。</w:t>
            </w:r>
          </w:p>
        </w:tc>
        <w:tc>
          <w:tcPr>
            <w:tcW w:w="181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0CC353EC">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使用时导致无法正常使用；</w:t>
            </w:r>
          </w:p>
          <w:p w14:paraId="0C9C3C1A">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使用过程中细菌进入患者的体内。</w:t>
            </w:r>
          </w:p>
        </w:tc>
        <w:tc>
          <w:tcPr>
            <w:tcW w:w="1410"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20462E83">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治疗失败</w:t>
            </w:r>
          </w:p>
          <w:p w14:paraId="3A22D07B">
            <w:pPr>
              <w:spacing w:line="520" w:lineRule="exact"/>
              <w:ind w:left="42" w:leftChars="20" w:right="42" w:rightChars="20"/>
              <w:rPr>
                <w:rFonts w:ascii="仿宋_GB2312" w:hAnsi="仿宋_GB2312" w:eastAsia="仿宋_GB2312" w:cs="仿宋_GB2312"/>
                <w:color w:val="000000"/>
                <w:sz w:val="28"/>
                <w:szCs w:val="28"/>
              </w:rPr>
            </w:pPr>
            <w:r>
              <w:rPr>
                <w:rFonts w:ascii="仿宋_GB2312" w:hAnsi="仿宋_GB2312" w:eastAsia="仿宋_GB2312" w:cs="仿宋_GB2312"/>
                <w:color w:val="000000"/>
                <w:sz w:val="28"/>
                <w:szCs w:val="28"/>
              </w:rPr>
              <w:t>细菌感染</w:t>
            </w:r>
          </w:p>
        </w:tc>
      </w:tr>
      <w:tr w14:paraId="04A2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9" w:type="dxa"/>
            <w:gridSpan w:val="4"/>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3463CC3A">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信息—警告</w:t>
            </w:r>
          </w:p>
        </w:tc>
      </w:tr>
      <w:tr w14:paraId="66B6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9" w:type="dxa"/>
            <w:tcBorders>
              <w:top w:val="single" w:color="000000" w:sz="0" w:space="0"/>
              <w:left w:val="single" w:color="000000" w:sz="10" w:space="0"/>
              <w:bottom w:val="single" w:color="000000" w:sz="10" w:space="0"/>
              <w:right w:val="single" w:color="000000" w:sz="10" w:space="0"/>
            </w:tcBorders>
            <w:tcMar>
              <w:top w:w="0" w:type="dxa"/>
              <w:left w:w="10" w:type="dxa"/>
              <w:bottom w:w="0" w:type="dxa"/>
              <w:right w:w="10" w:type="dxa"/>
            </w:tcMar>
            <w:vAlign w:val="center"/>
          </w:tcPr>
          <w:p w14:paraId="060235DD">
            <w:pPr>
              <w:spacing w:line="520" w:lineRule="exact"/>
              <w:ind w:left="42" w:leftChars="20" w:right="42" w:rightChars="20"/>
              <w:jc w:val="center"/>
              <w:rPr>
                <w:sz w:val="28"/>
                <w:szCs w:val="28"/>
              </w:rPr>
            </w:pPr>
            <w:r>
              <w:rPr>
                <w:rFonts w:ascii="仿宋_GB2312" w:hAnsi="仿宋_GB2312" w:eastAsia="仿宋_GB2312" w:cs="仿宋_GB2312"/>
                <w:color w:val="000000"/>
                <w:sz w:val="28"/>
                <w:szCs w:val="28"/>
              </w:rPr>
              <w:t>副作用的警告</w:t>
            </w:r>
          </w:p>
        </w:tc>
        <w:tc>
          <w:tcPr>
            <w:tcW w:w="364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0E100178">
            <w:pPr>
              <w:spacing w:line="520" w:lineRule="exact"/>
              <w:ind w:left="42" w:leftChars="20" w:right="42" w:rightChars="20"/>
              <w:rPr>
                <w:sz w:val="28"/>
                <w:szCs w:val="28"/>
              </w:rPr>
            </w:pPr>
            <w:r>
              <w:rPr>
                <w:rFonts w:ascii="仿宋_GB2312" w:hAnsi="仿宋_GB2312" w:eastAsia="仿宋_GB2312" w:cs="仿宋_GB2312"/>
                <w:color w:val="000000"/>
                <w:sz w:val="28"/>
                <w:szCs w:val="28"/>
              </w:rPr>
              <w:t>禁忌症的警告未写明或标注不明显；</w:t>
            </w:r>
          </w:p>
          <w:p w14:paraId="3C81D7D6">
            <w:pPr>
              <w:spacing w:line="520" w:lineRule="exact"/>
              <w:ind w:left="42" w:leftChars="20" w:right="42" w:rightChars="20"/>
              <w:rPr>
                <w:sz w:val="28"/>
                <w:szCs w:val="28"/>
              </w:rPr>
            </w:pPr>
            <w:r>
              <w:rPr>
                <w:rFonts w:ascii="仿宋_GB2312" w:hAnsi="仿宋_GB2312" w:eastAsia="仿宋_GB2312" w:cs="仿宋_GB2312"/>
                <w:color w:val="000000"/>
                <w:sz w:val="28"/>
                <w:szCs w:val="28"/>
              </w:rPr>
              <w:t>违反禁忌症使用了产品。</w:t>
            </w:r>
          </w:p>
        </w:tc>
        <w:tc>
          <w:tcPr>
            <w:tcW w:w="1815"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49055AE9">
            <w:pPr>
              <w:spacing w:line="520" w:lineRule="exact"/>
              <w:ind w:left="42" w:leftChars="20" w:right="42" w:rightChars="20"/>
              <w:rPr>
                <w:sz w:val="28"/>
                <w:szCs w:val="28"/>
              </w:rPr>
            </w:pPr>
            <w:r>
              <w:rPr>
                <w:rFonts w:ascii="仿宋_GB2312" w:hAnsi="仿宋_GB2312" w:eastAsia="仿宋_GB2312" w:cs="仿宋_GB2312"/>
                <w:color w:val="000000"/>
                <w:sz w:val="28"/>
                <w:szCs w:val="28"/>
              </w:rPr>
              <w:t>患者因治疗发生意外。</w:t>
            </w:r>
          </w:p>
        </w:tc>
        <w:tc>
          <w:tcPr>
            <w:tcW w:w="1410" w:type="dxa"/>
            <w:tcBorders>
              <w:top w:val="single" w:color="000000" w:sz="10" w:space="0"/>
              <w:left w:val="single" w:color="000000" w:sz="0" w:space="0"/>
              <w:bottom w:val="single" w:color="000000" w:sz="10" w:space="0"/>
              <w:right w:val="single" w:color="000000" w:sz="10" w:space="0"/>
            </w:tcBorders>
            <w:tcMar>
              <w:top w:w="0" w:type="dxa"/>
              <w:left w:w="10" w:type="dxa"/>
              <w:bottom w:w="0" w:type="dxa"/>
              <w:right w:w="10" w:type="dxa"/>
            </w:tcMar>
            <w:vAlign w:val="center"/>
          </w:tcPr>
          <w:p w14:paraId="37EC8C45">
            <w:pPr>
              <w:spacing w:line="520" w:lineRule="exact"/>
              <w:ind w:left="42" w:leftChars="20" w:right="42" w:rightChars="20"/>
              <w:rPr>
                <w:sz w:val="28"/>
                <w:szCs w:val="28"/>
              </w:rPr>
            </w:pPr>
            <w:r>
              <w:rPr>
                <w:rFonts w:ascii="仿宋_GB2312" w:hAnsi="仿宋_GB2312" w:eastAsia="仿宋_GB2312" w:cs="仿宋_GB2312"/>
                <w:color w:val="000000"/>
                <w:sz w:val="28"/>
                <w:szCs w:val="28"/>
              </w:rPr>
              <w:t>治疗失败</w:t>
            </w:r>
          </w:p>
        </w:tc>
      </w:tr>
    </w:tbl>
    <w:p w14:paraId="004DD6E5">
      <w:pPr>
        <w:spacing w:line="520" w:lineRule="exact"/>
        <w:ind w:firstLine="640" w:firstLineChars="200"/>
        <w:rPr>
          <w:rFonts w:eastAsia="仿宋_GB2312"/>
          <w:color w:val="2972F4"/>
          <w:sz w:val="32"/>
          <w:szCs w:val="32"/>
        </w:rPr>
      </w:pPr>
    </w:p>
    <w:p w14:paraId="1C3A60B0">
      <w:pPr>
        <w:spacing w:line="520" w:lineRule="exact"/>
      </w:pPr>
    </w:p>
    <w:p w14:paraId="77D41714">
      <w:pPr>
        <w:pStyle w:val="2"/>
        <w:spacing w:line="520" w:lineRule="exact"/>
        <w:rPr>
          <w:rFonts w:eastAsia="仿宋_GB2312"/>
          <w:bCs/>
          <w:color w:val="2972F4"/>
          <w:sz w:val="32"/>
          <w:szCs w:val="32"/>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ArnoPro-Italic">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noPro-Regular">
    <w:altName w:val="Times New Roman"/>
    <w:panose1 w:val="00000000000000000000"/>
    <w:charset w:val="00"/>
    <w:family w:val="roman"/>
    <w:pitch w:val="default"/>
    <w:sig w:usb0="00000000" w:usb1="00000000" w:usb2="00000000"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New Roman'">
    <w:altName w:val="Times New Roman"/>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1B544">
    <w:pPr>
      <w:pStyle w:val="12"/>
      <w:tabs>
        <w:tab w:val="clear" w:pos="4153"/>
        <w:tab w:val="clear" w:pos="8306"/>
      </w:tabs>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sz w:val="28"/>
        <w:szCs w:val="28"/>
      </w:rPr>
      <w:t xml:space="preserve"> —</w:t>
    </w:r>
  </w:p>
  <w:p w14:paraId="55B15638">
    <w:pPr>
      <w:pStyle w:val="12"/>
      <w:tabs>
        <w:tab w:val="clear" w:pos="4153"/>
        <w:tab w:val="clear" w:pos="8306"/>
      </w:tabs>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5F2B1">
    <w:pPr>
      <w:pStyle w:val="12"/>
      <w:tabs>
        <w:tab w:val="clear" w:pos="4153"/>
        <w:tab w:val="clear" w:pos="8306"/>
      </w:tabs>
      <w:ind w:firstLine="42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sz w:val="28"/>
        <w:szCs w:val="28"/>
      </w:rPr>
      <w:t xml:space="preserve"> —</w:t>
    </w:r>
  </w:p>
  <w:p w14:paraId="01C46F6E">
    <w:pPr>
      <w:pStyle w:val="12"/>
      <w:tabs>
        <w:tab w:val="clear" w:pos="4153"/>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DF7"/>
    <w:rsid w:val="00006CF0"/>
    <w:rsid w:val="00075E34"/>
    <w:rsid w:val="000C5CB1"/>
    <w:rsid w:val="002E599A"/>
    <w:rsid w:val="002F1626"/>
    <w:rsid w:val="0035135F"/>
    <w:rsid w:val="0040342A"/>
    <w:rsid w:val="004563C8"/>
    <w:rsid w:val="0057157F"/>
    <w:rsid w:val="005C2DF7"/>
    <w:rsid w:val="005F56E0"/>
    <w:rsid w:val="00670053"/>
    <w:rsid w:val="00680C32"/>
    <w:rsid w:val="006E0312"/>
    <w:rsid w:val="008D13E2"/>
    <w:rsid w:val="00AA7F33"/>
    <w:rsid w:val="00AF08E5"/>
    <w:rsid w:val="00B35901"/>
    <w:rsid w:val="00C36DE6"/>
    <w:rsid w:val="00E37E07"/>
    <w:rsid w:val="00EC55B4"/>
    <w:rsid w:val="00F415DB"/>
    <w:rsid w:val="00FC3D9A"/>
    <w:rsid w:val="017165B7"/>
    <w:rsid w:val="03977E2B"/>
    <w:rsid w:val="04700DA8"/>
    <w:rsid w:val="083B16CD"/>
    <w:rsid w:val="0A23066B"/>
    <w:rsid w:val="0A634F0B"/>
    <w:rsid w:val="0E9E3E1D"/>
    <w:rsid w:val="10433815"/>
    <w:rsid w:val="113D0264"/>
    <w:rsid w:val="13DA4490"/>
    <w:rsid w:val="14AE4653"/>
    <w:rsid w:val="170F61FF"/>
    <w:rsid w:val="18AD2173"/>
    <w:rsid w:val="19B337B9"/>
    <w:rsid w:val="1BF7FFC1"/>
    <w:rsid w:val="1EDD6BE3"/>
    <w:rsid w:val="226D4721"/>
    <w:rsid w:val="2406098A"/>
    <w:rsid w:val="28887BBF"/>
    <w:rsid w:val="29F15C38"/>
    <w:rsid w:val="2A8F792B"/>
    <w:rsid w:val="2B1E480B"/>
    <w:rsid w:val="33765251"/>
    <w:rsid w:val="352F660A"/>
    <w:rsid w:val="36BB7552"/>
    <w:rsid w:val="36BEBA5B"/>
    <w:rsid w:val="38B92017"/>
    <w:rsid w:val="3BC211E2"/>
    <w:rsid w:val="3D566086"/>
    <w:rsid w:val="3DCE0312"/>
    <w:rsid w:val="3FFF1F9C"/>
    <w:rsid w:val="4840005F"/>
    <w:rsid w:val="48CA7928"/>
    <w:rsid w:val="4B117A90"/>
    <w:rsid w:val="52ED0DE3"/>
    <w:rsid w:val="55AC6D33"/>
    <w:rsid w:val="566C7615"/>
    <w:rsid w:val="57750247"/>
    <w:rsid w:val="585711D8"/>
    <w:rsid w:val="59B5148A"/>
    <w:rsid w:val="5F471796"/>
    <w:rsid w:val="64C179D9"/>
    <w:rsid w:val="6B981494"/>
    <w:rsid w:val="6BBD0EFB"/>
    <w:rsid w:val="6BD36970"/>
    <w:rsid w:val="6D656D99"/>
    <w:rsid w:val="6E7774D0"/>
    <w:rsid w:val="6FB1C0FD"/>
    <w:rsid w:val="75D700FD"/>
    <w:rsid w:val="75DF1AD3"/>
    <w:rsid w:val="775E4E9D"/>
    <w:rsid w:val="7A5DD375"/>
    <w:rsid w:val="7B0C506C"/>
    <w:rsid w:val="7CD6D318"/>
    <w:rsid w:val="7CFFEA4E"/>
    <w:rsid w:val="7DAE6302"/>
    <w:rsid w:val="7F791185"/>
    <w:rsid w:val="7FCD7C51"/>
    <w:rsid w:val="7FF92376"/>
    <w:rsid w:val="BF4F5047"/>
    <w:rsid w:val="BFBB0ECA"/>
    <w:rsid w:val="DFE508E4"/>
    <w:rsid w:val="DFF378E5"/>
    <w:rsid w:val="EC7BE638"/>
    <w:rsid w:val="ED5BF16F"/>
    <w:rsid w:val="F3DB9CC0"/>
    <w:rsid w:val="F7CB602D"/>
    <w:rsid w:val="F97FCE2F"/>
    <w:rsid w:val="FBEF693C"/>
    <w:rsid w:val="FBFDAEDD"/>
    <w:rsid w:val="FDBBD5B4"/>
    <w:rsid w:val="FDFF875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keepLines/>
      <w:spacing w:line="408" w:lineRule="auto"/>
      <w:outlineLvl w:val="1"/>
    </w:pPr>
    <w:rPr>
      <w:b/>
      <w:bCs/>
      <w:color w:val="1A1A1A"/>
      <w:sz w:val="32"/>
      <w:szCs w:val="32"/>
    </w:rPr>
  </w:style>
  <w:style w:type="paragraph" w:styleId="5">
    <w:name w:val="heading 3"/>
    <w:basedOn w:val="1"/>
    <w:next w:val="1"/>
    <w:link w:val="59"/>
    <w:qFormat/>
    <w:uiPriority w:val="0"/>
    <w:pPr>
      <w:autoSpaceDE w:val="0"/>
      <w:autoSpaceDN w:val="0"/>
      <w:ind w:left="964" w:hanging="504"/>
      <w:jc w:val="left"/>
      <w:outlineLvl w:val="2"/>
    </w:pPr>
    <w:rPr>
      <w:b/>
      <w:bCs/>
      <w:kern w:val="0"/>
      <w:sz w:val="28"/>
      <w:szCs w:val="28"/>
      <w:lang w:val="zh-CN"/>
    </w:rPr>
  </w:style>
  <w:style w:type="paragraph" w:styleId="6">
    <w:name w:val="heading 4"/>
    <w:basedOn w:val="1"/>
    <w:next w:val="1"/>
    <w:link w:val="56"/>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7">
    <w:name w:val="caption"/>
    <w:basedOn w:val="1"/>
    <w:next w:val="1"/>
    <w:qFormat/>
    <w:uiPriority w:val="35"/>
    <w:pPr>
      <w:spacing w:line="360" w:lineRule="auto"/>
      <w:ind w:firstLine="200" w:firstLineChars="200"/>
      <w:jc w:val="center"/>
    </w:pPr>
    <w:rPr>
      <w:rFonts w:ascii="Cambria" w:hAnsi="Cambria" w:cs="宋体"/>
      <w:b/>
      <w:szCs w:val="28"/>
    </w:rPr>
  </w:style>
  <w:style w:type="paragraph" w:styleId="8">
    <w:name w:val="annotation text"/>
    <w:basedOn w:val="1"/>
    <w:link w:val="38"/>
    <w:qFormat/>
    <w:uiPriority w:val="0"/>
    <w:pPr>
      <w:jc w:val="left"/>
    </w:pPr>
  </w:style>
  <w:style w:type="paragraph" w:styleId="9">
    <w:name w:val="Body Text"/>
    <w:basedOn w:val="1"/>
    <w:link w:val="40"/>
    <w:qFormat/>
    <w:uiPriority w:val="1"/>
    <w:pPr>
      <w:autoSpaceDE w:val="0"/>
      <w:autoSpaceDN w:val="0"/>
      <w:ind w:left="840" w:hanging="361"/>
      <w:jc w:val="left"/>
    </w:pPr>
    <w:rPr>
      <w:kern w:val="0"/>
      <w:sz w:val="24"/>
      <w:lang w:val="zh-CN"/>
    </w:rPr>
  </w:style>
  <w:style w:type="paragraph" w:styleId="10">
    <w:name w:val="Date"/>
    <w:basedOn w:val="1"/>
    <w:next w:val="1"/>
    <w:link w:val="61"/>
    <w:qFormat/>
    <w:uiPriority w:val="0"/>
    <w:pPr>
      <w:ind w:left="100" w:leftChars="2500"/>
    </w:pPr>
  </w:style>
  <w:style w:type="paragraph" w:styleId="11">
    <w:name w:val="Balloon Text"/>
    <w:basedOn w:val="1"/>
    <w:link w:val="44"/>
    <w:qFormat/>
    <w:uiPriority w:val="0"/>
    <w:rPr>
      <w:sz w:val="18"/>
      <w:szCs w:val="18"/>
    </w:rPr>
  </w:style>
  <w:style w:type="paragraph" w:styleId="12">
    <w:name w:val="footer"/>
    <w:basedOn w:val="1"/>
    <w:link w:val="45"/>
    <w:qFormat/>
    <w:uiPriority w:val="99"/>
    <w:pPr>
      <w:tabs>
        <w:tab w:val="center" w:pos="4153"/>
        <w:tab w:val="right" w:pos="8306"/>
      </w:tabs>
      <w:jc w:val="left"/>
    </w:pPr>
    <w:rPr>
      <w:sz w:val="18"/>
      <w:szCs w:val="18"/>
    </w:rPr>
  </w:style>
  <w:style w:type="paragraph" w:styleId="13">
    <w:name w:val="header"/>
    <w:basedOn w:val="1"/>
    <w:link w:val="50"/>
    <w:qFormat/>
    <w:uiPriority w:val="99"/>
    <w:pPr>
      <w:pBdr>
        <w:bottom w:val="single" w:color="000000" w:sz="6" w:space="1"/>
      </w:pBdr>
      <w:tabs>
        <w:tab w:val="center" w:pos="4153"/>
        <w:tab w:val="right" w:pos="8306"/>
      </w:tabs>
      <w:jc w:val="center"/>
    </w:pPr>
    <w:rPr>
      <w:sz w:val="18"/>
      <w:szCs w:val="18"/>
    </w:rPr>
  </w:style>
  <w:style w:type="paragraph" w:styleId="14">
    <w:name w:val="footnote text"/>
    <w:basedOn w:val="1"/>
    <w:unhideWhenUsed/>
    <w:qFormat/>
    <w:uiPriority w:val="0"/>
    <w:pPr>
      <w:jc w:val="left"/>
    </w:pPr>
    <w:rPr>
      <w:sz w:val="18"/>
    </w:rPr>
  </w:style>
  <w:style w:type="paragraph" w:styleId="15">
    <w:name w:val="Normal (Web)"/>
    <w:basedOn w:val="1"/>
    <w:qFormat/>
    <w:uiPriority w:val="99"/>
    <w:pPr>
      <w:spacing w:before="42" w:after="42"/>
      <w:jc w:val="left"/>
    </w:pPr>
    <w:rPr>
      <w:kern w:val="0"/>
      <w:sz w:val="24"/>
    </w:rPr>
  </w:style>
  <w:style w:type="paragraph" w:styleId="16">
    <w:name w:val="annotation subject"/>
    <w:basedOn w:val="8"/>
    <w:next w:val="8"/>
    <w:link w:val="60"/>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character" w:styleId="21">
    <w:name w:val="page number"/>
    <w:qFormat/>
    <w:uiPriority w:val="0"/>
  </w:style>
  <w:style w:type="character" w:styleId="22">
    <w:name w:val="FollowedHyperlink"/>
    <w:qFormat/>
    <w:uiPriority w:val="0"/>
    <w:rPr>
      <w:color w:val="337AB7"/>
      <w:u w:val="none"/>
    </w:rPr>
  </w:style>
  <w:style w:type="character" w:styleId="23">
    <w:name w:val="line number"/>
    <w:qFormat/>
    <w:uiPriority w:val="0"/>
  </w:style>
  <w:style w:type="character" w:styleId="24">
    <w:name w:val="HTML Definition"/>
    <w:qFormat/>
    <w:uiPriority w:val="0"/>
    <w:rPr>
      <w:i/>
    </w:rPr>
  </w:style>
  <w:style w:type="character" w:styleId="25">
    <w:name w:val="Hyperlink"/>
    <w:qFormat/>
    <w:uiPriority w:val="0"/>
    <w:rPr>
      <w:color w:val="337AB7"/>
      <w:u w:val="none"/>
    </w:rPr>
  </w:style>
  <w:style w:type="character" w:styleId="26">
    <w:name w:val="HTML Code"/>
    <w:qFormat/>
    <w:uiPriority w:val="0"/>
    <w:rPr>
      <w:rFonts w:ascii="Consolas" w:hAnsi="Consolas" w:eastAsia="Consolas" w:cs="Consolas"/>
      <w:color w:val="C7254E"/>
      <w:sz w:val="21"/>
      <w:szCs w:val="21"/>
      <w:shd w:val="clear" w:color="auto" w:fill="F9F2F4"/>
    </w:rPr>
  </w:style>
  <w:style w:type="character" w:styleId="27">
    <w:name w:val="annotation reference"/>
    <w:qFormat/>
    <w:uiPriority w:val="0"/>
    <w:rPr>
      <w:sz w:val="21"/>
      <w:szCs w:val="21"/>
    </w:rPr>
  </w:style>
  <w:style w:type="character" w:styleId="28">
    <w:name w:val="footnote reference"/>
    <w:unhideWhenUsed/>
    <w:qFormat/>
    <w:uiPriority w:val="0"/>
    <w:rPr>
      <w:vertAlign w:val="superscript"/>
    </w:rPr>
  </w:style>
  <w:style w:type="character" w:styleId="29">
    <w:name w:val="HTML Keyboard"/>
    <w:qFormat/>
    <w:uiPriority w:val="0"/>
    <w:rPr>
      <w:rFonts w:ascii="Consolas" w:hAnsi="Consolas" w:eastAsia="Consolas" w:cs="Consolas"/>
      <w:color w:val="FFFFFF"/>
      <w:sz w:val="21"/>
      <w:szCs w:val="21"/>
      <w:shd w:val="clear" w:color="auto" w:fill="333333"/>
    </w:rPr>
  </w:style>
  <w:style w:type="character" w:styleId="30">
    <w:name w:val="HTML Sample"/>
    <w:qFormat/>
    <w:uiPriority w:val="0"/>
    <w:rPr>
      <w:rFonts w:ascii="Consolas" w:hAnsi="Consolas" w:eastAsia="Consolas" w:cs="Consolas"/>
      <w:sz w:val="21"/>
      <w:szCs w:val="21"/>
    </w:rPr>
  </w:style>
  <w:style w:type="paragraph" w:styleId="31">
    <w:name w:val="No Spacing"/>
    <w:qFormat/>
    <w:uiPriority w:val="0"/>
    <w:rPr>
      <w:rFonts w:ascii="Tahoma" w:hAnsi="Tahoma" w:eastAsia="微软雅黑" w:cs="Times New Roman"/>
      <w:sz w:val="22"/>
      <w:szCs w:val="22"/>
      <w:lang w:val="en-US" w:eastAsia="zh-CN" w:bidi="ar-SA"/>
    </w:rPr>
  </w:style>
  <w:style w:type="paragraph" w:customStyle="1" w:styleId="32">
    <w:name w:val="Default"/>
    <w:qFormat/>
    <w:uiPriority w:val="0"/>
    <w:pPr>
      <w:widowControl w:val="0"/>
      <w:autoSpaceDE w:val="0"/>
      <w:autoSpaceDN w:val="0"/>
    </w:pPr>
    <w:rPr>
      <w:rFonts w:ascii="Times New Roman" w:hAnsi="Times New Roman" w:eastAsia="宋体" w:cs="Times New Roman"/>
      <w:color w:val="000000"/>
      <w:sz w:val="24"/>
      <w:szCs w:val="24"/>
      <w:lang w:val="en-US" w:eastAsia="zh-CN" w:bidi="ar-SA"/>
    </w:rPr>
  </w:style>
  <w:style w:type="character" w:customStyle="1" w:styleId="33">
    <w:name w:val="fontstyle21"/>
    <w:qFormat/>
    <w:uiPriority w:val="0"/>
    <w:rPr>
      <w:rFonts w:ascii="ArnoPro-Italic" w:hAnsi="ArnoPro-Italic"/>
      <w:i/>
      <w:iCs/>
      <w:color w:val="231916"/>
      <w:sz w:val="16"/>
      <w:szCs w:val="16"/>
    </w:rPr>
  </w:style>
  <w:style w:type="character" w:customStyle="1" w:styleId="34">
    <w:name w:val="time"/>
    <w:qFormat/>
    <w:uiPriority w:val="0"/>
    <w:rPr>
      <w:b/>
      <w:color w:val="2884CD"/>
    </w:rPr>
  </w:style>
  <w:style w:type="paragraph" w:customStyle="1" w:styleId="35">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Times New Roman" w:cs="Arial Unicode MS"/>
      <w:color w:val="000000"/>
      <w:kern w:val="2"/>
      <w:sz w:val="21"/>
      <w:szCs w:val="21"/>
      <w:lang w:val="en-US" w:eastAsia="zh-CN" w:bidi="ar-SA"/>
    </w:rPr>
  </w:style>
  <w:style w:type="paragraph" w:customStyle="1" w:styleId="36">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37">
    <w:name w:val="彩色列表 - 强调文字颜色 11"/>
    <w:basedOn w:val="1"/>
    <w:qFormat/>
    <w:uiPriority w:val="34"/>
    <w:pPr>
      <w:spacing w:line="360" w:lineRule="auto"/>
      <w:ind w:firstLine="420" w:firstLineChars="200"/>
      <w:jc w:val="left"/>
    </w:pPr>
    <w:rPr>
      <w:sz w:val="24"/>
    </w:rPr>
  </w:style>
  <w:style w:type="character" w:customStyle="1" w:styleId="38">
    <w:name w:val="批注文字 字符"/>
    <w:link w:val="8"/>
    <w:qFormat/>
    <w:uiPriority w:val="0"/>
    <w:rPr>
      <w:kern w:val="2"/>
      <w:sz w:val="21"/>
      <w:szCs w:val="24"/>
    </w:rPr>
  </w:style>
  <w:style w:type="character" w:customStyle="1" w:styleId="39">
    <w:name w:val="shoulihao"/>
    <w:qFormat/>
    <w:uiPriority w:val="0"/>
    <w:rPr>
      <w:b/>
      <w:color w:val="2884CD"/>
    </w:rPr>
  </w:style>
  <w:style w:type="character" w:customStyle="1" w:styleId="40">
    <w:name w:val="正文文本 字符"/>
    <w:link w:val="9"/>
    <w:qFormat/>
    <w:uiPriority w:val="1"/>
    <w:rPr>
      <w:sz w:val="24"/>
      <w:szCs w:val="24"/>
      <w:lang w:val="zh-CN"/>
    </w:rPr>
  </w:style>
  <w:style w:type="character" w:customStyle="1" w:styleId="41">
    <w:name w:val="列出段落 Char"/>
    <w:link w:val="42"/>
    <w:qFormat/>
    <w:uiPriority w:val="34"/>
    <w:rPr>
      <w:rFonts w:eastAsia="仿宋_GB2312"/>
      <w:kern w:val="2"/>
      <w:sz w:val="32"/>
      <w:szCs w:val="32"/>
    </w:rPr>
  </w:style>
  <w:style w:type="paragraph" w:customStyle="1" w:styleId="42">
    <w:name w:val="列出段落1"/>
    <w:basedOn w:val="1"/>
    <w:link w:val="41"/>
    <w:qFormat/>
    <w:uiPriority w:val="34"/>
    <w:pPr>
      <w:ind w:firstLine="420" w:firstLineChars="200"/>
    </w:pPr>
    <w:rPr>
      <w:rFonts w:eastAsia="仿宋_GB2312"/>
      <w:sz w:val="32"/>
      <w:szCs w:val="32"/>
    </w:rPr>
  </w:style>
  <w:style w:type="character" w:customStyle="1" w:styleId="43">
    <w:name w:val="download"/>
    <w:qFormat/>
    <w:uiPriority w:val="0"/>
    <w:rPr>
      <w:color w:val="FFFFFF"/>
      <w:sz w:val="10"/>
      <w:szCs w:val="10"/>
      <w:shd w:val="clear" w:color="auto" w:fill="9EABBE"/>
    </w:rPr>
  </w:style>
  <w:style w:type="character" w:customStyle="1" w:styleId="44">
    <w:name w:val="批注框文本 字符"/>
    <w:link w:val="11"/>
    <w:qFormat/>
    <w:uiPriority w:val="0"/>
    <w:rPr>
      <w:kern w:val="2"/>
      <w:sz w:val="18"/>
      <w:szCs w:val="18"/>
    </w:rPr>
  </w:style>
  <w:style w:type="character" w:customStyle="1" w:styleId="45">
    <w:name w:val="页脚 字符"/>
    <w:link w:val="12"/>
    <w:qFormat/>
    <w:uiPriority w:val="99"/>
    <w:rPr>
      <w:kern w:val="2"/>
      <w:sz w:val="18"/>
      <w:szCs w:val="18"/>
    </w:rPr>
  </w:style>
  <w:style w:type="character" w:customStyle="1" w:styleId="46">
    <w:name w:val="help2"/>
    <w:qFormat/>
    <w:uiPriority w:val="0"/>
    <w:rPr>
      <w:sz w:val="8"/>
      <w:szCs w:val="8"/>
    </w:rPr>
  </w:style>
  <w:style w:type="character" w:customStyle="1" w:styleId="47">
    <w:name w:val="段 Char"/>
    <w:link w:val="48"/>
    <w:qFormat/>
    <w:uiPriority w:val="0"/>
    <w:rPr>
      <w:rFonts w:ascii="宋体"/>
      <w:sz w:val="21"/>
      <w:lang w:val="en-US" w:eastAsia="zh-CN" w:bidi="ar-SA"/>
    </w:rPr>
  </w:style>
  <w:style w:type="paragraph" w:customStyle="1" w:styleId="48">
    <w:name w:val="段"/>
    <w:link w:val="4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9">
    <w:name w:val="字母编号列项（一级）"/>
    <w:qFormat/>
    <w:uiPriority w:val="0"/>
    <w:pPr>
      <w:ind w:left="840" w:leftChars="200" w:hanging="420" w:hangingChars="1"/>
      <w:jc w:val="both"/>
    </w:pPr>
    <w:rPr>
      <w:rFonts w:ascii="宋体" w:hAnsi="Times New Roman" w:eastAsia="宋体" w:cs="宋体"/>
      <w:lang w:val="en-US" w:eastAsia="zh-CN" w:bidi="ar-SA"/>
    </w:rPr>
  </w:style>
  <w:style w:type="character" w:customStyle="1" w:styleId="50">
    <w:name w:val="页眉 字符"/>
    <w:link w:val="13"/>
    <w:qFormat/>
    <w:uiPriority w:val="99"/>
    <w:rPr>
      <w:kern w:val="2"/>
      <w:sz w:val="18"/>
      <w:szCs w:val="18"/>
    </w:rPr>
  </w:style>
  <w:style w:type="character" w:customStyle="1" w:styleId="51">
    <w:name w:val="标题 1 字符"/>
    <w:link w:val="3"/>
    <w:qFormat/>
    <w:uiPriority w:val="0"/>
    <w:rPr>
      <w:b/>
      <w:bCs/>
      <w:kern w:val="44"/>
      <w:sz w:val="44"/>
      <w:szCs w:val="44"/>
    </w:rPr>
  </w:style>
  <w:style w:type="paragraph" w:customStyle="1" w:styleId="52">
    <w:name w:val="列表段落1"/>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character" w:customStyle="1" w:styleId="53">
    <w:name w:val="fontstyle01"/>
    <w:qFormat/>
    <w:uiPriority w:val="0"/>
    <w:rPr>
      <w:rFonts w:ascii="ArnoPro-Regular" w:hAnsi="ArnoPro-Regular"/>
      <w:color w:val="231916"/>
      <w:sz w:val="16"/>
      <w:szCs w:val="16"/>
    </w:rPr>
  </w:style>
  <w:style w:type="paragraph" w:customStyle="1" w:styleId="54">
    <w:name w:val="正首悬"/>
    <w:basedOn w:val="1"/>
    <w:qFormat/>
    <w:uiPriority w:val="0"/>
    <w:pPr>
      <w:widowControl/>
      <w:spacing w:line="360" w:lineRule="auto"/>
      <w:ind w:left="300" w:leftChars="200" w:right="200" w:rightChars="200" w:hanging="100" w:hangingChars="1"/>
    </w:pPr>
    <w:rPr>
      <w:rFonts w:ascii="Arial" w:hAnsi="Arial"/>
      <w:kern w:val="0"/>
      <w:szCs w:val="72"/>
    </w:rPr>
  </w:style>
  <w:style w:type="character" w:customStyle="1" w:styleId="55">
    <w:name w:val="help"/>
    <w:qFormat/>
    <w:uiPriority w:val="0"/>
    <w:rPr>
      <w:color w:val="F44336"/>
    </w:rPr>
  </w:style>
  <w:style w:type="character" w:customStyle="1" w:styleId="56">
    <w:name w:val="标题 4 字符"/>
    <w:link w:val="6"/>
    <w:qFormat/>
    <w:uiPriority w:val="0"/>
    <w:rPr>
      <w:rFonts w:ascii="等线 Light" w:hAnsi="等线 Light" w:eastAsia="等线 Light" w:cs="Times New Roman"/>
      <w:b/>
      <w:bCs/>
      <w:kern w:val="2"/>
      <w:sz w:val="28"/>
      <w:szCs w:val="28"/>
    </w:rPr>
  </w:style>
  <w:style w:type="character" w:customStyle="1" w:styleId="57">
    <w:name w:val="avatar-circle"/>
    <w:qFormat/>
    <w:uiPriority w:val="0"/>
    <w:rPr>
      <w:sz w:val="16"/>
      <w:szCs w:val="16"/>
      <w:bdr w:val="single" w:color="000000" w:sz="2" w:space="0"/>
    </w:rPr>
  </w:style>
  <w:style w:type="character" w:customStyle="1" w:styleId="58">
    <w:name w:val="help1"/>
    <w:qFormat/>
    <w:uiPriority w:val="0"/>
    <w:rPr>
      <w:color w:val="F44336"/>
    </w:rPr>
  </w:style>
  <w:style w:type="character" w:customStyle="1" w:styleId="59">
    <w:name w:val="标题 3 字符"/>
    <w:link w:val="5"/>
    <w:qFormat/>
    <w:uiPriority w:val="0"/>
    <w:rPr>
      <w:b/>
      <w:bCs/>
      <w:sz w:val="28"/>
      <w:szCs w:val="28"/>
      <w:lang w:val="zh-CN"/>
    </w:rPr>
  </w:style>
  <w:style w:type="character" w:customStyle="1" w:styleId="60">
    <w:name w:val="批注主题 字符"/>
    <w:link w:val="16"/>
    <w:qFormat/>
    <w:uiPriority w:val="0"/>
    <w:rPr>
      <w:b/>
      <w:bCs/>
      <w:kern w:val="2"/>
      <w:sz w:val="21"/>
      <w:szCs w:val="24"/>
    </w:rPr>
  </w:style>
  <w:style w:type="character" w:customStyle="1" w:styleId="61">
    <w:name w:val="日期 字符"/>
    <w:link w:val="10"/>
    <w:qFormat/>
    <w:uiPriority w:val="0"/>
    <w:rPr>
      <w:kern w:val="2"/>
      <w:sz w:val="21"/>
      <w:szCs w:val="24"/>
    </w:rPr>
  </w:style>
  <w:style w:type="character" w:customStyle="1" w:styleId="62">
    <w:name w:val="f101"/>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22</Pages>
  <Words>9231</Words>
  <Characters>9761</Characters>
  <Lines>70</Lines>
  <Paragraphs>19</Paragraphs>
  <TotalTime>1</TotalTime>
  <ScaleCrop>false</ScaleCrop>
  <LinksUpToDate>false</LinksUpToDate>
  <CharactersWithSpaces>9840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2025-09-15T13:45:00Z</dcterms:created>
  <dc:creator>kylin</dc:creator>
  <cp:lastModifiedBy>user001</cp:lastModifiedBy>
  <dcterms:modified xsi:type="dcterms:W3CDTF">2026-01-21T12:06:45Z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eyJoZGlkIjoiZWM2MzA2MzY4OTJlN2Q2YjZkMWMwOTVkMTdlZTcwNDQiLCJ1c2VySWQiOiIyMzUwMTM2ODkifQ==</vt:lpwstr>
  </property>
  <property fmtid="{D5CDD505-2E9C-101B-9397-08002B2CF9AE}" pid="4" name="ICV">
    <vt:lpwstr>6A2C21312A6445209677A62820F84EE7_12</vt:lpwstr>
  </property>
</Properties>
</file>