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BE9CF" w:themeColor="background1"/>
  <w:body>
    <w:p w14:paraId="535871B1">
      <w:pPr>
        <w:spacing w:line="640" w:lineRule="exact"/>
        <w:jc w:val="center"/>
        <w:rPr>
          <w:rFonts w:eastAsia="方正小标宋简体"/>
          <w:color w:val="000000" w:themeColor="text1"/>
          <w:sz w:val="44"/>
          <w:szCs w:val="44"/>
          <w:highlight w:val="none"/>
          <w14:textFill>
            <w14:solidFill>
              <w14:schemeClr w14:val="tx1"/>
            </w14:solidFill>
          </w14:textFill>
        </w:rPr>
      </w:pPr>
      <w:r>
        <w:rPr>
          <w:rFonts w:hint="eastAsia" w:eastAsia="方正小标宋简体"/>
          <w:color w:val="000000" w:themeColor="text1"/>
          <w:sz w:val="44"/>
          <w:szCs w:val="44"/>
          <w:highlight w:val="none"/>
          <w14:textFill>
            <w14:solidFill>
              <w14:schemeClr w14:val="tx1"/>
            </w14:solidFill>
          </w14:textFill>
        </w:rPr>
        <w:t>医用</w:t>
      </w:r>
      <w:r>
        <w:rPr>
          <w:rFonts w:hint="eastAsia" w:eastAsia="方正小标宋简体"/>
          <w:color w:val="000000" w:themeColor="text1"/>
          <w:sz w:val="44"/>
          <w:szCs w:val="44"/>
          <w:highlight w:val="none"/>
          <w:lang w:eastAsia="zh-CN"/>
          <w14:textFill>
            <w14:solidFill>
              <w14:schemeClr w14:val="tx1"/>
            </w14:solidFill>
          </w14:textFill>
        </w:rPr>
        <w:t>电子体</w:t>
      </w:r>
      <w:r>
        <w:rPr>
          <w:rFonts w:hint="eastAsia" w:eastAsia="方正小标宋简体"/>
          <w:color w:val="000000" w:themeColor="text1"/>
          <w:sz w:val="44"/>
          <w:szCs w:val="44"/>
          <w:highlight w:val="none"/>
          <w14:textFill>
            <w14:solidFill>
              <w14:schemeClr w14:val="tx1"/>
            </w14:solidFill>
          </w14:textFill>
        </w:rPr>
        <w:t>温计注册审查指导原则</w:t>
      </w:r>
    </w:p>
    <w:p w14:paraId="2C6213EE">
      <w:pPr>
        <w:spacing w:line="640" w:lineRule="exact"/>
        <w:jc w:val="center"/>
        <w:rPr>
          <w:rFonts w:hint="eastAsia" w:eastAsia="方正小标宋简体"/>
          <w:color w:val="000000" w:themeColor="text1"/>
          <w:sz w:val="44"/>
          <w:szCs w:val="44"/>
          <w:highlight w:val="none"/>
          <w:lang w:eastAsia="zh-CN"/>
          <w14:textFill>
            <w14:solidFill>
              <w14:schemeClr w14:val="tx1"/>
            </w14:solidFill>
          </w14:textFill>
        </w:rPr>
      </w:pPr>
      <w:r>
        <w:rPr>
          <w:rFonts w:hint="eastAsia" w:eastAsia="方正小标宋简体"/>
          <w:color w:val="000000" w:themeColor="text1"/>
          <w:sz w:val="44"/>
          <w:szCs w:val="44"/>
          <w:highlight w:val="none"/>
          <w:lang w:eastAsia="zh-CN"/>
          <w14:textFill>
            <w14:solidFill>
              <w14:schemeClr w14:val="tx1"/>
            </w14:solidFill>
          </w14:textFill>
        </w:rPr>
        <w:t>（</w:t>
      </w:r>
      <w:r>
        <w:rPr>
          <w:rFonts w:hint="eastAsia" w:eastAsia="方正小标宋简体"/>
          <w:color w:val="000000" w:themeColor="text1"/>
          <w:sz w:val="44"/>
          <w:szCs w:val="44"/>
          <w:highlight w:val="none"/>
          <w:lang w:val="en-US" w:eastAsia="zh-CN"/>
          <w14:textFill>
            <w14:solidFill>
              <w14:schemeClr w14:val="tx1"/>
            </w14:solidFill>
          </w14:textFill>
        </w:rPr>
        <w:t>2025年修订版</w:t>
      </w:r>
      <w:r>
        <w:rPr>
          <w:rFonts w:hint="eastAsia" w:eastAsia="方正小标宋简体"/>
          <w:color w:val="000000" w:themeColor="text1"/>
          <w:sz w:val="44"/>
          <w:szCs w:val="44"/>
          <w:highlight w:val="none"/>
          <w:lang w:eastAsia="zh-CN"/>
          <w14:textFill>
            <w14:solidFill>
              <w14:schemeClr w14:val="tx1"/>
            </w14:solidFill>
          </w14:textFill>
        </w:rPr>
        <w:t>）</w:t>
      </w:r>
    </w:p>
    <w:p w14:paraId="124F6654">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本指导原则旨在指导和规范注册申请人对</w:t>
      </w:r>
      <w:r>
        <w:rPr>
          <w:rFonts w:hint="eastAsia" w:eastAsia="仿宋_GB2312"/>
          <w:color w:val="000000" w:themeColor="text1"/>
          <w:sz w:val="32"/>
          <w:szCs w:val="32"/>
          <w:highlight w:val="none"/>
          <w:lang w:eastAsia="zh-CN"/>
          <w14:textFill>
            <w14:solidFill>
              <w14:schemeClr w14:val="tx1"/>
            </w14:solidFill>
          </w14:textFill>
        </w:rPr>
        <w:t>医用电子体温计</w:t>
      </w:r>
      <w:r>
        <w:rPr>
          <w:rFonts w:eastAsia="仿宋_GB2312"/>
          <w:color w:val="000000" w:themeColor="text1"/>
          <w:sz w:val="32"/>
          <w:szCs w:val="32"/>
          <w:highlight w:val="none"/>
          <w14:textFill>
            <w14:solidFill>
              <w14:schemeClr w14:val="tx1"/>
            </w14:solidFill>
          </w14:textFill>
        </w:rPr>
        <w:t>产品的注册申报资料的准备及撰写，同时有助于审评机构对该类产品科学规范的审评，提高审评工作的质量和效率。</w:t>
      </w:r>
    </w:p>
    <w:p w14:paraId="497DB73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本指导原则是对</w:t>
      </w:r>
      <w:r>
        <w:rPr>
          <w:rFonts w:hint="eastAsia" w:eastAsia="仿宋_GB2312"/>
          <w:color w:val="000000" w:themeColor="text1"/>
          <w:sz w:val="32"/>
          <w:szCs w:val="32"/>
          <w:highlight w:val="none"/>
          <w:lang w:eastAsia="zh-CN"/>
          <w14:textFill>
            <w14:solidFill>
              <w14:schemeClr w14:val="tx1"/>
            </w14:solidFill>
          </w14:textFill>
        </w:rPr>
        <w:t>医用电子体温计</w:t>
      </w:r>
      <w:r>
        <w:rPr>
          <w:rFonts w:eastAsia="仿宋_GB2312"/>
          <w:color w:val="000000" w:themeColor="text1"/>
          <w:sz w:val="32"/>
          <w:szCs w:val="32"/>
          <w:highlight w:val="none"/>
          <w14:textFill>
            <w14:solidFill>
              <w14:schemeClr w14:val="tx1"/>
            </w14:solidFill>
          </w14:textFill>
        </w:rPr>
        <w:t>产品的一般要求，注册申请人应依据产品的具体特性确定相关内容是否适用，若不适用，需具体阐述理由及相应的科学依据，并依据产品的具体特性对注册申报资料的内容进行充实和细化。</w:t>
      </w:r>
    </w:p>
    <w:p w14:paraId="064DFE21">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本指导原则是对注册申请人和</w:t>
      </w:r>
      <w:r>
        <w:rPr>
          <w:rFonts w:hint="eastAsia" w:eastAsia="仿宋_GB2312"/>
          <w:color w:val="000000" w:themeColor="text1"/>
          <w:sz w:val="32"/>
          <w:szCs w:val="32"/>
          <w:highlight w:val="none"/>
          <w14:textFill>
            <w14:solidFill>
              <w14:schemeClr w14:val="tx1"/>
            </w14:solidFill>
          </w14:textFill>
        </w:rPr>
        <w:t>技术审评</w:t>
      </w:r>
      <w:r>
        <w:rPr>
          <w:rFonts w:eastAsia="仿宋_GB2312"/>
          <w:color w:val="000000" w:themeColor="text1"/>
          <w:sz w:val="32"/>
          <w:szCs w:val="32"/>
          <w:highlight w:val="none"/>
          <w14:textFill>
            <w14:solidFill>
              <w14:schemeClr w14:val="tx1"/>
            </w14:solidFill>
          </w14:textFill>
        </w:rPr>
        <w:t>人员的指导性文件，但不包括注册审批等行政事项，亦不作为法规强制执行，应在遵循相关法规的前提下使用本指导原则。如果有能够满足相关法规要求的其它方法也可以采用，但是需要提供详细的研究资料和验证资料。</w:t>
      </w:r>
    </w:p>
    <w:p w14:paraId="55CFD2EF">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本指导原则是在现行法规和标准体系以及当前认知水平下制定的，随着法规和标准体系的不断完善，以及科学技术的不断发展，本指导原则相关内容也将适时进行调整。</w:t>
      </w:r>
    </w:p>
    <w:p w14:paraId="0DB32D95">
      <w:pPr>
        <w:spacing w:line="520" w:lineRule="exact"/>
        <w:ind w:firstLine="640" w:firstLineChars="200"/>
        <w:outlineLvl w:val="0"/>
        <w:rPr>
          <w:rFonts w:eastAsia="黑体"/>
          <w:color w:val="000000" w:themeColor="text1"/>
          <w:sz w:val="32"/>
          <w:szCs w:val="32"/>
          <w:highlight w:val="none"/>
          <w14:textFill>
            <w14:solidFill>
              <w14:schemeClr w14:val="tx1"/>
            </w14:solidFill>
          </w14:textFill>
        </w:rPr>
      </w:pPr>
      <w:r>
        <w:rPr>
          <w:rFonts w:eastAsia="黑体"/>
          <w:color w:val="000000" w:themeColor="text1"/>
          <w:sz w:val="32"/>
          <w:szCs w:val="32"/>
          <w:highlight w:val="none"/>
          <w14:textFill>
            <w14:solidFill>
              <w14:schemeClr w14:val="tx1"/>
            </w14:solidFill>
          </w14:textFill>
        </w:rPr>
        <w:t>一、</w:t>
      </w:r>
      <w:bookmarkStart w:id="0" w:name="适用范围修订"/>
      <w:bookmarkEnd w:id="0"/>
      <w:r>
        <w:rPr>
          <w:rFonts w:eastAsia="黑体"/>
          <w:color w:val="000000" w:themeColor="text1"/>
          <w:sz w:val="32"/>
          <w:szCs w:val="32"/>
          <w:highlight w:val="none"/>
          <w14:textFill>
            <w14:solidFill>
              <w14:schemeClr w14:val="tx1"/>
            </w14:solidFill>
          </w14:textFill>
        </w:rPr>
        <w:t>适用范围</w:t>
      </w:r>
    </w:p>
    <w:p w14:paraId="03E5A6C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本指导原则的适用范围为以直接接触方式</w:t>
      </w:r>
      <w:r>
        <w:rPr>
          <w:rFonts w:hint="eastAsia" w:eastAsia="仿宋_GB2312"/>
          <w:color w:val="000000" w:themeColor="text1"/>
          <w:sz w:val="32"/>
          <w:szCs w:val="32"/>
          <w:highlight w:val="none"/>
          <w:lang w:eastAsia="zh-CN"/>
          <w14:textFill>
            <w14:solidFill>
              <w14:schemeClr w14:val="tx1"/>
            </w14:solidFill>
          </w14:textFill>
        </w:rPr>
        <w:t>测量</w:t>
      </w:r>
      <w:r>
        <w:rPr>
          <w:rFonts w:eastAsia="仿宋_GB2312"/>
          <w:color w:val="000000" w:themeColor="text1"/>
          <w:sz w:val="32"/>
          <w:szCs w:val="32"/>
          <w:highlight w:val="none"/>
          <w14:textFill>
            <w14:solidFill>
              <w14:schemeClr w14:val="tx1"/>
            </w14:solidFill>
          </w14:textFill>
        </w:rPr>
        <w:t>人体被测部位体温的医用电子体温计类产品，</w:t>
      </w:r>
      <w:r>
        <w:rPr>
          <w:rFonts w:eastAsia="仿宋_GB2312"/>
          <w:color w:val="000000" w:themeColor="text1"/>
          <w:sz w:val="32"/>
          <w:szCs w:val="32"/>
          <w:highlight w:val="none"/>
          <w14:textFill>
            <w14:solidFill>
              <w14:schemeClr w14:val="tx1"/>
            </w14:solidFill>
          </w14:textFill>
        </w:rPr>
        <w:t>测量部位</w:t>
      </w:r>
      <w:r>
        <w:rPr>
          <w:rFonts w:hint="eastAsia" w:eastAsia="仿宋_GB2312"/>
          <w:color w:val="000000" w:themeColor="text1"/>
          <w:sz w:val="32"/>
          <w:szCs w:val="32"/>
          <w:highlight w:val="none"/>
          <w:lang w:eastAsia="zh-CN"/>
          <w14:textFill>
            <w14:solidFill>
              <w14:schemeClr w14:val="tx1"/>
            </w14:solidFill>
          </w14:textFill>
        </w:rPr>
        <w:t>通常</w:t>
      </w:r>
      <w:r>
        <w:rPr>
          <w:rFonts w:eastAsia="仿宋_GB2312"/>
          <w:color w:val="000000" w:themeColor="text1"/>
          <w:sz w:val="32"/>
          <w:szCs w:val="32"/>
          <w:highlight w:val="none"/>
          <w14:textFill>
            <w14:solidFill>
              <w14:schemeClr w14:val="tx1"/>
            </w14:solidFill>
          </w14:textFill>
        </w:rPr>
        <w:t>包括</w:t>
      </w:r>
      <w:r>
        <w:rPr>
          <w:rFonts w:hint="eastAsia" w:eastAsia="仿宋_GB2312"/>
          <w:color w:val="000000" w:themeColor="text1"/>
          <w:sz w:val="32"/>
          <w:szCs w:val="32"/>
          <w:highlight w:val="none"/>
          <w14:textFill>
            <w14:solidFill>
              <w14:schemeClr w14:val="tx1"/>
            </w14:solidFill>
          </w14:textFill>
        </w:rPr>
        <w:t>人体的口腔、腋下、肛门、额头</w:t>
      </w:r>
      <w:r>
        <w:rPr>
          <w:rFonts w:eastAsia="仿宋_GB2312"/>
          <w:color w:val="000000" w:themeColor="text1"/>
          <w:sz w:val="32"/>
          <w:szCs w:val="32"/>
          <w:highlight w:val="none"/>
          <w14:textFill>
            <w14:solidFill>
              <w14:schemeClr w14:val="tx1"/>
            </w14:solidFill>
          </w14:textFill>
        </w:rPr>
        <w:t>。</w:t>
      </w:r>
    </w:p>
    <w:p w14:paraId="0FCD2D0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本指导原则范围不包含红外体温计等间接测量法体温计、</w:t>
      </w:r>
      <w:r>
        <w:rPr>
          <w:rFonts w:hint="eastAsia" w:eastAsia="仿宋_GB2312"/>
          <w:color w:val="000000" w:themeColor="text1"/>
          <w:sz w:val="32"/>
          <w:szCs w:val="32"/>
          <w:highlight w:val="none"/>
          <w:lang w:eastAsia="zh-CN"/>
          <w14:textFill>
            <w14:solidFill>
              <w14:schemeClr w14:val="tx1"/>
            </w14:solidFill>
          </w14:textFill>
        </w:rPr>
        <w:t>温度变化引起材料的化学或物理变化的直接接触方式测量体温的临床用变色体温计</w:t>
      </w:r>
      <w:r>
        <w:rPr>
          <w:rFonts w:eastAsia="仿宋_GB2312"/>
          <w:color w:val="000000" w:themeColor="text1"/>
          <w:sz w:val="32"/>
          <w:szCs w:val="32"/>
          <w:highlight w:val="none"/>
          <w14:textFill>
            <w14:solidFill>
              <w14:schemeClr w14:val="tx1"/>
            </w14:solidFill>
          </w14:textFill>
        </w:rPr>
        <w:t>及带有</w:t>
      </w:r>
      <w:r>
        <w:rPr>
          <w:rFonts w:eastAsia="仿宋_GB2312"/>
          <w:color w:val="000000" w:themeColor="text1"/>
          <w:sz w:val="32"/>
          <w:szCs w:val="32"/>
          <w:highlight w:val="none"/>
          <w14:textFill>
            <w14:solidFill>
              <w14:schemeClr w14:val="tx1"/>
            </w14:solidFill>
          </w14:textFill>
        </w:rPr>
        <w:t>体温测量</w:t>
      </w:r>
      <w:r>
        <w:rPr>
          <w:rFonts w:eastAsia="仿宋_GB2312"/>
          <w:color w:val="000000" w:themeColor="text1"/>
          <w:sz w:val="32"/>
          <w:szCs w:val="32"/>
          <w:highlight w:val="none"/>
          <w14:textFill>
            <w14:solidFill>
              <w14:schemeClr w14:val="tx1"/>
            </w14:solidFill>
          </w14:textFill>
        </w:rPr>
        <w:t>功能（仅辅助功能）的其他设备，但在审查这些设备时也可参考本原则部分内容。</w:t>
      </w:r>
    </w:p>
    <w:p w14:paraId="319E9DBE">
      <w:pPr>
        <w:widowControl/>
        <w:spacing w:line="520" w:lineRule="exact"/>
        <w:ind w:firstLine="640" w:firstLineChars="200"/>
        <w:outlineLvl w:val="0"/>
        <w:rPr>
          <w:rFonts w:eastAsia="黑体"/>
          <w:color w:val="000000" w:themeColor="text1"/>
          <w:kern w:val="0"/>
          <w:sz w:val="32"/>
          <w:szCs w:val="32"/>
          <w:highlight w:val="none"/>
          <w14:textFill>
            <w14:solidFill>
              <w14:schemeClr w14:val="tx1"/>
            </w14:solidFill>
          </w14:textFill>
        </w:rPr>
      </w:pPr>
      <w:r>
        <w:rPr>
          <w:rFonts w:eastAsia="黑体"/>
          <w:color w:val="000000" w:themeColor="text1"/>
          <w:kern w:val="0"/>
          <w:sz w:val="32"/>
          <w:szCs w:val="32"/>
          <w:highlight w:val="none"/>
          <w14:textFill>
            <w14:solidFill>
              <w14:schemeClr w14:val="tx1"/>
            </w14:solidFill>
          </w14:textFill>
        </w:rPr>
        <w:t>二、注册审查要点</w:t>
      </w:r>
    </w:p>
    <w:p w14:paraId="1E925A6F">
      <w:pPr>
        <w:widowControl/>
        <w:spacing w:line="520" w:lineRule="exact"/>
        <w:ind w:firstLine="640" w:firstLineChars="200"/>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（一）监管信息</w:t>
      </w:r>
    </w:p>
    <w:p w14:paraId="06C5A072">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1.产品名称</w:t>
      </w:r>
    </w:p>
    <w:p w14:paraId="4399FA5F">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产品命名应符合</w:t>
      </w:r>
      <w:bookmarkStart w:id="1" w:name="_Hlk83937860"/>
      <w:r>
        <w:rPr>
          <w:rFonts w:eastAsia="仿宋_GB2312"/>
          <w:color w:val="000000" w:themeColor="text1"/>
          <w:sz w:val="32"/>
          <w:szCs w:val="32"/>
          <w:highlight w:val="none"/>
          <w14:textFill>
            <w14:solidFill>
              <w14:schemeClr w14:val="tx1"/>
            </w14:solidFill>
          </w14:textFill>
        </w:rPr>
        <w:t>《医疗器械通用名称命名规则》</w:t>
      </w:r>
      <w:bookmarkEnd w:id="1"/>
      <w:r>
        <w:rPr>
          <w:rFonts w:eastAsia="仿宋_GB2312"/>
          <w:color w:val="000000" w:themeColor="text1"/>
          <w:sz w:val="32"/>
          <w:szCs w:val="32"/>
          <w:highlight w:val="none"/>
          <w14:textFill>
            <w14:solidFill>
              <w14:schemeClr w14:val="tx1"/>
            </w14:solidFill>
          </w14:textFill>
        </w:rPr>
        <w:t>、《医用诊察和监护器械通用名称命名指导原则》和国家标准、行业标准中的通用名称要求，如：</w:t>
      </w:r>
      <w:r>
        <w:rPr>
          <w:rFonts w:hint="eastAsia" w:eastAsia="仿宋_GB2312"/>
          <w:color w:val="000000" w:themeColor="text1"/>
          <w:sz w:val="32"/>
          <w:szCs w:val="32"/>
          <w:highlight w:val="none"/>
          <w:lang w:eastAsia="zh-CN"/>
          <w14:textFill>
            <w14:solidFill>
              <w14:schemeClr w14:val="tx1"/>
            </w14:solidFill>
          </w14:textFill>
        </w:rPr>
        <w:t>医用电子体温计</w:t>
      </w:r>
      <w:r>
        <w:rPr>
          <w:rFonts w:eastAsia="仿宋_GB2312"/>
          <w:color w:val="000000" w:themeColor="text1"/>
          <w:sz w:val="32"/>
          <w:szCs w:val="32"/>
          <w:highlight w:val="none"/>
          <w14:textFill>
            <w14:solidFill>
              <w14:schemeClr w14:val="tx1"/>
            </w14:solidFill>
          </w14:textFill>
        </w:rPr>
        <w:t>。</w:t>
      </w:r>
    </w:p>
    <w:p w14:paraId="0CFD7EFE">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产品名称应为通用名，不应包括产品型号、系列。</w:t>
      </w:r>
    </w:p>
    <w:p w14:paraId="3A4C3697">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分类编码</w:t>
      </w:r>
    </w:p>
    <w:p w14:paraId="310780C9">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w:t>
      </w:r>
      <w:r>
        <w:rPr>
          <w:rFonts w:eastAsia="仿宋_GB2312"/>
          <w:color w:val="000000" w:themeColor="text1"/>
          <w:sz w:val="32"/>
          <w:szCs w:val="32"/>
          <w:highlight w:val="none"/>
          <w14:textFill>
            <w14:solidFill>
              <w14:schemeClr w14:val="tx1"/>
            </w14:solidFill>
          </w14:textFill>
        </w:rPr>
        <w:t>在</w:t>
      </w:r>
      <w:bookmarkStart w:id="2" w:name="_Hlk83937842"/>
      <w:r>
        <w:rPr>
          <w:rFonts w:eastAsia="仿宋_GB2312"/>
          <w:color w:val="000000" w:themeColor="text1"/>
          <w:sz w:val="32"/>
          <w:szCs w:val="32"/>
          <w:highlight w:val="none"/>
          <w14:textFill>
            <w14:solidFill>
              <w14:schemeClr w14:val="tx1"/>
            </w14:solidFill>
          </w14:textFill>
        </w:rPr>
        <w:t>《医疗器械分类目录》</w:t>
      </w:r>
      <w:bookmarkEnd w:id="2"/>
      <w:r>
        <w:rPr>
          <w:rFonts w:eastAsia="仿宋_GB2312"/>
          <w:color w:val="000000" w:themeColor="text1"/>
          <w:sz w:val="32"/>
          <w:szCs w:val="32"/>
          <w:highlight w:val="none"/>
          <w14:textFill>
            <w14:solidFill>
              <w14:schemeClr w14:val="tx1"/>
            </w14:solidFill>
          </w14:textFill>
        </w:rPr>
        <w:t>中，管理类别为第II类，产品分类编码为07-03-04。</w:t>
      </w:r>
    </w:p>
    <w:p w14:paraId="1D17EC78">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注册单元划分的原则</w:t>
      </w:r>
    </w:p>
    <w:p w14:paraId="0B55118A">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申报产品注册单元的划分应符合《医疗器械注册单元划分指导原则》的要求。</w:t>
      </w:r>
    </w:p>
    <w:p w14:paraId="43DA57A0">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如产品的工作原理相同，其结构组成、性能指标和适用范围符合以上描述的电子体温计产品，原则上可作为同一注册单元。产品技术结构、性能指标存在差异的可作为不同型号，</w:t>
      </w:r>
      <w:r>
        <w:rPr>
          <w:rFonts w:eastAsia="仿宋_GB2312"/>
          <w:color w:val="000000" w:themeColor="text1"/>
          <w:sz w:val="32"/>
          <w:szCs w:val="32"/>
          <w:highlight w:val="none"/>
          <w14:textFill>
            <w14:solidFill>
              <w14:schemeClr w14:val="tx1"/>
            </w14:solidFill>
          </w14:textFill>
        </w:rPr>
        <w:t>如：防水型和非防水型</w:t>
      </w:r>
      <w:r>
        <w:rPr>
          <w:rFonts w:hint="eastAsia" w:eastAsia="仿宋_GB2312"/>
          <w:color w:val="000000" w:themeColor="text1"/>
          <w:sz w:val="32"/>
          <w:szCs w:val="32"/>
          <w:highlight w:val="none"/>
          <w:lang w:eastAsia="zh-CN"/>
          <w14:textFill>
            <w14:solidFill>
              <w14:schemeClr w14:val="tx1"/>
            </w14:solidFill>
          </w14:textFill>
        </w:rPr>
        <w:t>应划分为不同的注册单元</w:t>
      </w:r>
      <w:r>
        <w:rPr>
          <w:rFonts w:eastAsia="仿宋_GB2312"/>
          <w:color w:val="000000" w:themeColor="text1"/>
          <w:sz w:val="32"/>
          <w:szCs w:val="32"/>
          <w:highlight w:val="none"/>
          <w14:textFill>
            <w14:solidFill>
              <w14:schemeClr w14:val="tx1"/>
            </w14:solidFill>
          </w14:textFill>
        </w:rPr>
        <w:t>。</w:t>
      </w:r>
    </w:p>
    <w:p w14:paraId="5FD626DF">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不同测量部位的产品可作为同一注册单元，但应作为不同型号，并应在型号规格描述中明确相应的测量部位。</w:t>
      </w:r>
    </w:p>
    <w:p w14:paraId="7F29C5CB">
      <w:pPr>
        <w:widowControl/>
        <w:spacing w:line="520" w:lineRule="exact"/>
        <w:ind w:firstLine="566" w:firstLineChars="177"/>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（二）综述资料</w:t>
      </w:r>
    </w:p>
    <w:p w14:paraId="5451903B">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概述</w:t>
      </w:r>
    </w:p>
    <w:p w14:paraId="38BAFB88">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注册申请人（以下简称申请人）需描述申报产品的通用名称及其确定依据、管理类别信息、产品适用范围。若适用，申请人需要提供申报产品的背景信息概述。</w:t>
      </w:r>
    </w:p>
    <w:p w14:paraId="08EAA825">
      <w:pPr>
        <w:spacing w:line="520" w:lineRule="exact"/>
        <w:ind w:firstLine="640" w:firstLineChars="200"/>
        <w:outlineLvl w:val="1"/>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2.产品描述</w:t>
      </w:r>
    </w:p>
    <w:p w14:paraId="69E8DEBD">
      <w:pPr>
        <w:spacing w:line="520" w:lineRule="exact"/>
        <w:ind w:firstLine="640" w:firstLineChars="200"/>
        <w:outlineLvl w:val="1"/>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2.1工作原理</w:t>
      </w:r>
    </w:p>
    <w:p w14:paraId="2B28B8D8">
      <w:pPr>
        <w:spacing w:line="520" w:lineRule="exact"/>
        <w:ind w:firstLine="640" w:firstLineChars="20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申请人需结合临床应用，描述产品工作原理和技术类型，可以从</w:t>
      </w:r>
      <w:r>
        <w:rPr>
          <w:rFonts w:hint="eastAsia" w:eastAsia="仿宋_GB2312"/>
          <w:color w:val="000000" w:themeColor="text1"/>
          <w:sz w:val="32"/>
          <w:szCs w:val="32"/>
          <w:highlight w:val="none"/>
          <w:lang w:eastAsia="zh-CN"/>
          <w14:textFill>
            <w14:solidFill>
              <w14:schemeClr w14:val="tx1"/>
            </w14:solidFill>
          </w14:textFill>
        </w:rPr>
        <w:t>体温测量原理、工作模式</w:t>
      </w:r>
      <w:r>
        <w:rPr>
          <w:rFonts w:hint="eastAsia" w:eastAsia="仿宋_GB2312"/>
          <w:color w:val="000000" w:themeColor="text1"/>
          <w:sz w:val="32"/>
          <w:szCs w:val="32"/>
          <w:highlight w:val="none"/>
          <w14:textFill>
            <w14:solidFill>
              <w14:schemeClr w14:val="tx1"/>
            </w14:solidFill>
          </w14:textFill>
        </w:rPr>
        <w:t>等重要方面进行分析说明，</w:t>
      </w:r>
      <w:r>
        <w:rPr>
          <w:rFonts w:hint="eastAsia" w:eastAsia="仿宋_GB2312"/>
          <w:color w:val="000000" w:themeColor="text1"/>
          <w:sz w:val="32"/>
          <w:szCs w:val="32"/>
          <w:highlight w:val="none"/>
          <w:lang w:eastAsia="zh-CN"/>
          <w14:textFill>
            <w14:solidFill>
              <w14:schemeClr w14:val="tx1"/>
            </w14:solidFill>
          </w14:textFill>
        </w:rPr>
        <w:t>工作模式包括</w:t>
      </w:r>
      <w:r>
        <w:rPr>
          <w:rFonts w:hint="eastAsia" w:eastAsia="仿宋_GB2312"/>
          <w:color w:val="000000" w:themeColor="text1"/>
          <w:sz w:val="32"/>
          <w:szCs w:val="32"/>
          <w:highlight w:val="none"/>
          <w:lang w:eastAsia="zh-CN"/>
          <w14:textFill>
            <w14:solidFill>
              <w14:schemeClr w14:val="tx1"/>
            </w14:solidFill>
          </w14:textFill>
        </w:rPr>
        <w:t>实测模式、预测模式</w:t>
      </w:r>
      <w:r>
        <w:rPr>
          <w:rFonts w:hint="eastAsia" w:eastAsia="仿宋_GB2312"/>
          <w:color w:val="000000" w:themeColor="text1"/>
          <w:sz w:val="32"/>
          <w:szCs w:val="32"/>
          <w:highlight w:val="none"/>
          <w14:textFill>
            <w14:solidFill>
              <w14:schemeClr w14:val="tx1"/>
            </w14:solidFill>
          </w14:textFill>
        </w:rPr>
        <w:t>。</w:t>
      </w:r>
    </w:p>
    <w:p w14:paraId="36D41A80">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医用电子体温计的工作原理一般为：放置在测量部分顶端的热敏电阻作为温度传感装置，当外界被测热源的温度发生改变时，热敏电阻的阻值将随之改变，内部微处理器对测量回路中热敏电阻的阻值变化，进行换算、处理、修正后，将测量温度以数字的形式在显示屏上显示出来，同时蜂鸣音响，测量过程结束。</w:t>
      </w:r>
    </w:p>
    <w:p w14:paraId="3DF5C2CF">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1.实测</w:t>
      </w:r>
      <w:r>
        <w:rPr>
          <w:rFonts w:hint="eastAsia" w:eastAsia="仿宋_GB2312"/>
          <w:color w:val="000000" w:themeColor="text1"/>
          <w:sz w:val="32"/>
          <w:szCs w:val="32"/>
          <w:highlight w:val="none"/>
          <w:lang w:val="en-US" w:eastAsia="zh-CN"/>
          <w14:textFill>
            <w14:solidFill>
              <w14:schemeClr w14:val="tx1"/>
            </w14:solidFill>
          </w14:textFill>
        </w:rPr>
        <w:t>模</w:t>
      </w:r>
      <w:r>
        <w:rPr>
          <w:rFonts w:hint="default" w:eastAsia="仿宋_GB2312"/>
          <w:color w:val="000000" w:themeColor="text1"/>
          <w:sz w:val="32"/>
          <w:szCs w:val="32"/>
          <w:highlight w:val="none"/>
          <w:lang w:val="en-US" w:eastAsia="zh-CN"/>
          <w14:textFill>
            <w14:solidFill>
              <w14:schemeClr w14:val="tx1"/>
            </w14:solidFill>
          </w14:textFill>
        </w:rPr>
        <w:t>式的医用电子体温计原理如下：</w:t>
      </w:r>
    </w:p>
    <w:p w14:paraId="230419F0">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当检出温度在一定值以上时（比如32℃），实测式体温计的测定程序开始，体温计显示实际检测到的温度。当体温计在一定时间内（比如8秒）检测到的温度不再上升时，提示音响起，此时体温计所显示的温度值即为实测的温度。</w:t>
      </w:r>
    </w:p>
    <w:p w14:paraId="19ABCC5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drawing>
          <wp:inline distT="0" distB="0" distL="114300" distR="114300">
            <wp:extent cx="4896485" cy="2180590"/>
            <wp:effectExtent l="0" t="0" r="18415" b="1016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4896485" cy="2180590"/>
                    </a:xfrm>
                    <a:prstGeom prst="rect">
                      <a:avLst/>
                    </a:prstGeom>
                    <a:noFill/>
                    <a:ln>
                      <a:noFill/>
                    </a:ln>
                  </pic:spPr>
                </pic:pic>
              </a:graphicData>
            </a:graphic>
          </wp:inline>
        </w:drawing>
      </w:r>
    </w:p>
    <w:p w14:paraId="4A3745E4">
      <w:pPr>
        <w:spacing w:line="520" w:lineRule="exact"/>
        <w:ind w:firstLine="640" w:firstLineChars="200"/>
        <w:jc w:val="center"/>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图</w:t>
      </w:r>
      <w:r>
        <w:rPr>
          <w:rFonts w:hint="eastAsia" w:eastAsia="仿宋_GB2312"/>
          <w:color w:val="000000" w:themeColor="text1"/>
          <w:sz w:val="32"/>
          <w:szCs w:val="32"/>
          <w:highlight w:val="none"/>
          <w:lang w:val="en-US" w:eastAsia="zh-CN"/>
          <w14:textFill>
            <w14:solidFill>
              <w14:schemeClr w14:val="tx1"/>
            </w14:solidFill>
          </w14:textFill>
        </w:rPr>
        <w:t>1</w:t>
      </w:r>
      <w:r>
        <w:rPr>
          <w:rFonts w:hint="default" w:eastAsia="仿宋_GB2312"/>
          <w:color w:val="000000" w:themeColor="text1"/>
          <w:sz w:val="32"/>
          <w:szCs w:val="32"/>
          <w:highlight w:val="none"/>
          <w:lang w:val="en-US" w:eastAsia="zh-CN"/>
          <w14:textFill>
            <w14:solidFill>
              <w14:schemeClr w14:val="tx1"/>
            </w14:solidFill>
          </w14:textFill>
        </w:rPr>
        <w:t xml:space="preserve"> 实测</w:t>
      </w:r>
      <w:r>
        <w:rPr>
          <w:rFonts w:hint="eastAsia" w:eastAsia="仿宋_GB2312"/>
          <w:color w:val="000000" w:themeColor="text1"/>
          <w:sz w:val="32"/>
          <w:szCs w:val="32"/>
          <w:highlight w:val="none"/>
          <w:lang w:val="en-US" w:eastAsia="zh-CN"/>
          <w14:textFill>
            <w14:solidFill>
              <w14:schemeClr w14:val="tx1"/>
            </w14:solidFill>
          </w14:textFill>
        </w:rPr>
        <w:t>模</w:t>
      </w:r>
      <w:r>
        <w:rPr>
          <w:rFonts w:hint="default" w:eastAsia="仿宋_GB2312"/>
          <w:color w:val="000000" w:themeColor="text1"/>
          <w:sz w:val="32"/>
          <w:szCs w:val="32"/>
          <w:highlight w:val="none"/>
          <w:lang w:val="en-US" w:eastAsia="zh-CN"/>
          <w14:textFill>
            <w14:solidFill>
              <w14:schemeClr w14:val="tx1"/>
            </w14:solidFill>
          </w14:textFill>
        </w:rPr>
        <w:t>式医用电子体温计的温度上升示意图</w:t>
      </w:r>
    </w:p>
    <w:p w14:paraId="7F7A326B">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2.预测</w:t>
      </w:r>
      <w:r>
        <w:rPr>
          <w:rFonts w:hint="eastAsia" w:eastAsia="仿宋_GB2312"/>
          <w:color w:val="000000" w:themeColor="text1"/>
          <w:sz w:val="32"/>
          <w:szCs w:val="32"/>
          <w:highlight w:val="none"/>
          <w:lang w:val="en-US" w:eastAsia="zh-CN"/>
          <w14:textFill>
            <w14:solidFill>
              <w14:schemeClr w14:val="tx1"/>
            </w14:solidFill>
          </w14:textFill>
        </w:rPr>
        <w:t>模</w:t>
      </w:r>
      <w:r>
        <w:rPr>
          <w:rFonts w:hint="default" w:eastAsia="仿宋_GB2312"/>
          <w:color w:val="000000" w:themeColor="text1"/>
          <w:sz w:val="32"/>
          <w:szCs w:val="32"/>
          <w:highlight w:val="none"/>
          <w:lang w:val="en-US" w:eastAsia="zh-CN"/>
          <w14:textFill>
            <w14:solidFill>
              <w14:schemeClr w14:val="tx1"/>
            </w14:solidFill>
          </w14:textFill>
        </w:rPr>
        <w:t>式的医用电子体温计原理如下：</w:t>
      </w:r>
    </w:p>
    <w:p w14:paraId="0BC53EA2">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当检出温度在一定温度以上时（比如30℃），且温度以一定的速率上升时，体温计的测定程序开始工作。之后，体温计继续测温，体温计内部的微机能根据从临床得到的体温上升曲线，预测并演算平衡温度。经过一定时间后，当温度上升趋于稳定，每一单位时间内体温计检出温度的上升速率在规定值以下且预测值稳定，此时预测成功的提示音响起，体温计此时显示的温度即为预测温度。若在预测提示音响后继续测定，温度检测与预测演算也将继续进行，再过一段时间后，体温计开始显示实测温度（即体温计实际测得的最高温度）。当最后检测完成时，提示音响起，此时体温计显示的温度值即为实测的体温。</w:t>
      </w:r>
    </w:p>
    <w:p w14:paraId="6F238A7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drawing>
          <wp:inline distT="0" distB="0" distL="114300" distR="114300">
            <wp:extent cx="4923790" cy="2504440"/>
            <wp:effectExtent l="0" t="0" r="10160" b="1016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4923790" cy="2504440"/>
                    </a:xfrm>
                    <a:prstGeom prst="rect">
                      <a:avLst/>
                    </a:prstGeom>
                    <a:noFill/>
                    <a:ln>
                      <a:noFill/>
                    </a:ln>
                  </pic:spPr>
                </pic:pic>
              </a:graphicData>
            </a:graphic>
          </wp:inline>
        </w:drawing>
      </w:r>
    </w:p>
    <w:p w14:paraId="1CE5C38E">
      <w:pPr>
        <w:spacing w:line="520" w:lineRule="exact"/>
        <w:ind w:firstLine="640" w:firstLineChars="200"/>
        <w:jc w:val="center"/>
        <w:rPr>
          <w:rFonts w:hint="default" w:eastAsia="仿宋_GB2312"/>
          <w:color w:val="000000" w:themeColor="text1"/>
          <w:sz w:val="32"/>
          <w:szCs w:val="32"/>
          <w:highlight w:val="none"/>
          <w:lang w:val="en-US" w:eastAsia="zh-CN"/>
          <w14:textFill>
            <w14:solidFill>
              <w14:schemeClr w14:val="tx1"/>
            </w14:solidFill>
          </w14:textFill>
        </w:rPr>
      </w:pPr>
      <w:r>
        <w:rPr>
          <w:rFonts w:hint="default" w:eastAsia="仿宋_GB2312"/>
          <w:color w:val="000000" w:themeColor="text1"/>
          <w:sz w:val="32"/>
          <w:szCs w:val="32"/>
          <w:highlight w:val="none"/>
          <w:lang w:val="en-US" w:eastAsia="zh-CN"/>
          <w14:textFill>
            <w14:solidFill>
              <w14:schemeClr w14:val="tx1"/>
            </w14:solidFill>
          </w14:textFill>
        </w:rPr>
        <w:t>图</w:t>
      </w:r>
      <w:r>
        <w:rPr>
          <w:rFonts w:hint="eastAsia" w:eastAsia="仿宋_GB2312"/>
          <w:color w:val="000000" w:themeColor="text1"/>
          <w:sz w:val="32"/>
          <w:szCs w:val="32"/>
          <w:highlight w:val="none"/>
          <w:lang w:val="en-US" w:eastAsia="zh-CN"/>
          <w14:textFill>
            <w14:solidFill>
              <w14:schemeClr w14:val="tx1"/>
            </w14:solidFill>
          </w14:textFill>
        </w:rPr>
        <w:t>2</w:t>
      </w:r>
      <w:r>
        <w:rPr>
          <w:rFonts w:hint="default" w:eastAsia="仿宋_GB2312"/>
          <w:color w:val="000000" w:themeColor="text1"/>
          <w:sz w:val="32"/>
          <w:szCs w:val="32"/>
          <w:highlight w:val="none"/>
          <w:lang w:val="en-US" w:eastAsia="zh-CN"/>
          <w14:textFill>
            <w14:solidFill>
              <w14:schemeClr w14:val="tx1"/>
            </w14:solidFill>
          </w14:textFill>
        </w:rPr>
        <w:t xml:space="preserve"> 预测</w:t>
      </w:r>
      <w:r>
        <w:rPr>
          <w:rFonts w:hint="eastAsia" w:eastAsia="仿宋_GB2312"/>
          <w:color w:val="000000" w:themeColor="text1"/>
          <w:sz w:val="32"/>
          <w:szCs w:val="32"/>
          <w:highlight w:val="none"/>
          <w:lang w:val="en-US" w:eastAsia="zh-CN"/>
          <w14:textFill>
            <w14:solidFill>
              <w14:schemeClr w14:val="tx1"/>
            </w14:solidFill>
          </w14:textFill>
        </w:rPr>
        <w:t>模</w:t>
      </w:r>
      <w:r>
        <w:rPr>
          <w:rFonts w:hint="default" w:eastAsia="仿宋_GB2312"/>
          <w:color w:val="000000" w:themeColor="text1"/>
          <w:sz w:val="32"/>
          <w:szCs w:val="32"/>
          <w:highlight w:val="none"/>
          <w:lang w:val="en-US" w:eastAsia="zh-CN"/>
          <w14:textFill>
            <w14:solidFill>
              <w14:schemeClr w14:val="tx1"/>
            </w14:solidFill>
          </w14:textFill>
        </w:rPr>
        <w:t>式医用电子体温计的温度上升示意图</w:t>
      </w:r>
    </w:p>
    <w:p w14:paraId="08ACDE24">
      <w:pPr>
        <w:spacing w:line="520" w:lineRule="exact"/>
        <w:ind w:firstLine="640" w:firstLineChars="200"/>
        <w:jc w:val="both"/>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因该产品为非治疗类医疗器械，故本指导原则不包含产品作用机理的内容。</w:t>
      </w:r>
    </w:p>
    <w:p w14:paraId="3AF09570">
      <w:pPr>
        <w:spacing w:line="520" w:lineRule="exact"/>
        <w:ind w:firstLine="640" w:firstLineChars="200"/>
        <w:outlineLvl w:val="1"/>
        <w:rPr>
          <w:rFonts w:hint="eastAsia" w:eastAsia="仿宋_GB2312"/>
          <w:color w:val="000000" w:themeColor="text1"/>
          <w:sz w:val="32"/>
          <w:szCs w:val="32"/>
          <w:highlight w:val="none"/>
          <w14:textFill>
            <w14:solidFill>
              <w14:schemeClr w14:val="tx1"/>
            </w14:solidFill>
          </w14:textFill>
        </w:rPr>
      </w:pPr>
      <w:bookmarkStart w:id="3" w:name="结构组成修订"/>
      <w:r>
        <w:rPr>
          <w:rFonts w:hint="eastAsia" w:eastAsia="仿宋_GB2312"/>
          <w:color w:val="000000" w:themeColor="text1"/>
          <w:sz w:val="32"/>
          <w:szCs w:val="32"/>
          <w:highlight w:val="none"/>
          <w14:textFill>
            <w14:solidFill>
              <w14:schemeClr w14:val="tx1"/>
            </w14:solidFill>
          </w14:textFill>
        </w:rPr>
        <w:t>2.2结构组成</w:t>
      </w:r>
    </w:p>
    <w:bookmarkEnd w:id="3"/>
    <w:p w14:paraId="372E3CF5">
      <w:pPr>
        <w:spacing w:line="520" w:lineRule="exact"/>
        <w:ind w:firstLine="640" w:firstLineChars="200"/>
        <w:outlineLvl w:val="2"/>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2.2.1产品整体描述</w:t>
      </w:r>
    </w:p>
    <w:p w14:paraId="14D001F7">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申请人需提供产品整体描述资料。医用电子体温计一般由探测器（探头保护套附件）、传感器、CPU控制模块、显示模块、提示音模块、电源供应模块</w:t>
      </w:r>
      <w:r>
        <w:rPr>
          <w:rFonts w:hint="eastAsia" w:eastAsia="仿宋_GB2312"/>
          <w:color w:val="000000" w:themeColor="text1"/>
          <w:sz w:val="32"/>
          <w:szCs w:val="32"/>
          <w:highlight w:val="none"/>
          <w:lang w:eastAsia="zh-CN"/>
          <w14:textFill>
            <w14:solidFill>
              <w14:schemeClr w14:val="tx1"/>
            </w14:solidFill>
          </w14:textFill>
        </w:rPr>
        <w:t>、胶贴（若有）、充电盒（若有）、</w:t>
      </w:r>
      <w:r>
        <w:rPr>
          <w:rFonts w:hint="eastAsia" w:eastAsia="仿宋_GB2312"/>
          <w:color w:val="000000" w:themeColor="text1"/>
          <w:sz w:val="32"/>
          <w:szCs w:val="32"/>
          <w:highlight w:val="none"/>
          <w:lang w:val="en-US" w:eastAsia="zh-CN"/>
          <w14:textFill>
            <w14:solidFill>
              <w14:schemeClr w14:val="tx1"/>
            </w14:solidFill>
          </w14:textFill>
        </w:rPr>
        <w:t>APP软件（若有）</w:t>
      </w:r>
      <w:r>
        <w:rPr>
          <w:rFonts w:hint="eastAsia" w:eastAsia="仿宋_GB2312"/>
          <w:color w:val="000000" w:themeColor="text1"/>
          <w:sz w:val="32"/>
          <w:szCs w:val="32"/>
          <w:highlight w:val="none"/>
          <w14:textFill>
            <w14:solidFill>
              <w14:schemeClr w14:val="tx1"/>
            </w14:solidFill>
          </w14:textFill>
        </w:rPr>
        <w:t>组成</w:t>
      </w:r>
      <w:r>
        <w:rPr>
          <w:rFonts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产品结构图及实物图示例如图</w:t>
      </w:r>
      <w:r>
        <w:rPr>
          <w:rFonts w:hint="eastAsia" w:eastAsia="仿宋_GB2312"/>
          <w:color w:val="000000" w:themeColor="text1"/>
          <w:sz w:val="32"/>
          <w:szCs w:val="32"/>
          <w:highlight w:val="none"/>
          <w:lang w:val="en-US" w:eastAsia="zh-CN"/>
          <w14:textFill>
            <w14:solidFill>
              <w14:schemeClr w14:val="tx1"/>
            </w14:solidFill>
          </w14:textFill>
        </w:rPr>
        <w:t>3</w:t>
      </w:r>
      <w:r>
        <w:rPr>
          <w:rFonts w:eastAsia="仿宋_GB2312"/>
          <w:color w:val="000000" w:themeColor="text1"/>
          <w:sz w:val="32"/>
          <w:szCs w:val="32"/>
          <w:highlight w:val="none"/>
          <w14:textFill>
            <w14:solidFill>
              <w14:schemeClr w14:val="tx1"/>
            </w14:solidFill>
          </w14:textFill>
        </w:rPr>
        <w:t>、图</w:t>
      </w:r>
      <w:r>
        <w:rPr>
          <w:rFonts w:hint="eastAsia" w:eastAsia="仿宋_GB2312"/>
          <w:color w:val="000000" w:themeColor="text1"/>
          <w:sz w:val="32"/>
          <w:szCs w:val="32"/>
          <w:highlight w:val="none"/>
          <w:lang w:val="en-US" w:eastAsia="zh-CN"/>
          <w14:textFill>
            <w14:solidFill>
              <w14:schemeClr w14:val="tx1"/>
            </w14:solidFill>
          </w14:textFill>
        </w:rPr>
        <w:t>4</w:t>
      </w:r>
      <w:r>
        <w:rPr>
          <w:rFonts w:hint="eastAsia" w:eastAsia="仿宋_GB2312"/>
          <w:color w:val="000000" w:themeColor="text1"/>
          <w:sz w:val="32"/>
          <w:szCs w:val="32"/>
          <w:highlight w:val="none"/>
          <w:lang w:eastAsia="zh-CN"/>
          <w14:textFill>
            <w14:solidFill>
              <w14:schemeClr w14:val="tx1"/>
            </w14:solidFill>
          </w14:textFill>
        </w:rPr>
        <w:t>、图</w:t>
      </w:r>
      <w:r>
        <w:rPr>
          <w:rFonts w:hint="eastAsia" w:eastAsia="仿宋_GB2312"/>
          <w:color w:val="000000" w:themeColor="text1"/>
          <w:sz w:val="32"/>
          <w:szCs w:val="32"/>
          <w:highlight w:val="none"/>
          <w:lang w:val="en-US" w:eastAsia="zh-CN"/>
          <w14:textFill>
            <w14:solidFill>
              <w14:schemeClr w14:val="tx1"/>
            </w14:solidFill>
          </w14:textFill>
        </w:rPr>
        <w:t>5</w:t>
      </w:r>
      <w:r>
        <w:rPr>
          <w:rFonts w:eastAsia="仿宋_GB2312"/>
          <w:color w:val="000000" w:themeColor="text1"/>
          <w:sz w:val="32"/>
          <w:szCs w:val="32"/>
          <w:highlight w:val="none"/>
          <w14:textFill>
            <w14:solidFill>
              <w14:schemeClr w14:val="tx1"/>
            </w14:solidFill>
          </w14:textFill>
        </w:rPr>
        <w:t>。</w:t>
      </w:r>
    </w:p>
    <w:p w14:paraId="2C8089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color w:val="000000" w:themeColor="text1"/>
          <w:sz w:val="32"/>
          <w:szCs w:val="32"/>
          <w:highlight w:val="none"/>
          <w14:textFill>
            <w14:solidFill>
              <w14:schemeClr w14:val="tx1"/>
            </w14:solidFill>
          </w14:textFill>
        </w:rPr>
      </w:pPr>
      <w:r>
        <w:rPr>
          <w:color w:val="000000" w:themeColor="text1"/>
          <w:kern w:val="0"/>
          <w:sz w:val="24"/>
          <w:highlight w:val="none"/>
          <w14:textFill>
            <w14:solidFill>
              <w14:schemeClr w14:val="tx1"/>
            </w14:solidFill>
          </w14:textFill>
        </w:rPr>
        <w:drawing>
          <wp:inline distT="0" distB="0" distL="114300" distR="114300">
            <wp:extent cx="4338955" cy="1962785"/>
            <wp:effectExtent l="0" t="0" r="4445"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38955" cy="1962785"/>
                    </a:xfrm>
                    <a:prstGeom prst="rect">
                      <a:avLst/>
                    </a:prstGeom>
                    <a:noFill/>
                    <a:ln>
                      <a:noFill/>
                    </a:ln>
                  </pic:spPr>
                </pic:pic>
              </a:graphicData>
            </a:graphic>
          </wp:inline>
        </w:drawing>
      </w:r>
      <w:r>
        <w:rPr>
          <w:color w:val="000000" w:themeColor="text1"/>
          <w:kern w:val="0"/>
          <w:sz w:val="24"/>
          <w:highlight w:val="none"/>
          <w14:textFill>
            <w14:solidFill>
              <w14:schemeClr w14:val="tx1"/>
            </w14:solidFill>
          </w14:textFill>
        </w:rPr>
        <w:fldChar w:fldCharType="begin"/>
      </w:r>
      <w:r>
        <w:rPr>
          <w:color w:val="000000" w:themeColor="text1"/>
          <w:kern w:val="0"/>
          <w:sz w:val="24"/>
          <w:highlight w:val="none"/>
          <w14:textFill>
            <w14:solidFill>
              <w14:schemeClr w14:val="tx1"/>
            </w14:solidFill>
          </w14:textFill>
        </w:rPr>
        <w:instrText xml:space="preserve">INCLUDEPICTURE \d "C:\\Users\\lenovo\\AppData\\Roaming\\Tencent\\Users\\936893202\\QQ\\WinTemp\\RichOle\\J8`96DR~0WQH1PLN21IIXQS.png" \* MERGEFORMATINET </w:instrText>
      </w:r>
      <w:r>
        <w:rPr>
          <w:color w:val="000000" w:themeColor="text1"/>
          <w:kern w:val="0"/>
          <w:sz w:val="24"/>
          <w:highlight w:val="none"/>
          <w14:textFill>
            <w14:solidFill>
              <w14:schemeClr w14:val="tx1"/>
            </w14:solidFill>
          </w14:textFill>
        </w:rPr>
        <w:fldChar w:fldCharType="end"/>
      </w:r>
    </w:p>
    <w:p w14:paraId="3C6AD3D8">
      <w:pPr>
        <w:spacing w:line="520" w:lineRule="exact"/>
        <w:ind w:firstLine="640" w:firstLineChars="200"/>
        <w:jc w:val="center"/>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图3医用电子体温计结构图示例</w:t>
      </w:r>
    </w:p>
    <w:p w14:paraId="5B4D708F">
      <w:pPr>
        <w:spacing w:line="520" w:lineRule="exact"/>
        <w:ind w:firstLine="640" w:firstLineChars="200"/>
        <w:jc w:val="center"/>
        <w:rPr>
          <w:rFonts w:eastAsia="黑体"/>
          <w:color w:val="000000" w:themeColor="text1"/>
          <w:sz w:val="28"/>
          <w:szCs w:val="28"/>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-169545</wp:posOffset>
            </wp:positionH>
            <wp:positionV relativeFrom="paragraph">
              <wp:posOffset>208280</wp:posOffset>
            </wp:positionV>
            <wp:extent cx="5537835" cy="2109470"/>
            <wp:effectExtent l="0" t="0" r="5715" b="5080"/>
            <wp:wrapTopAndBottom/>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537835" cy="2109470"/>
                    </a:xfrm>
                    <a:prstGeom prst="rect">
                      <a:avLst/>
                    </a:prstGeom>
                    <a:noFill/>
                    <a:ln>
                      <a:noFill/>
                    </a:ln>
                  </pic:spPr>
                </pic:pic>
              </a:graphicData>
            </a:graphic>
          </wp:anchor>
        </w:drawing>
      </w:r>
      <w:r>
        <w:rPr>
          <w:rFonts w:hint="eastAsia" w:eastAsia="仿宋_GB2312"/>
          <w:color w:val="000000" w:themeColor="text1"/>
          <w:sz w:val="32"/>
          <w:szCs w:val="32"/>
          <w:highlight w:val="none"/>
          <w:lang w:val="en-US" w:eastAsia="zh-CN"/>
          <w14:textFill>
            <w14:solidFill>
              <w14:schemeClr w14:val="tx1"/>
            </w14:solidFill>
          </w14:textFill>
        </w:rPr>
        <w:t>图4医用电子体温计实物图示例</w:t>
      </w:r>
    </w:p>
    <w:p w14:paraId="2E89DB6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黑体"/>
          <w:color w:val="000000" w:themeColor="text1"/>
          <w:sz w:val="28"/>
          <w:szCs w:val="28"/>
          <w:highlight w:val="none"/>
          <w:lang w:eastAsia="zh-CN"/>
          <w14:textFill>
            <w14:solidFill>
              <w14:schemeClr w14:val="tx1"/>
            </w14:solidFill>
          </w14:textFill>
        </w:rPr>
      </w:pPr>
      <w:r>
        <w:rPr>
          <w:rFonts w:hint="eastAsia" w:eastAsia="黑体"/>
          <w:color w:val="000000" w:themeColor="text1"/>
          <w:sz w:val="28"/>
          <w:szCs w:val="28"/>
          <w:highlight w:val="none"/>
          <w:lang w:eastAsia="zh-CN"/>
          <w14:textFill>
            <w14:solidFill>
              <w14:schemeClr w14:val="tx1"/>
            </w14:solidFill>
          </w14:textFill>
        </w:rPr>
        <w:drawing>
          <wp:inline distT="0" distB="0" distL="114300" distR="114300">
            <wp:extent cx="3996690" cy="2197735"/>
            <wp:effectExtent l="0" t="0" r="3810" b="12065"/>
            <wp:docPr id="1" name="图片 1" descr="aeae8d61b5cb89545758b9babb4c4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eae8d61b5cb89545758b9babb4c41d"/>
                    <pic:cNvPicPr>
                      <a:picLocks noChangeAspect="1"/>
                    </pic:cNvPicPr>
                  </pic:nvPicPr>
                  <pic:blipFill>
                    <a:blip r:embed="rId10"/>
                    <a:stretch>
                      <a:fillRect/>
                    </a:stretch>
                  </pic:blipFill>
                  <pic:spPr>
                    <a:xfrm>
                      <a:off x="0" y="0"/>
                      <a:ext cx="3996690" cy="2197735"/>
                    </a:xfrm>
                    <a:prstGeom prst="rect">
                      <a:avLst/>
                    </a:prstGeom>
                  </pic:spPr>
                </pic:pic>
              </a:graphicData>
            </a:graphic>
          </wp:inline>
        </w:drawing>
      </w:r>
    </w:p>
    <w:p w14:paraId="30E63F9D">
      <w:pPr>
        <w:spacing w:line="520" w:lineRule="exact"/>
        <w:ind w:firstLine="640" w:firstLineChars="200"/>
        <w:jc w:val="center"/>
        <w:rPr>
          <w:rFonts w:hint="default" w:eastAsia="黑体"/>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图5 体温贴实物图示例</w:t>
      </w:r>
    </w:p>
    <w:p w14:paraId="67A8DE8D">
      <w:pPr>
        <w:spacing w:line="520" w:lineRule="exact"/>
        <w:ind w:firstLine="640" w:firstLineChars="200"/>
        <w:outlineLvl w:val="1"/>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产品部件</w:t>
      </w:r>
      <w:r>
        <w:rPr>
          <w:rFonts w:hint="eastAsia" w:eastAsia="仿宋_GB2312"/>
          <w:color w:val="000000" w:themeColor="text1"/>
          <w:sz w:val="32"/>
          <w:szCs w:val="32"/>
          <w:highlight w:val="none"/>
          <w:lang w:eastAsia="zh-CN"/>
          <w14:textFill>
            <w14:solidFill>
              <w14:schemeClr w14:val="tx1"/>
            </w14:solidFill>
          </w14:textFill>
        </w:rPr>
        <w:t>及功能</w:t>
      </w:r>
    </w:p>
    <w:p w14:paraId="747F9F84">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申请人可以结合产品逐项描述</w:t>
      </w:r>
      <w:r>
        <w:rPr>
          <w:rFonts w:hint="eastAsia" w:eastAsia="仿宋_GB2312"/>
          <w:color w:val="000000" w:themeColor="text1"/>
          <w:sz w:val="32"/>
          <w:szCs w:val="32"/>
          <w:highlight w:val="none"/>
          <w:lang w:eastAsia="zh-CN"/>
          <w14:textFill>
            <w14:solidFill>
              <w14:schemeClr w14:val="tx1"/>
            </w14:solidFill>
          </w14:textFill>
        </w:rPr>
        <w:t>产品功能、</w:t>
      </w:r>
      <w:r>
        <w:rPr>
          <w:rFonts w:hint="eastAsia" w:eastAsia="仿宋_GB2312"/>
          <w:color w:val="000000" w:themeColor="text1"/>
          <w:sz w:val="32"/>
          <w:szCs w:val="32"/>
          <w:highlight w:val="none"/>
          <w14:textFill>
            <w14:solidFill>
              <w14:schemeClr w14:val="tx1"/>
            </w14:solidFill>
          </w14:textFill>
        </w:rPr>
        <w:t>部件的关键信息，</w:t>
      </w:r>
      <w:r>
        <w:rPr>
          <w:rFonts w:hint="eastAsia" w:eastAsia="仿宋_GB2312"/>
          <w:color w:val="000000" w:themeColor="text1"/>
          <w:sz w:val="32"/>
          <w:szCs w:val="32"/>
          <w:highlight w:val="none"/>
          <w:lang w:eastAsia="zh-CN"/>
          <w14:textFill>
            <w14:solidFill>
              <w14:schemeClr w14:val="tx1"/>
            </w14:solidFill>
          </w14:textFill>
        </w:rPr>
        <w:t>包括但不限于产品主要部件功能（如探测器、按键、CPU控制模块、显示屏、电源）</w:t>
      </w:r>
      <w:r>
        <w:rPr>
          <w:rFonts w:hint="eastAsia" w:eastAsia="仿宋_GB2312"/>
          <w:color w:val="000000" w:themeColor="text1"/>
          <w:sz w:val="32"/>
          <w:szCs w:val="32"/>
          <w:highlight w:val="none"/>
          <w:lang w:eastAsia="zh-CN"/>
          <w14:textFill>
            <w14:solidFill>
              <w14:schemeClr w14:val="tx1"/>
            </w14:solidFill>
          </w14:textFill>
        </w:rPr>
        <w:t>、软件功能（若有</w:t>
      </w:r>
      <w:r>
        <w:rPr>
          <w:rFonts w:hint="eastAsia" w:eastAsia="仿宋_GB2312"/>
          <w:color w:val="000000" w:themeColor="text1"/>
          <w:sz w:val="32"/>
          <w:szCs w:val="32"/>
          <w:highlight w:val="none"/>
          <w14:textFill>
            <w14:solidFill>
              <w14:schemeClr w14:val="tx1"/>
            </w14:solidFill>
          </w14:textFill>
        </w:rPr>
        <w:t>运行数据记录功能，需说明记录的数据类型、数据最长记录和保存时间等</w:t>
      </w:r>
      <w:r>
        <w:rPr>
          <w:rFonts w:hint="eastAsia" w:eastAsia="仿宋_GB2312"/>
          <w:color w:val="000000" w:themeColor="text1"/>
          <w:sz w:val="32"/>
          <w:szCs w:val="32"/>
          <w:highlight w:val="none"/>
          <w:lang w:eastAsia="zh-CN"/>
          <w14:textFill>
            <w14:solidFill>
              <w14:schemeClr w14:val="tx1"/>
            </w14:solidFill>
          </w14:textFill>
        </w:rPr>
        <w:t>）、传感器</w:t>
      </w:r>
      <w:r>
        <w:rPr>
          <w:rFonts w:hint="eastAsia" w:eastAsia="仿宋_GB2312"/>
          <w:color w:val="000000" w:themeColor="text1"/>
          <w:sz w:val="32"/>
          <w:szCs w:val="32"/>
          <w:highlight w:val="none"/>
          <w14:textFill>
            <w14:solidFill>
              <w14:schemeClr w14:val="tx1"/>
            </w14:solidFill>
          </w14:textFill>
        </w:rPr>
        <w:t>的</w:t>
      </w:r>
      <w:r>
        <w:rPr>
          <w:rFonts w:hint="eastAsia" w:eastAsia="仿宋_GB2312"/>
          <w:color w:val="000000" w:themeColor="text1"/>
          <w:sz w:val="32"/>
          <w:szCs w:val="32"/>
          <w:highlight w:val="none"/>
          <w:lang w:eastAsia="zh-CN"/>
          <w14:textFill>
            <w14:solidFill>
              <w14:schemeClr w14:val="tx1"/>
            </w14:solidFill>
          </w14:textFill>
        </w:rPr>
        <w:t>技术参数、内部电源（建议申请人说明电池类型、电气指标、续航能力等，以及配套充电器具的性能指标和使用要求）</w:t>
      </w:r>
      <w:r>
        <w:rPr>
          <w:rFonts w:hint="eastAsia" w:eastAsia="仿宋_GB2312"/>
          <w:color w:val="000000" w:themeColor="text1"/>
          <w:sz w:val="32"/>
          <w:szCs w:val="32"/>
          <w:highlight w:val="none"/>
          <w14:textFill>
            <w14:solidFill>
              <w14:schemeClr w14:val="tx1"/>
            </w14:solidFill>
          </w14:textFill>
        </w:rPr>
        <w:t>等。</w:t>
      </w:r>
    </w:p>
    <w:p w14:paraId="6D2FB3A4">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2.4型号规格</w:t>
      </w:r>
    </w:p>
    <w:p w14:paraId="00D69C89">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对于存在多种型号规格的产品，</w:t>
      </w:r>
      <w:r>
        <w:rPr>
          <w:rFonts w:hint="eastAsia" w:eastAsia="仿宋_GB2312"/>
          <w:color w:val="000000" w:themeColor="text1"/>
          <w:sz w:val="32"/>
          <w:szCs w:val="32"/>
          <w:highlight w:val="none"/>
          <w:lang w:eastAsia="zh-CN"/>
          <w14:textFill>
            <w14:solidFill>
              <w14:schemeClr w14:val="tx1"/>
            </w14:solidFill>
          </w14:textFill>
        </w:rPr>
        <w:t>需</w:t>
      </w:r>
      <w:r>
        <w:rPr>
          <w:rFonts w:hint="eastAsia" w:eastAsia="仿宋_GB2312"/>
          <w:color w:val="000000" w:themeColor="text1"/>
          <w:sz w:val="32"/>
          <w:szCs w:val="32"/>
          <w:highlight w:val="none"/>
          <w14:textFill>
            <w14:solidFill>
              <w14:schemeClr w14:val="tx1"/>
            </w14:solidFill>
          </w14:textFill>
        </w:rPr>
        <w:t>明确各型号规格的区别。应当采用对比表或带有说明性文字的图片、图表，描述各种型号规格的结构组成（或配置）、功能、产品特征和运行模式、技术参数等内容。</w:t>
      </w:r>
    </w:p>
    <w:p w14:paraId="4C0AD0FB">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2.5包装说明</w:t>
      </w:r>
    </w:p>
    <w:p w14:paraId="74A5D389">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申请人需描述注册单元内所有产品组成的包装情况，说明包装清单和包装方式，提供包装图示</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说明如何确保最终使用者可清晰地辨识包装的完整性。</w:t>
      </w:r>
    </w:p>
    <w:p w14:paraId="21957F3C">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2.6研发历程、与同类和/或前代产品的参考和比较</w:t>
      </w:r>
    </w:p>
    <w:p w14:paraId="7C5F7CA8">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阐述申请注册产品的研发背景和目的。若申报产品有同类产品和/或前代产品，申请人应说明相关的背景情况，提供同类产品和/或前代产品的上市情况说明。列表比较申报产品与同类产品和/或前代产品在工作原理、结构组成、制造材料、性能指标、作用方式以及适用范围等方面的异同</w:t>
      </w:r>
      <w:r>
        <w:rPr>
          <w:rFonts w:hint="eastAsia" w:eastAsia="仿宋_GB2312"/>
          <w:color w:val="000000" w:themeColor="text1"/>
          <w:sz w:val="32"/>
          <w:szCs w:val="32"/>
          <w:highlight w:val="none"/>
          <w:lang w:eastAsia="zh-CN"/>
          <w14:textFill>
            <w14:solidFill>
              <w14:schemeClr w14:val="tx1"/>
            </w14:solidFill>
          </w14:textFill>
        </w:rPr>
        <w:t>，并重点说明申报产品的新功能、新应用、新特征</w:t>
      </w:r>
      <w:r>
        <w:rPr>
          <w:rFonts w:eastAsia="仿宋_GB2312"/>
          <w:color w:val="000000" w:themeColor="text1"/>
          <w:sz w:val="32"/>
          <w:szCs w:val="32"/>
          <w:highlight w:val="none"/>
          <w14:textFill>
            <w14:solidFill>
              <w14:schemeClr w14:val="tx1"/>
            </w14:solidFill>
          </w14:textFill>
        </w:rPr>
        <w:t>。</w:t>
      </w:r>
    </w:p>
    <w:p w14:paraId="6C649417">
      <w:pPr>
        <w:spacing w:line="520" w:lineRule="exact"/>
        <w:ind w:firstLine="640" w:firstLineChars="200"/>
        <w:outlineLvl w:val="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w:t>
      </w:r>
      <w:r>
        <w:rPr>
          <w:rFonts w:eastAsia="仿宋_GB2312"/>
          <w:color w:val="000000" w:themeColor="text1"/>
          <w:sz w:val="32"/>
          <w:szCs w:val="32"/>
          <w:highlight w:val="none"/>
          <w14:textFill>
            <w14:solidFill>
              <w14:schemeClr w14:val="tx1"/>
            </w14:solidFill>
          </w14:textFill>
        </w:rPr>
        <w:t>.适用范围</w:t>
      </w:r>
    </w:p>
    <w:p w14:paraId="331F3E9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应提供申报产品的适用范围、预期使用环境、适用人群、禁忌证，并与其他资料中信息保持一致。</w:t>
      </w:r>
    </w:p>
    <w:p w14:paraId="751D36E6">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w:t>
      </w:r>
      <w:r>
        <w:rPr>
          <w:rFonts w:hint="eastAsia" w:eastAsia="仿宋_GB2312"/>
          <w:color w:val="000000" w:themeColor="text1"/>
          <w:sz w:val="32"/>
          <w:szCs w:val="32"/>
          <w:highlight w:val="none"/>
          <w14:textFill>
            <w14:solidFill>
              <w14:schemeClr w14:val="tx1"/>
            </w14:solidFill>
          </w14:textFill>
        </w:rPr>
        <w:t>产品的适用范围一般可限定于：供家庭和医疗部门测量人体体温使用。通常放置于人体的口腔、腋下、肛门、额头部位测量。</w:t>
      </w:r>
    </w:p>
    <w:p w14:paraId="543C5A05">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预期使用环境：提供产品的储存运输、使用环境要求（温度范围、相对湿度范围、气压范围等）</w:t>
      </w:r>
      <w:r>
        <w:rPr>
          <w:rFonts w:hint="eastAsia" w:eastAsia="仿宋_GB2312"/>
          <w:color w:val="000000" w:themeColor="text1"/>
          <w:sz w:val="32"/>
          <w:szCs w:val="32"/>
          <w:highlight w:val="none"/>
          <w:lang w:eastAsia="zh-CN"/>
          <w14:textFill>
            <w14:solidFill>
              <w14:schemeClr w14:val="tx1"/>
            </w14:solidFill>
          </w14:textFill>
        </w:rPr>
        <w:t>；说明产品可以安全、有效地使用的环境、场景和范围（例如：医院、家庭环境等）</w:t>
      </w:r>
      <w:r>
        <w:rPr>
          <w:rFonts w:hint="eastAsia" w:eastAsia="仿宋_GB2312"/>
          <w:color w:val="000000" w:themeColor="text1"/>
          <w:sz w:val="32"/>
          <w:szCs w:val="32"/>
          <w:highlight w:val="none"/>
          <w14:textFill>
            <w14:solidFill>
              <w14:schemeClr w14:val="tx1"/>
            </w14:solidFill>
          </w14:textFill>
        </w:rPr>
        <w:t>。</w:t>
      </w:r>
    </w:p>
    <w:p w14:paraId="2271B341">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适用人群：无特定适用人群。</w:t>
      </w:r>
    </w:p>
    <w:p w14:paraId="6C731E45">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禁忌证：尚未发现明确的禁忌证要求。</w:t>
      </w:r>
    </w:p>
    <w:p w14:paraId="35D0FBF8">
      <w:pPr>
        <w:spacing w:line="520" w:lineRule="exact"/>
        <w:ind w:firstLine="640" w:firstLineChars="200"/>
        <w:outlineLvl w:val="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4.申报产品上市历史</w:t>
      </w:r>
    </w:p>
    <w:p w14:paraId="139FE58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如适用，应提供申报产品在各国家或地区的上市批准时间、销售情况。</w:t>
      </w:r>
    </w:p>
    <w:p w14:paraId="43B1863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如适用，应提供申报产品上市后不良事件及召回情况，如不良事件及召回情况描述、原因分析、处理和解决方案、对安全有效性影响的分析评价等。</w:t>
      </w:r>
    </w:p>
    <w:p w14:paraId="229298D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内未见严重不良事件报道，现有报告均为一般事件。事件主要表现有：无法测量体温、测量温度不准确、按键失灵、显示屏显示数字缓慢不清晰等。造成上述现象的原因主要有：超过产品可使用的环境温度无法工作、当产品从一个环境温度转移到另一个环境温度后未按照制造商规定的要求稳定一段时间再测量造成的测量不准确、按键损坏、电池电量耗尽、个别元件松动或需换置等。注册申请人在风险分析时应关注</w:t>
      </w:r>
      <w:r>
        <w:rPr>
          <w:rFonts w:hint="eastAsia" w:eastAsia="仿宋_GB2312"/>
          <w:color w:val="000000" w:themeColor="text1"/>
          <w:sz w:val="32"/>
          <w:szCs w:val="32"/>
          <w:highlight w:val="none"/>
          <w:lang w:eastAsia="zh-CN"/>
          <w14:textFill>
            <w14:solidFill>
              <w14:schemeClr w14:val="tx1"/>
            </w14:solidFill>
          </w14:textFill>
        </w:rPr>
        <w:t>同类</w:t>
      </w:r>
      <w:r>
        <w:rPr>
          <w:rFonts w:eastAsia="仿宋_GB2312"/>
          <w:color w:val="000000" w:themeColor="text1"/>
          <w:sz w:val="32"/>
          <w:szCs w:val="32"/>
          <w:highlight w:val="none"/>
          <w14:textFill>
            <w14:solidFill>
              <w14:schemeClr w14:val="tx1"/>
            </w14:solidFill>
          </w14:textFill>
        </w:rPr>
        <w:t>产品的不良事件历史记录。</w:t>
      </w:r>
    </w:p>
    <w:p w14:paraId="60E55843">
      <w:pPr>
        <w:widowControl/>
        <w:spacing w:line="520" w:lineRule="exact"/>
        <w:ind w:firstLine="640" w:firstLineChars="200"/>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（三）非临床资料</w:t>
      </w:r>
    </w:p>
    <w:p w14:paraId="2C201048">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w:t>
      </w:r>
      <w:r>
        <w:rPr>
          <w:rFonts w:hint="eastAsia" w:eastAsia="仿宋_GB2312"/>
          <w:color w:val="000000" w:themeColor="text1"/>
          <w:sz w:val="32"/>
          <w:szCs w:val="32"/>
          <w:highlight w:val="none"/>
          <w:lang w:val="en-US" w:eastAsia="zh-CN"/>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产品风险管理资料</w:t>
      </w:r>
    </w:p>
    <w:p w14:paraId="50A1E650">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申请人可参考GB/T 42062及YY/T 1437标准对产品进行全生命周期风险管理，提交风险管理资料。</w:t>
      </w:r>
    </w:p>
    <w:p w14:paraId="1D5A3A02">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建议参考GB/T 42062标准及规范性文件，结合产品自身设计特点、临床用途及使用场景，充分识别与安全有关的特征，进行风险分析、评价及控制。风险控制的方案与实施、综合剩余风险的评价可参考GB/T 42062标准第7、第8章的相关要求。应确保各风险的可追溯性，提供各风险及综合剩余风险的可接受准则，确认各风险及综合剩余风险可接受。</w:t>
      </w:r>
    </w:p>
    <w:p w14:paraId="68D49D20">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w:t>
      </w:r>
      <w:r>
        <w:rPr>
          <w:rFonts w:hint="eastAsia" w:eastAsia="仿宋_GB2312"/>
          <w:color w:val="000000" w:themeColor="text1"/>
          <w:sz w:val="32"/>
          <w:szCs w:val="32"/>
          <w:highlight w:val="none"/>
          <w14:textFill>
            <w14:solidFill>
              <w14:schemeClr w14:val="tx1"/>
            </w14:solidFill>
          </w14:textFill>
        </w:rPr>
        <w:t>风险要素及示例见附件2</w:t>
      </w:r>
      <w:r>
        <w:rPr>
          <w:rFonts w:eastAsia="仿宋_GB2312"/>
          <w:color w:val="000000" w:themeColor="text1"/>
          <w:sz w:val="32"/>
          <w:szCs w:val="32"/>
          <w:highlight w:val="none"/>
          <w14:textFill>
            <w14:solidFill>
              <w14:schemeClr w14:val="tx1"/>
            </w14:solidFill>
          </w14:textFill>
        </w:rPr>
        <w:t>。</w:t>
      </w:r>
    </w:p>
    <w:p w14:paraId="3824D199">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w:t>
      </w:r>
      <w:r>
        <w:rPr>
          <w:rFonts w:hint="eastAsia" w:eastAsia="仿宋_GB2312"/>
          <w:color w:val="000000" w:themeColor="text1"/>
          <w:sz w:val="32"/>
          <w:szCs w:val="32"/>
          <w:highlight w:val="none"/>
          <w14:textFill>
            <w14:solidFill>
              <w14:schemeClr w14:val="tx1"/>
            </w14:solidFill>
          </w14:textFill>
        </w:rPr>
        <w:t>医疗器械安全和性能基本原则清单</w:t>
      </w:r>
    </w:p>
    <w:p w14:paraId="71501AA9">
      <w:pPr>
        <w:spacing w:line="520" w:lineRule="exact"/>
        <w:ind w:firstLine="640" w:firstLineChars="200"/>
        <w:outlineLvl w:val="9"/>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注册申请人可参考《医疗器械安全和性能基本原则符合性技术指南》编写该清单。对于《医疗器械安全和性能基本原则清单》中不适用的各项要求，说明理由。</w:t>
      </w:r>
    </w:p>
    <w:p w14:paraId="6EC6BC5A">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w:t>
      </w:r>
      <w:r>
        <w:rPr>
          <w:rFonts w:eastAsia="仿宋_GB2312"/>
          <w:color w:val="000000" w:themeColor="text1"/>
          <w:sz w:val="32"/>
          <w:szCs w:val="32"/>
          <w:highlight w:val="none"/>
          <w14:textFill>
            <w14:solidFill>
              <w14:schemeClr w14:val="tx1"/>
            </w14:solidFill>
          </w14:textFill>
        </w:rPr>
        <w:t>产品技术要求及检验报告</w:t>
      </w:r>
    </w:p>
    <w:p w14:paraId="0F76EFA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w:t>
      </w:r>
      <w:r>
        <w:rPr>
          <w:rFonts w:eastAsia="仿宋_GB2312"/>
          <w:color w:val="000000" w:themeColor="text1"/>
          <w:sz w:val="32"/>
          <w:szCs w:val="32"/>
          <w:highlight w:val="none"/>
          <w14:textFill>
            <w14:solidFill>
              <w14:schemeClr w14:val="tx1"/>
            </w14:solidFill>
          </w14:textFill>
        </w:rPr>
        <w:t>.1申报产品适用标准情况</w:t>
      </w:r>
    </w:p>
    <w:p w14:paraId="768DB6F1">
      <w:pPr>
        <w:spacing w:line="520" w:lineRule="exact"/>
        <w:ind w:left="178" w:leftChars="85" w:firstLine="496" w:firstLineChars="155"/>
        <w:jc w:val="left"/>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14:paraId="006C1228">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w:t>
      </w:r>
      <w:r>
        <w:rPr>
          <w:rFonts w:eastAsia="仿宋_GB2312"/>
          <w:color w:val="000000" w:themeColor="text1"/>
          <w:sz w:val="32"/>
          <w:szCs w:val="32"/>
          <w:highlight w:val="none"/>
          <w14:textFill>
            <w14:solidFill>
              <w14:schemeClr w14:val="tx1"/>
            </w14:solidFill>
          </w14:textFill>
        </w:rPr>
        <w:t>.2产品技术要求</w:t>
      </w:r>
    </w:p>
    <w:p w14:paraId="70606C5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注册申请人应按照《医疗器械产品技术要求编写指导原则》编写产品技术要求，结合申报产品的特点设置条款。</w:t>
      </w:r>
    </w:p>
    <w:p w14:paraId="0443CD94">
      <w:pPr>
        <w:spacing w:line="520" w:lineRule="exact"/>
        <w:ind w:firstLine="640" w:firstLineChars="200"/>
        <w:outlineLvl w:val="2"/>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3.2.1 产品型号/规格及其划分说明</w:t>
      </w:r>
    </w:p>
    <w:p w14:paraId="340FB311">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产品技术要求明确产品规格型号及划分说明</w:t>
      </w:r>
      <w:r>
        <w:rPr>
          <w:rFonts w:hint="eastAsia" w:eastAsia="仿宋_GB2312"/>
          <w:color w:val="000000" w:themeColor="text1"/>
          <w:sz w:val="32"/>
          <w:szCs w:val="32"/>
          <w:highlight w:val="none"/>
          <w:lang w:eastAsia="zh-CN"/>
          <w14:textFill>
            <w14:solidFill>
              <w14:schemeClr w14:val="tx1"/>
            </w14:solidFill>
          </w14:textFill>
        </w:rPr>
        <w:t>，多个型号/规格，建议列表的形式列出各个型号的规格参数</w:t>
      </w:r>
      <w:r>
        <w:rPr>
          <w:rFonts w:hint="eastAsia" w:eastAsia="仿宋_GB2312"/>
          <w:color w:val="000000" w:themeColor="text1"/>
          <w:sz w:val="32"/>
          <w:szCs w:val="32"/>
          <w:highlight w:val="none"/>
          <w14:textFill>
            <w14:solidFill>
              <w14:schemeClr w14:val="tx1"/>
            </w14:solidFill>
          </w14:textFill>
        </w:rPr>
        <w:t>。</w:t>
      </w:r>
    </w:p>
    <w:p w14:paraId="529EEF8F">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申报产品需说明软件组件名称</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软件发布版本、软件版本命名规则，其中软件版本命名规则需与质量管理体系保持一致。</w:t>
      </w:r>
    </w:p>
    <w:p w14:paraId="53BD9F5D">
      <w:pPr>
        <w:spacing w:line="520" w:lineRule="exact"/>
        <w:ind w:firstLine="640" w:firstLineChars="200"/>
        <w:outlineLvl w:val="2"/>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3.2.2性</w:t>
      </w:r>
      <w:bookmarkStart w:id="4" w:name="性能指标修订"/>
      <w:bookmarkEnd w:id="4"/>
      <w:r>
        <w:rPr>
          <w:rFonts w:hint="eastAsia" w:eastAsia="仿宋_GB2312"/>
          <w:color w:val="000000" w:themeColor="text1"/>
          <w:sz w:val="32"/>
          <w:szCs w:val="32"/>
          <w:highlight w:val="none"/>
          <w:lang w:val="en-US" w:eastAsia="zh-CN"/>
          <w14:textFill>
            <w14:solidFill>
              <w14:schemeClr w14:val="tx1"/>
            </w14:solidFill>
          </w14:textFill>
        </w:rPr>
        <w:t>能指标</w:t>
      </w:r>
    </w:p>
    <w:p w14:paraId="1E24FB4B">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w:t>
      </w:r>
      <w:r>
        <w:rPr>
          <w:rFonts w:hint="eastAsia" w:eastAsia="仿宋_GB2312"/>
          <w:color w:val="000000" w:themeColor="text1"/>
          <w:sz w:val="32"/>
          <w:szCs w:val="32"/>
          <w:highlight w:val="none"/>
          <w14:textFill>
            <w14:solidFill>
              <w14:schemeClr w14:val="tx1"/>
            </w14:solidFill>
          </w14:textFill>
        </w:rPr>
        <w:t>有直接对应的行业标准GB/T 21416</w:t>
      </w:r>
      <w:r>
        <w:rPr>
          <w:rFonts w:hint="eastAsia" w:eastAsia="仿宋_GB2312"/>
          <w:color w:val="000000" w:themeColor="text1"/>
          <w:sz w:val="32"/>
          <w:szCs w:val="32"/>
          <w:highlight w:val="none"/>
          <w:lang w:eastAsia="zh-CN"/>
          <w14:textFill>
            <w14:solidFill>
              <w14:schemeClr w14:val="tx1"/>
            </w14:solidFill>
          </w14:textFill>
        </w:rPr>
        <w:t>《医用电子体温计》</w:t>
      </w:r>
      <w:r>
        <w:rPr>
          <w:rFonts w:hint="eastAsia" w:eastAsia="仿宋_GB2312"/>
          <w:color w:val="000000" w:themeColor="text1"/>
          <w:sz w:val="32"/>
          <w:szCs w:val="32"/>
          <w:highlight w:val="none"/>
          <w14:textFill>
            <w14:solidFill>
              <w14:schemeClr w14:val="tx1"/>
            </w14:solidFill>
          </w14:textFill>
        </w:rPr>
        <w:t>/XG1-2008《医用电子体温计》国家标准第1号修改单》，明确了</w:t>
      </w:r>
      <w:r>
        <w:rPr>
          <w:rFonts w:hint="eastAsia" w:eastAsia="仿宋_GB2312"/>
          <w:color w:val="000000" w:themeColor="text1"/>
          <w:sz w:val="32"/>
          <w:szCs w:val="32"/>
          <w:highlight w:val="none"/>
          <w:lang w:eastAsia="zh-CN"/>
          <w14:textFill>
            <w14:solidFill>
              <w14:schemeClr w14:val="tx1"/>
            </w14:solidFill>
          </w14:textFill>
        </w:rPr>
        <w:t>产品</w:t>
      </w:r>
      <w:r>
        <w:rPr>
          <w:rFonts w:hint="eastAsia" w:eastAsia="仿宋_GB2312"/>
          <w:color w:val="000000" w:themeColor="text1"/>
          <w:sz w:val="32"/>
          <w:szCs w:val="32"/>
          <w:highlight w:val="none"/>
          <w14:textFill>
            <w14:solidFill>
              <w14:schemeClr w14:val="tx1"/>
            </w14:solidFill>
          </w14:textFill>
        </w:rPr>
        <w:t>的性能要求</w:t>
      </w:r>
      <w:r>
        <w:rPr>
          <w:rFonts w:hint="default" w:eastAsia="仿宋_GB2312"/>
          <w:color w:val="000000" w:themeColor="text1"/>
          <w:sz w:val="32"/>
          <w:szCs w:val="32"/>
          <w:highlight w:val="none"/>
          <w:lang w:val="en-US"/>
          <w14:textFill>
            <w14:solidFill>
              <w14:schemeClr w14:val="tx1"/>
            </w14:solidFill>
          </w14:textFill>
        </w:rPr>
        <w:t>，申报产品若同时具有其他功能，也应在性能参数中体现</w:t>
      </w:r>
      <w:r>
        <w:rPr>
          <w:rFonts w:hint="eastAsia" w:eastAsia="仿宋_GB2312"/>
          <w:color w:val="000000" w:themeColor="text1"/>
          <w:sz w:val="32"/>
          <w:szCs w:val="32"/>
          <w:highlight w:val="none"/>
          <w14:textFill>
            <w14:solidFill>
              <w14:schemeClr w14:val="tx1"/>
            </w14:solidFill>
          </w14:textFill>
        </w:rPr>
        <w:t>。</w:t>
      </w:r>
    </w:p>
    <w:p w14:paraId="2957DF07">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在不低于相关强制性国家标准、行业标准要求的前提下，不同的产品其参数根据设计要求有所区别，可根据自身产品的技术特点制定性能指标。如产品可与探测器保护套配合使用，应明确配合使用的保护套品名规格。对体温计性能的评价应与保护套配合一起评价。体温计的传感器、外壳及其不能任意处置的附件（若有）应能承受生物和物理的清洗，并且不应出现功能退化的现象。</w:t>
      </w:r>
    </w:p>
    <w:p w14:paraId="777354A2">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此外，需要考虑符合以下标准要求：</w:t>
      </w:r>
    </w:p>
    <w:p w14:paraId="3387D52D">
      <w:pPr>
        <w:numPr>
          <w:ilvl w:val="0"/>
          <w:numId w:val="2"/>
        </w:numPr>
        <w:spacing w:line="520" w:lineRule="exact"/>
        <w:ind w:left="425" w:leftChars="0" w:hanging="425" w:firstLineChars="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若结构组成中包含了胶贴，可参考YY/T 0148制定相应性能指标。</w:t>
      </w:r>
    </w:p>
    <w:p w14:paraId="1495E0B5">
      <w:pPr>
        <w:numPr>
          <w:ilvl w:val="0"/>
          <w:numId w:val="2"/>
        </w:numPr>
        <w:spacing w:line="520" w:lineRule="exact"/>
        <w:ind w:left="425" w:leftChars="0" w:hanging="425" w:firstLineChars="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电气安全：GB 9706.1、YY 9706.256、YY 9706.111</w:t>
      </w:r>
    </w:p>
    <w:p w14:paraId="4F37FF1B">
      <w:pPr>
        <w:numPr>
          <w:ilvl w:val="0"/>
          <w:numId w:val="2"/>
        </w:numPr>
        <w:spacing w:line="520" w:lineRule="exact"/>
        <w:ind w:left="425" w:leftChars="0" w:hanging="425" w:firstLineChars="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电磁兼容：YY 9706.102。</w:t>
      </w:r>
    </w:p>
    <w:p w14:paraId="5C9A53BD">
      <w:pPr>
        <w:spacing w:line="520" w:lineRule="exact"/>
        <w:ind w:firstLine="640" w:firstLineChars="200"/>
        <w:outlineLvl w:val="2"/>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3.2.3检验报告</w:t>
      </w:r>
    </w:p>
    <w:p w14:paraId="094ACDAF">
      <w:pPr>
        <w:spacing w:line="520" w:lineRule="exact"/>
        <w:ind w:firstLine="640" w:firstLineChars="200"/>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注册申请人应提供产品检验报告，产品检验报告可以是医疗器械注册申请人的自检报告，也可以是委托具有相应检验资质的医疗器械检验机构出具的检验报告。以自检报告形式提交注册的应符合《医疗器械注册自检管理规定》的要求。</w:t>
      </w:r>
    </w:p>
    <w:p w14:paraId="4055FC22">
      <w:pPr>
        <w:spacing w:line="520" w:lineRule="exact"/>
        <w:ind w:firstLine="640" w:firstLineChars="200"/>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典型产品应是同一注册单元内能够代表本单元内其他产品安全性和有效性的产品。考虑功能最齐全、结构最复杂、风险最高的产品。</w:t>
      </w:r>
    </w:p>
    <w:p w14:paraId="6DA5C279">
      <w:pPr>
        <w:spacing w:line="520" w:lineRule="exact"/>
        <w:ind w:firstLine="640" w:firstLineChars="200"/>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注册单元内各种产品的主要结构及组成、性能指标不能被某一产品全部涵盖时，则应选择涵盖结构及组成、性能指标最多的产品作为典型产品，同时还应考虑其他产品中未被典型产品所涵盖的性能指标，并应对差异部分及由差异部分引起的其他相关安全性和有效性变化的部分进行注册补充检验。</w:t>
      </w:r>
    </w:p>
    <w:p w14:paraId="02AF3F1A">
      <w:pPr>
        <w:spacing w:line="520" w:lineRule="exact"/>
        <w:ind w:firstLine="640" w:firstLineChars="200"/>
        <w:outlineLvl w:val="0"/>
        <w:rPr>
          <w:rFonts w:eastAsia="仿宋_GB2312"/>
          <w:color w:val="000000" w:themeColor="text1"/>
          <w:sz w:val="32"/>
          <w:szCs w:val="32"/>
          <w:highlight w:val="none"/>
          <w14:textFill>
            <w14:solidFill>
              <w14:schemeClr w14:val="tx1"/>
            </w14:solidFill>
          </w14:textFill>
        </w:rPr>
      </w:pPr>
      <w:r>
        <w:rPr>
          <w:rFonts w:hint="eastAsia" w:eastAsia="CESI仿宋-GB2312"/>
          <w:color w:val="000000" w:themeColor="text1"/>
          <w:sz w:val="32"/>
          <w:szCs w:val="32"/>
          <w:highlight w:val="none"/>
          <w:lang w:val="en-US" w:eastAsia="zh-CN"/>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.研究资料</w:t>
      </w:r>
    </w:p>
    <w:p w14:paraId="03AEE757">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.1产品性能研究</w:t>
      </w:r>
    </w:p>
    <w:p w14:paraId="70E43E76">
      <w:pPr>
        <w:spacing w:line="520" w:lineRule="exact"/>
        <w:ind w:firstLine="640" w:firstLineChars="200"/>
        <w:outlineLvl w:val="9"/>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性能</w:t>
      </w:r>
      <w:r>
        <w:rPr>
          <w:rFonts w:hint="eastAsia" w:eastAsia="仿宋_GB2312"/>
          <w:color w:val="000000" w:themeColor="text1"/>
          <w:sz w:val="32"/>
          <w:szCs w:val="32"/>
          <w:highlight w:val="none"/>
          <w14:textFill>
            <w14:solidFill>
              <w14:schemeClr w14:val="tx1"/>
            </w14:solidFill>
          </w14:textFill>
        </w:rPr>
        <w:t>指标的确定依据应明确、具体，并应描述其所考虑的实际临床应用出发点，以及相关指标和临床使用的关联性。还应考虑设计输入来源以及临床意义，所采用的标准或方法、采用的原因及理论基础。</w:t>
      </w:r>
      <w:r>
        <w:rPr>
          <w:rFonts w:hint="eastAsia" w:eastAsia="仿宋_GB2312"/>
          <w:color w:val="000000" w:themeColor="text1"/>
          <w:sz w:val="32"/>
          <w:szCs w:val="32"/>
          <w:highlight w:val="none"/>
          <w:lang w:val="en-US" w:eastAsia="zh-CN"/>
          <w14:textFill>
            <w14:solidFill>
              <w14:schemeClr w14:val="tx1"/>
            </w14:solidFill>
          </w14:textFill>
        </w:rPr>
        <w:t>需</w:t>
      </w:r>
      <w:r>
        <w:rPr>
          <w:rFonts w:eastAsia="仿宋_GB2312"/>
          <w:color w:val="000000" w:themeColor="text1"/>
          <w:sz w:val="32"/>
          <w:szCs w:val="32"/>
          <w:highlight w:val="none"/>
          <w14:textFill>
            <w14:solidFill>
              <w14:schemeClr w14:val="tx1"/>
            </w14:solidFill>
          </w14:textFill>
        </w:rPr>
        <w:t>描述所采用的国家标准、行业标准中不适用条款的理由。</w:t>
      </w:r>
      <w:r>
        <w:rPr>
          <w:rFonts w:hint="eastAsia" w:eastAsia="仿宋_GB2312"/>
          <w:color w:val="000000" w:themeColor="text1"/>
          <w:sz w:val="32"/>
          <w:szCs w:val="32"/>
          <w:highlight w:val="none"/>
          <w14:textFill>
            <w14:solidFill>
              <w14:schemeClr w14:val="tx1"/>
            </w14:solidFill>
          </w14:textFill>
        </w:rPr>
        <w:t>如：显示范围、分辨力、最大允许误差、重复性等主要性能要求按GB/T 21416中相关要求确定</w:t>
      </w:r>
      <w:r>
        <w:rPr>
          <w:rFonts w:eastAsia="仿宋_GB2312"/>
          <w:color w:val="000000" w:themeColor="text1"/>
          <w:sz w:val="32"/>
          <w:szCs w:val="32"/>
          <w:highlight w:val="none"/>
          <w14:textFill>
            <w14:solidFill>
              <w14:schemeClr w14:val="tx1"/>
            </w14:solidFill>
          </w14:textFill>
        </w:rPr>
        <w:t>。确定依据不能笼统地描述为“依据产品特点”、“依据临床需求确定”，应</w:t>
      </w:r>
      <w:r>
        <w:rPr>
          <w:rFonts w:hint="eastAsia" w:eastAsia="仿宋_GB2312"/>
          <w:color w:val="000000" w:themeColor="text1"/>
          <w:sz w:val="32"/>
          <w:szCs w:val="32"/>
          <w:highlight w:val="none"/>
          <w14:textFill>
            <w14:solidFill>
              <w14:schemeClr w14:val="tx1"/>
            </w14:solidFill>
          </w14:textFill>
        </w:rPr>
        <w:t>详细</w:t>
      </w:r>
      <w:r>
        <w:rPr>
          <w:rFonts w:eastAsia="仿宋_GB2312"/>
          <w:color w:val="000000" w:themeColor="text1"/>
          <w:sz w:val="32"/>
          <w:szCs w:val="32"/>
          <w:highlight w:val="none"/>
          <w14:textFill>
            <w14:solidFill>
              <w14:schemeClr w14:val="tx1"/>
            </w14:solidFill>
          </w14:textFill>
        </w:rPr>
        <w:t>说明是产品的什么特点，何种临床需求。对于参考同类产品确定的，应提供同类产品的相关资料。</w:t>
      </w:r>
    </w:p>
    <w:p w14:paraId="72768213">
      <w:pPr>
        <w:spacing w:line="520" w:lineRule="exact"/>
        <w:ind w:firstLine="640" w:firstLineChars="200"/>
        <w:outlineLvl w:val="1"/>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4</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2</w:t>
      </w:r>
      <w:r>
        <w:rPr>
          <w:rFonts w:hint="eastAsia" w:eastAsia="仿宋_GB2312"/>
          <w:color w:val="000000" w:themeColor="text1"/>
          <w:sz w:val="32"/>
          <w:szCs w:val="32"/>
          <w:highlight w:val="none"/>
          <w14:textFill>
            <w14:solidFill>
              <w14:schemeClr w14:val="tx1"/>
            </w14:solidFill>
          </w14:textFill>
        </w:rPr>
        <w:t>软件研究</w:t>
      </w:r>
    </w:p>
    <w:p w14:paraId="743033BC">
      <w:pPr>
        <w:spacing w:line="520" w:lineRule="exact"/>
        <w:ind w:firstLine="640" w:firstLineChars="200"/>
        <w:outlineLvl w:val="9"/>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该类产品软件安全性级别通常为中等级别，申请人需依据《医疗器械软件注册审查指导原则（2022年修订版）》，提供软件研究资料（含现成软件研究资料、互操作性研究资料、GB/T 25000.51报告等）。软件研究报告需覆盖全部软件组件，并建议关联综述资料描述的产品功能。对于具有网络连接功能的产品（目前已有产品可通过蓝牙连接进行电子数据交换），需提供网络安全描述文档，确保电子数据的完整性、安全性、可得性，建议参照《医疗器械网络安全注册审查指导原则（2022年修订版）》提供</w:t>
      </w:r>
      <w:r>
        <w:rPr>
          <w:rFonts w:hint="eastAsia" w:eastAsia="仿宋_GB2312"/>
          <w:color w:val="000000" w:themeColor="text1"/>
          <w:sz w:val="32"/>
          <w:szCs w:val="32"/>
          <w:highlight w:val="none"/>
          <w:lang w:eastAsia="zh-CN"/>
          <w14:textFill>
            <w14:solidFill>
              <w14:schemeClr w14:val="tx1"/>
            </w14:solidFill>
          </w14:textFill>
        </w:rPr>
        <w:t>。</w:t>
      </w:r>
    </w:p>
    <w:p w14:paraId="39CA6E46">
      <w:pPr>
        <w:spacing w:line="520" w:lineRule="exact"/>
        <w:ind w:firstLine="640" w:firstLineChars="200"/>
        <w:outlineLvl w:val="9"/>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对于符合移动医疗设备定义的，建议参考《移动医疗器械注册审查指导原则（2025年修订版）》提供移动计算终端研究报告。</w:t>
      </w:r>
    </w:p>
    <w:p w14:paraId="5773DC66">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生物学特性研究</w:t>
      </w:r>
    </w:p>
    <w:p w14:paraId="55A0CBC4">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生物相容性评价根据GB/T 16886.1</w:t>
      </w:r>
      <w:r>
        <w:rPr>
          <w:rFonts w:hint="eastAsia" w:eastAsia="仿宋_GB2312"/>
          <w:color w:val="000000" w:themeColor="text1"/>
          <w:sz w:val="32"/>
          <w:szCs w:val="32"/>
          <w:highlight w:val="none"/>
          <w:lang w:eastAsia="zh-CN"/>
          <w14:textFill>
            <w14:solidFill>
              <w14:schemeClr w14:val="tx1"/>
            </w14:solidFill>
          </w14:textFill>
        </w:rPr>
        <w:t>系列</w:t>
      </w:r>
      <w:r>
        <w:rPr>
          <w:rFonts w:eastAsia="仿宋_GB2312"/>
          <w:color w:val="000000" w:themeColor="text1"/>
          <w:sz w:val="32"/>
          <w:szCs w:val="32"/>
          <w:highlight w:val="none"/>
          <w14:textFill>
            <w14:solidFill>
              <w14:schemeClr w14:val="tx1"/>
            </w14:solidFill>
          </w14:textFill>
        </w:rPr>
        <w:t>标准进行。申报资料应描述产品所用材料及其与人体接触的性质，如：</w:t>
      </w:r>
      <w:r>
        <w:rPr>
          <w:rFonts w:hint="eastAsia" w:eastAsia="仿宋_GB2312"/>
          <w:color w:val="000000" w:themeColor="text1"/>
          <w:sz w:val="32"/>
          <w:szCs w:val="32"/>
          <w:highlight w:val="none"/>
          <w14:textFill>
            <w14:solidFill>
              <w14:schemeClr w14:val="tx1"/>
            </w14:solidFill>
          </w14:textFill>
        </w:rPr>
        <w:t>体温计为与人体皮肤、黏膜短期接触器械，接触的部件为探测器，该部件一般采用不锈钢材料制成（如产品包含与探测器保护套，则该附的生物相容性需一并考虑）</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eastAsia="zh-CN"/>
          <w14:textFill>
            <w14:solidFill>
              <w14:schemeClr w14:val="tx1"/>
            </w14:solidFill>
          </w14:textFill>
        </w:rPr>
        <w:t>体温贴与人体接触的性质应考虑累计测量时间。</w:t>
      </w:r>
      <w:r>
        <w:rPr>
          <w:rFonts w:eastAsia="仿宋_GB2312"/>
          <w:color w:val="000000" w:themeColor="text1"/>
          <w:sz w:val="32"/>
          <w:szCs w:val="32"/>
          <w:highlight w:val="none"/>
          <w14:textFill>
            <w14:solidFill>
              <w14:schemeClr w14:val="tx1"/>
            </w14:solidFill>
          </w14:textFill>
        </w:rPr>
        <w:t>生物相容性评价研究应给出实施或豁免生物学试验的理由和论证，并对现有数据或试验结果进行评价。如实施生物学试验，应按照GB/T 16886.1</w:t>
      </w:r>
      <w:r>
        <w:rPr>
          <w:rFonts w:hint="eastAsia" w:eastAsia="仿宋_GB2312"/>
          <w:color w:val="000000" w:themeColor="text1"/>
          <w:sz w:val="32"/>
          <w:szCs w:val="32"/>
          <w:highlight w:val="none"/>
          <w:lang w:eastAsia="zh-CN"/>
          <w14:textFill>
            <w14:solidFill>
              <w14:schemeClr w14:val="tx1"/>
            </w14:solidFill>
          </w14:textFill>
        </w:rPr>
        <w:t>系列</w:t>
      </w:r>
      <w:r>
        <w:rPr>
          <w:rFonts w:eastAsia="仿宋_GB2312"/>
          <w:color w:val="000000" w:themeColor="text1"/>
          <w:sz w:val="32"/>
          <w:szCs w:val="32"/>
          <w:highlight w:val="none"/>
          <w14:textFill>
            <w14:solidFill>
              <w14:schemeClr w14:val="tx1"/>
            </w14:solidFill>
          </w14:textFill>
        </w:rPr>
        <w:t>标准提供相关研究。</w:t>
      </w:r>
    </w:p>
    <w:p w14:paraId="2D231A1E">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灭菌/消毒工艺研究</w:t>
      </w:r>
    </w:p>
    <w:p w14:paraId="2B6309A7">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本产品属于终端用户消毒产品</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eastAsia="zh-CN"/>
          <w14:textFill>
            <w14:solidFill>
              <w14:schemeClr w14:val="tx1"/>
            </w14:solidFill>
          </w14:textFill>
        </w:rPr>
        <w:t>应根据测量部位考虑交叉感染风险，明确消毒水平，还</w:t>
      </w:r>
      <w:r>
        <w:rPr>
          <w:rFonts w:hint="eastAsia" w:eastAsia="仿宋_GB2312"/>
          <w:color w:val="000000" w:themeColor="text1"/>
          <w:sz w:val="32"/>
          <w:szCs w:val="32"/>
          <w:highlight w:val="none"/>
          <w:lang w:eastAsia="zh-CN"/>
          <w14:textFill>
            <w14:solidFill>
              <w14:schemeClr w14:val="tx1"/>
            </w14:solidFill>
          </w14:textFill>
        </w:rPr>
        <w:t>需</w:t>
      </w:r>
      <w:r>
        <w:rPr>
          <w:rFonts w:hint="eastAsia" w:eastAsia="仿宋_GB2312"/>
          <w:color w:val="000000" w:themeColor="text1"/>
          <w:sz w:val="32"/>
          <w:szCs w:val="32"/>
          <w:highlight w:val="none"/>
          <w14:textFill>
            <w14:solidFill>
              <w14:schemeClr w14:val="tx1"/>
            </w14:solidFill>
          </w14:textFill>
        </w:rPr>
        <w:t>明确推荐的消毒工艺（方法和参数、消毒频率、消毒介质）以及所推荐消毒方法确定的依据</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提交清洁消毒有效性的验证确认资料</w:t>
      </w:r>
      <w:r>
        <w:rPr>
          <w:rFonts w:hint="eastAsia" w:eastAsia="仿宋_GB2312"/>
          <w:color w:val="000000" w:themeColor="text1"/>
          <w:sz w:val="32"/>
          <w:szCs w:val="32"/>
          <w:highlight w:val="none"/>
          <w:lang w:eastAsia="zh-CN"/>
          <w14:textFill>
            <w14:solidFill>
              <w14:schemeClr w14:val="tx1"/>
            </w14:solidFill>
          </w14:textFill>
        </w:rPr>
        <w:t>。</w:t>
      </w:r>
    </w:p>
    <w:p w14:paraId="1ACA47BC">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4.5</w:t>
      </w:r>
      <w:r>
        <w:rPr>
          <w:rFonts w:hint="eastAsia" w:eastAsia="仿宋_GB2312"/>
          <w:color w:val="000000" w:themeColor="text1"/>
          <w:sz w:val="32"/>
          <w:szCs w:val="32"/>
          <w:highlight w:val="none"/>
          <w:lang w:eastAsia="zh-CN"/>
          <w14:textFill>
            <w14:solidFill>
              <w14:schemeClr w14:val="tx1"/>
            </w14:solidFill>
          </w14:textFill>
        </w:rPr>
        <w:t xml:space="preserve"> 可用</w:t>
      </w:r>
      <w:bookmarkStart w:id="5" w:name="增加可用性研究资料"/>
      <w:bookmarkEnd w:id="5"/>
      <w:r>
        <w:rPr>
          <w:rFonts w:hint="eastAsia" w:eastAsia="仿宋_GB2312"/>
          <w:color w:val="000000" w:themeColor="text1"/>
          <w:sz w:val="32"/>
          <w:szCs w:val="32"/>
          <w:highlight w:val="none"/>
          <w:lang w:eastAsia="zh-CN"/>
          <w14:textFill>
            <w14:solidFill>
              <w14:schemeClr w14:val="tx1"/>
            </w14:solidFill>
          </w14:textFill>
        </w:rPr>
        <w:t>性研究</w:t>
      </w:r>
    </w:p>
    <w:p w14:paraId="5BADBBA5">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应参照《医疗器械可用性工程注册审查指导原则》，按照中、低使用风险医疗器械要求提交使用错误评估报告。</w:t>
      </w:r>
    </w:p>
    <w:p w14:paraId="19B25D59">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5.</w:t>
      </w:r>
      <w:r>
        <w:rPr>
          <w:rFonts w:eastAsia="仿宋_GB2312"/>
          <w:color w:val="000000" w:themeColor="text1"/>
          <w:sz w:val="32"/>
          <w:szCs w:val="32"/>
          <w:highlight w:val="none"/>
          <w14:textFill>
            <w14:solidFill>
              <w14:schemeClr w14:val="tx1"/>
            </w14:solidFill>
          </w14:textFill>
        </w:rPr>
        <w:t>稳定性研究</w:t>
      </w:r>
    </w:p>
    <w:p w14:paraId="79E28AD7">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bookmarkStart w:id="6" w:name="_Toc28459"/>
      <w:bookmarkStart w:id="7" w:name="_Toc12708"/>
      <w:bookmarkStart w:id="8" w:name="_Toc21669"/>
      <w:r>
        <w:rPr>
          <w:rFonts w:hint="eastAsia" w:eastAsia="仿宋_GB2312"/>
          <w:color w:val="000000" w:themeColor="text1"/>
          <w:sz w:val="32"/>
          <w:szCs w:val="32"/>
          <w:highlight w:val="none"/>
          <w14:textFill>
            <w14:solidFill>
              <w14:schemeClr w14:val="tx1"/>
            </w14:solidFill>
          </w14:textFill>
        </w:rPr>
        <w:t>5.1使用稳定性</w:t>
      </w:r>
      <w:bookmarkEnd w:id="6"/>
      <w:bookmarkEnd w:id="7"/>
      <w:bookmarkEnd w:id="8"/>
      <w:r>
        <w:rPr>
          <w:rFonts w:hint="eastAsia" w:eastAsia="仿宋_GB2312"/>
          <w:color w:val="000000" w:themeColor="text1"/>
          <w:sz w:val="32"/>
          <w:szCs w:val="32"/>
          <w:highlight w:val="none"/>
          <w14:textFill>
            <w14:solidFill>
              <w14:schemeClr w14:val="tx1"/>
            </w14:solidFill>
          </w14:textFill>
        </w:rPr>
        <w:tab/>
      </w:r>
    </w:p>
    <w:p w14:paraId="2C1FADB3">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应当提供使用稳定性/可靠性研究资料，证明在规定的使用期限/使用次数内，在正常使用、维护和校准情况下，产品的性能功能满足使用要求。</w:t>
      </w:r>
    </w:p>
    <w:p w14:paraId="5DF46654">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可参考《有源医疗器械使用期限指导原则》中推荐的方法，如采用加速老化和/或实时老化的方式进行，老化后对产品的关键功能性能及电气安全进行检验，例如</w:t>
      </w:r>
      <w:r>
        <w:rPr>
          <w:rFonts w:hint="eastAsia" w:eastAsia="仿宋_GB2312"/>
          <w:color w:val="000000" w:themeColor="text1"/>
          <w:sz w:val="32"/>
          <w:szCs w:val="32"/>
          <w:highlight w:val="none"/>
          <w:lang w:eastAsia="zh-CN"/>
          <w14:textFill>
            <w14:solidFill>
              <w14:schemeClr w14:val="tx1"/>
            </w14:solidFill>
          </w14:textFill>
        </w:rPr>
        <w:t>温度性能</w:t>
      </w:r>
      <w:r>
        <w:rPr>
          <w:rFonts w:hint="eastAsia" w:eastAsia="仿宋_GB2312"/>
          <w:color w:val="000000" w:themeColor="text1"/>
          <w:sz w:val="32"/>
          <w:szCs w:val="32"/>
          <w:highlight w:val="none"/>
          <w14:textFill>
            <w14:solidFill>
              <w14:schemeClr w14:val="tx1"/>
            </w14:solidFill>
          </w14:textFill>
        </w:rPr>
        <w:t>，以证明产品的功能性能满足使用要求。应给出老化后测试的性能指标的确定依据，对于未测试的性能指标，应给出合理解释。</w:t>
      </w:r>
    </w:p>
    <w:p w14:paraId="07E33E24">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bookmarkStart w:id="9" w:name="_Toc18877"/>
      <w:bookmarkStart w:id="10" w:name="_Toc11962"/>
      <w:r>
        <w:rPr>
          <w:rFonts w:hint="eastAsia" w:eastAsia="仿宋_GB2312"/>
          <w:color w:val="000000" w:themeColor="text1"/>
          <w:sz w:val="32"/>
          <w:szCs w:val="32"/>
          <w:highlight w:val="none"/>
          <w14:textFill>
            <w14:solidFill>
              <w14:schemeClr w14:val="tx1"/>
            </w14:solidFill>
          </w14:textFill>
        </w:rPr>
        <w:t>5.2运输稳定性</w:t>
      </w:r>
      <w:bookmarkEnd w:id="9"/>
      <w:bookmarkEnd w:id="10"/>
    </w:p>
    <w:p w14:paraId="6F28DC27">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应提供运输稳定性和包装研究资料，证明生产企业规定的运输条件不会对产品的特性和性能造成不利影响。</w:t>
      </w:r>
    </w:p>
    <w:p w14:paraId="2515330B">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运输稳定性研究通常提供模拟运输试验进行，通过模拟规定的运输贮存条件，验证包装对性能及安全的保护能力。运输试验开始前及结束后，应对产品关键功能性能及电气安全进行验证，例如</w:t>
      </w:r>
      <w:r>
        <w:rPr>
          <w:rFonts w:hint="eastAsia" w:eastAsia="仿宋_GB2312"/>
          <w:color w:val="000000" w:themeColor="text1"/>
          <w:sz w:val="32"/>
          <w:szCs w:val="32"/>
          <w:highlight w:val="none"/>
          <w:lang w:eastAsia="zh-CN"/>
          <w14:textFill>
            <w14:solidFill>
              <w14:schemeClr w14:val="tx1"/>
            </w14:solidFill>
          </w14:textFill>
        </w:rPr>
        <w:t>温度性能</w:t>
      </w:r>
      <w:r>
        <w:rPr>
          <w:rFonts w:hint="eastAsia" w:eastAsia="仿宋_GB2312"/>
          <w:color w:val="000000" w:themeColor="text1"/>
          <w:sz w:val="32"/>
          <w:szCs w:val="32"/>
          <w:highlight w:val="none"/>
          <w14:textFill>
            <w14:solidFill>
              <w14:schemeClr w14:val="tx1"/>
            </w14:solidFill>
          </w14:textFill>
        </w:rPr>
        <w:t>，应提供验证项目的选择依据。模拟运输试验可参考GB/T 4857系列标准的要求进行，也可参考相应的国际标准，如ASTM D4169等。运输贮存条件应与说明书中规定的条件一致。</w:t>
      </w:r>
    </w:p>
    <w:p w14:paraId="26E69406">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5.3医用电器环境试验研究</w:t>
      </w:r>
    </w:p>
    <w:p w14:paraId="2C4BCF8D">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主要包括气候环境条件、机械环境条件，可参考GB/T 14710《医用电器环境要求及试验方法》及其他适用的国家标准和行业标准</w:t>
      </w:r>
      <w:r>
        <w:rPr>
          <w:rFonts w:hint="eastAsia" w:eastAsia="仿宋_GB2312"/>
          <w:color w:val="000000" w:themeColor="text1"/>
          <w:sz w:val="32"/>
          <w:szCs w:val="32"/>
          <w:highlight w:val="none"/>
          <w:lang w:eastAsia="zh-CN"/>
          <w14:textFill>
            <w14:solidFill>
              <w14:schemeClr w14:val="tx1"/>
            </w14:solidFill>
          </w14:textFill>
        </w:rPr>
        <w:t>开展环境试验研究</w:t>
      </w:r>
      <w:r>
        <w:rPr>
          <w:rFonts w:hint="eastAsia" w:eastAsia="仿宋_GB2312"/>
          <w:color w:val="000000" w:themeColor="text1"/>
          <w:sz w:val="32"/>
          <w:szCs w:val="32"/>
          <w:highlight w:val="none"/>
          <w14:textFill>
            <w14:solidFill>
              <w14:schemeClr w14:val="tx1"/>
            </w14:solidFill>
          </w14:textFill>
        </w:rPr>
        <w:t>。</w:t>
      </w:r>
    </w:p>
    <w:p w14:paraId="0E207906">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正常工作环境以产品标称为准，但需经相应环境试验验证。明确标识供电类型、电压。</w:t>
      </w:r>
      <w:r>
        <w:rPr>
          <w:rFonts w:hint="eastAsia" w:eastAsia="仿宋_GB2312"/>
          <w:color w:val="000000" w:themeColor="text1"/>
          <w:sz w:val="32"/>
          <w:szCs w:val="32"/>
          <w:highlight w:val="none"/>
          <w14:textFill>
            <w14:solidFill>
              <w14:schemeClr w14:val="tx1"/>
            </w14:solidFill>
          </w14:textFill>
        </w:rPr>
        <w:t>。</w:t>
      </w:r>
    </w:p>
    <w:p w14:paraId="1B5B9FFD">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6.</w:t>
      </w:r>
      <w:r>
        <w:rPr>
          <w:rFonts w:eastAsia="仿宋_GB2312"/>
          <w:color w:val="000000" w:themeColor="text1"/>
          <w:sz w:val="32"/>
          <w:szCs w:val="32"/>
          <w:highlight w:val="none"/>
          <w14:textFill>
            <w14:solidFill>
              <w14:schemeClr w14:val="tx1"/>
            </w14:solidFill>
          </w14:textFill>
        </w:rPr>
        <w:t>其他</w:t>
      </w:r>
      <w:bookmarkStart w:id="11" w:name="其他未实质修改"/>
      <w:bookmarkEnd w:id="11"/>
      <w:r>
        <w:rPr>
          <w:rFonts w:eastAsia="仿宋_GB2312"/>
          <w:color w:val="000000" w:themeColor="text1"/>
          <w:sz w:val="32"/>
          <w:szCs w:val="32"/>
          <w:highlight w:val="none"/>
          <w14:textFill>
            <w14:solidFill>
              <w14:schemeClr w14:val="tx1"/>
            </w14:solidFill>
          </w14:textFill>
        </w:rPr>
        <w:t>资料</w:t>
      </w:r>
    </w:p>
    <w:p w14:paraId="00A9694E">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医用电子体温计（非预测模式）属于免于进行临床评价的医疗器械，申请人需按照《列入免于进行临床评价医疗器械目录产品对比说明技术指导原则》的要求提交相关资料，对比项目可参考附件</w:t>
      </w:r>
      <w:r>
        <w:rPr>
          <w:rFonts w:hint="eastAsia" w:eastAsia="仿宋_GB2312"/>
          <w:color w:val="000000" w:themeColor="text1"/>
          <w:sz w:val="32"/>
          <w:szCs w:val="32"/>
          <w:highlight w:val="none"/>
          <w:lang w:val="en-US" w:eastAsia="zh-CN"/>
          <w14:textFill>
            <w14:solidFill>
              <w14:schemeClr w14:val="tx1"/>
            </w14:solidFill>
          </w14:textFill>
        </w:rPr>
        <w:t>1</w:t>
      </w:r>
      <w:r>
        <w:rPr>
          <w:rFonts w:eastAsia="仿宋_GB2312"/>
          <w:color w:val="000000" w:themeColor="text1"/>
          <w:sz w:val="32"/>
          <w:szCs w:val="32"/>
          <w:highlight w:val="none"/>
          <w14:textFill>
            <w14:solidFill>
              <w14:schemeClr w14:val="tx1"/>
            </w14:solidFill>
          </w14:textFill>
        </w:rPr>
        <w:t>。</w:t>
      </w:r>
    </w:p>
    <w:p w14:paraId="1FC5BAF4">
      <w:pPr>
        <w:widowControl/>
        <w:spacing w:line="520" w:lineRule="exact"/>
        <w:ind w:firstLine="425" w:firstLineChars="133"/>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（四）临</w:t>
      </w:r>
      <w:bookmarkStart w:id="12" w:name="临床评价未实质修改"/>
      <w:bookmarkEnd w:id="12"/>
      <w:r>
        <w:rPr>
          <w:rFonts w:eastAsia="楷体_GB2312"/>
          <w:color w:val="000000" w:themeColor="text1"/>
          <w:sz w:val="32"/>
          <w:szCs w:val="32"/>
          <w:highlight w:val="none"/>
          <w14:textFill>
            <w14:solidFill>
              <w14:schemeClr w14:val="tx1"/>
            </w14:solidFill>
          </w14:textFill>
        </w:rPr>
        <w:t>床评价资料</w:t>
      </w:r>
    </w:p>
    <w:p w14:paraId="5ECA1BDE">
      <w:pPr>
        <w:widowControl/>
        <w:spacing w:line="520" w:lineRule="exact"/>
        <w:ind w:firstLine="742" w:firstLineChars="232"/>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无法证明申报产品与《目录》产品具有等同性或申报产品为预测式医用电子体温计，则应按照《医疗器械临床评价技术审查指导原则》其他路径开展相应工作，提供符合要求的临床评价资料。因预测式医用电子体温计属于YY 9706.256中的调整模式，按照YY 9706.256第201.102章的要求提交临床准确度验证报告</w:t>
      </w:r>
      <w:r>
        <w:rPr>
          <w:rFonts w:hint="eastAsia" w:eastAsia="仿宋_GB2312"/>
          <w:color w:val="000000" w:themeColor="text1"/>
          <w:sz w:val="32"/>
          <w:szCs w:val="32"/>
          <w:highlight w:val="none"/>
          <w:lang w:eastAsia="zh-CN"/>
          <w14:textFill>
            <w14:solidFill>
              <w14:schemeClr w14:val="tx1"/>
            </w14:solidFill>
          </w14:textFill>
        </w:rPr>
        <w:t>。</w:t>
      </w:r>
    </w:p>
    <w:p w14:paraId="00C0DB4B">
      <w:pPr>
        <w:widowControl/>
        <w:spacing w:line="520" w:lineRule="exact"/>
        <w:ind w:firstLine="425" w:firstLineChars="133"/>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（五）产品说</w:t>
      </w:r>
      <w:bookmarkStart w:id="13" w:name="说明书修订"/>
      <w:bookmarkEnd w:id="13"/>
      <w:r>
        <w:rPr>
          <w:rFonts w:eastAsia="楷体_GB2312"/>
          <w:color w:val="000000" w:themeColor="text1"/>
          <w:sz w:val="32"/>
          <w:szCs w:val="32"/>
          <w:highlight w:val="none"/>
          <w14:textFill>
            <w14:solidFill>
              <w14:schemeClr w14:val="tx1"/>
            </w14:solidFill>
          </w14:textFill>
        </w:rPr>
        <w:t>明书和标签样稿</w:t>
      </w:r>
    </w:p>
    <w:p w14:paraId="7399C2A0">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医用电子体温计产品的说明书、标签应符合《医疗器械说明书和标签管理规定》和GB 9706.1、YY 9706.102、YY 9706.256、</w:t>
      </w:r>
      <w:r>
        <w:rPr>
          <w:rFonts w:hint="eastAsia" w:eastAsia="仿宋_GB2312"/>
          <w:color w:val="000000" w:themeColor="text1"/>
          <w:sz w:val="32"/>
          <w:szCs w:val="32"/>
          <w:highlight w:val="none"/>
          <w:lang w:eastAsia="zh-CN"/>
          <w14:textFill>
            <w14:solidFill>
              <w14:schemeClr w14:val="tx1"/>
            </w14:solidFill>
          </w14:textFill>
        </w:rPr>
        <w:t>YY9706.111（若适用）</w:t>
      </w:r>
      <w:r>
        <w:rPr>
          <w:rFonts w:hint="eastAsia" w:eastAsia="仿宋_GB2312"/>
          <w:color w:val="000000" w:themeColor="text1"/>
          <w:sz w:val="32"/>
          <w:szCs w:val="32"/>
          <w:highlight w:val="none"/>
          <w:lang w:eastAsia="zh-CN"/>
          <w14:textFill>
            <w14:solidFill>
              <w14:schemeClr w14:val="tx1"/>
            </w14:solidFill>
          </w14:textFill>
        </w:rPr>
        <w:t>、YY/T 0466.1等标准中的相关要求。还应包括以下内容</w:t>
      </w:r>
      <w:r>
        <w:rPr>
          <w:rFonts w:eastAsia="仿宋_GB2312"/>
          <w:color w:val="000000" w:themeColor="text1"/>
          <w:sz w:val="32"/>
          <w:szCs w:val="32"/>
          <w:highlight w:val="none"/>
          <w14:textFill>
            <w14:solidFill>
              <w14:schemeClr w14:val="tx1"/>
            </w14:solidFill>
          </w14:textFill>
        </w:rPr>
        <w:t>：</w:t>
      </w:r>
    </w:p>
    <w:p w14:paraId="32CCC540">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温度显示范围、温度单位、最大允许误差、测量时间、正常工作和贮存条件。</w:t>
      </w:r>
    </w:p>
    <w:p w14:paraId="69AD235F">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被测对象的身体部位。</w:t>
      </w:r>
    </w:p>
    <w:p w14:paraId="111716F8">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说明书中应包括对使用警告总结的章节。</w:t>
      </w:r>
    </w:p>
    <w:p w14:paraId="04C79034">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介绍如何进行使用前检查，获取帮助服务的渠道、标准操作程序、常规维护及清洗方法建议。</w:t>
      </w:r>
    </w:p>
    <w:p w14:paraId="6E7B8538">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对于家用电子体温计指出：详细测量方法，至少包括测量位置、在测量之前恰当的休息时间，并声明应有专业人士解释测量所得的体温值。</w:t>
      </w:r>
    </w:p>
    <w:p w14:paraId="07E88377">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提示用户，测量者的姿势以及身体状况会影响体温测量。</w:t>
      </w:r>
    </w:p>
    <w:p w14:paraId="35ABA64A">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声明如果在注册申请人指定的温度和湿度范围外储存或使用，系统可能无法达到声称的性能（注册申请人指定的温度和湿度范围应一并在声明中给出）。</w:t>
      </w:r>
    </w:p>
    <w:p w14:paraId="3F420A5B">
      <w:pPr>
        <w:numPr>
          <w:ilvl w:val="0"/>
          <w:numId w:val="3"/>
        </w:numPr>
        <w:spacing w:line="520" w:lineRule="exact"/>
        <w:ind w:left="0" w:leftChars="0" w:firstLine="567" w:firstLineChars="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推荐使用的消毒程序。</w:t>
      </w:r>
    </w:p>
    <w:p w14:paraId="4C32DF26">
      <w:pPr>
        <w:numPr>
          <w:ilvl w:val="0"/>
          <w:numId w:val="3"/>
        </w:numPr>
        <w:spacing w:line="520" w:lineRule="exact"/>
        <w:ind w:left="0" w:leftChars="0" w:firstLine="567"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医用电子体温计检测温度持续16秒或其他时长（如8秒、32秒等）不发生变化时（或上升斜率在规定值以下），发出蜂鸣提示，此时测温值为预测的人体平衡温。使用者如果想要得到更精确的体温值，应继续测温，体温计会适时更新温度显示，直至达到实际的人体平衡温度（实测平衡温），这个过程口腔一般需要3—5分钟，腋下需要5—10分钟，因此此前发出蜂鸣提示时显示的温度值与人体平衡温度值可能存在偏差，产品说明书中应对此予以提示，给出不同测量部位的预测测温时间和实测测温时间，防止患者误解。</w:t>
      </w:r>
    </w:p>
    <w:p w14:paraId="473E73A6">
      <w:pPr>
        <w:numPr>
          <w:ilvl w:val="0"/>
          <w:numId w:val="3"/>
        </w:numPr>
        <w:spacing w:line="520" w:lineRule="exact"/>
        <w:ind w:left="0" w:leftChars="0" w:firstLine="567"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使用说明书应向使用者或操作者提供有关存在于该</w:t>
      </w:r>
      <w:r>
        <w:rPr>
          <w:rFonts w:hint="eastAsia" w:eastAsia="仿宋_GB2312"/>
          <w:color w:val="000000" w:themeColor="text1"/>
          <w:sz w:val="32"/>
          <w:szCs w:val="32"/>
          <w:highlight w:val="none"/>
          <w:lang w:eastAsia="zh-CN"/>
          <w14:textFill>
            <w14:solidFill>
              <w14:schemeClr w14:val="tx1"/>
            </w14:solidFill>
          </w14:textFill>
        </w:rPr>
        <w:t>产品</w:t>
      </w:r>
      <w:r>
        <w:rPr>
          <w:rFonts w:hint="eastAsia" w:eastAsia="仿宋_GB2312"/>
          <w:color w:val="000000" w:themeColor="text1"/>
          <w:sz w:val="32"/>
          <w:szCs w:val="32"/>
          <w:highlight w:val="none"/>
          <w14:textFill>
            <w14:solidFill>
              <w14:schemeClr w14:val="tx1"/>
            </w14:solidFill>
          </w14:textFill>
        </w:rPr>
        <w:t>与其他装置之间的潜在的电磁干扰或其他干扰的资料，以及有关避免这些干扰的建议，如:明确不要在强电磁条件下使用</w:t>
      </w:r>
      <w:r>
        <w:rPr>
          <w:rFonts w:eastAsia="仿宋_GB2312"/>
          <w:color w:val="000000" w:themeColor="text1"/>
          <w:sz w:val="32"/>
          <w:szCs w:val="32"/>
          <w:highlight w:val="none"/>
          <w14:textFill>
            <w14:solidFill>
              <w14:schemeClr w14:val="tx1"/>
            </w14:solidFill>
          </w14:textFill>
        </w:rPr>
        <w:t>。</w:t>
      </w:r>
    </w:p>
    <w:p w14:paraId="212DC6C5">
      <w:pPr>
        <w:numPr>
          <w:ilvl w:val="0"/>
          <w:numId w:val="3"/>
        </w:numPr>
        <w:spacing w:line="520" w:lineRule="exact"/>
        <w:ind w:left="0" w:leftChars="0" w:firstLine="567"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 xml:space="preserve">体温计应根据《医用电子体温计校准规范》（JJF </w:t>
      </w:r>
      <w:r>
        <w:rPr>
          <w:rFonts w:hint="eastAsia" w:eastAsia="仿宋_GB2312"/>
          <w:color w:val="000000" w:themeColor="text1"/>
          <w:sz w:val="32"/>
          <w:szCs w:val="32"/>
          <w:highlight w:val="none"/>
          <w14:textFill>
            <w14:solidFill>
              <w14:schemeClr w14:val="tx1"/>
            </w14:solidFill>
          </w14:textFill>
        </w:rPr>
        <w:t>JJG1162</w:t>
      </w:r>
      <w:r>
        <w:rPr>
          <w:rFonts w:eastAsia="仿宋_GB2312"/>
          <w:color w:val="000000" w:themeColor="text1"/>
          <w:sz w:val="32"/>
          <w:szCs w:val="32"/>
          <w:highlight w:val="none"/>
          <w14:textFill>
            <w14:solidFill>
              <w14:schemeClr w14:val="tx1"/>
            </w14:solidFill>
          </w14:textFill>
        </w:rPr>
        <w:t>）标准要求进行复校，间隔时间最长不超过1年</w:t>
      </w:r>
      <w:r>
        <w:rPr>
          <w:rFonts w:hint="eastAsia" w:eastAsia="仿宋_GB2312"/>
          <w:color w:val="000000" w:themeColor="text1"/>
          <w:sz w:val="32"/>
          <w:szCs w:val="32"/>
          <w:highlight w:val="none"/>
          <w:lang w:eastAsia="zh-CN"/>
          <w14:textFill>
            <w14:solidFill>
              <w14:schemeClr w14:val="tx1"/>
            </w14:solidFill>
          </w14:textFill>
        </w:rPr>
        <w:t>。</w:t>
      </w:r>
    </w:p>
    <w:p w14:paraId="1EDBF9D1">
      <w:pPr>
        <w:widowControl/>
        <w:spacing w:line="520" w:lineRule="exact"/>
        <w:ind w:firstLine="425" w:firstLineChars="133"/>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（六）质量管理体系文件</w:t>
      </w:r>
    </w:p>
    <w:p w14:paraId="1398D75F">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1.应依据《关于公布医疗器械注册申报资料要求和批准证明文件格式的公告》（2021年第121号）要求提供质量管理体系核查文件。</w:t>
      </w:r>
    </w:p>
    <w:p w14:paraId="453D618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2.若产品有多个研制、生产场地，应概述每个研制、生产场地的实际情况</w:t>
      </w:r>
      <w:r>
        <w:rPr>
          <w:rFonts w:eastAsia="仿宋_GB2312"/>
          <w:color w:val="000000" w:themeColor="text1"/>
          <w:sz w:val="32"/>
          <w:szCs w:val="32"/>
          <w:highlight w:val="none"/>
          <w14:textFill>
            <w14:solidFill>
              <w14:schemeClr w14:val="tx1"/>
            </w14:solidFill>
          </w14:textFill>
        </w:rPr>
        <w:t>。</w:t>
      </w:r>
    </w:p>
    <w:p w14:paraId="16297C93">
      <w:pPr>
        <w:spacing w:line="520" w:lineRule="exact"/>
        <w:ind w:firstLine="640" w:firstLineChars="200"/>
        <w:rPr>
          <w:rFonts w:eastAsia="仿宋_GB2312"/>
          <w:color w:val="000000" w:themeColor="text1"/>
          <w:sz w:val="32"/>
          <w:szCs w:val="32"/>
          <w:highlight w:val="none"/>
          <w14:textFill>
            <w14:solidFill>
              <w14:schemeClr w14:val="tx1"/>
            </w14:solidFill>
          </w14:textFill>
        </w:rPr>
      </w:pPr>
    </w:p>
    <w:p w14:paraId="33AF5D6B">
      <w:pPr>
        <w:spacing w:line="520" w:lineRule="exact"/>
        <w:ind w:firstLine="640" w:firstLineChars="200"/>
        <w:rPr>
          <w:rFonts w:eastAsia="仿宋_GB2312"/>
          <w:color w:val="000000" w:themeColor="text1"/>
          <w:sz w:val="32"/>
          <w:szCs w:val="32"/>
          <w:highlight w:val="none"/>
          <w14:textFill>
            <w14:solidFill>
              <w14:schemeClr w14:val="tx1"/>
            </w14:solidFill>
          </w14:textFill>
        </w:rPr>
      </w:pPr>
    </w:p>
    <w:p w14:paraId="153076D3">
      <w:pPr>
        <w:spacing w:line="520" w:lineRule="exact"/>
        <w:ind w:firstLine="640" w:firstLineChars="200"/>
        <w:rPr>
          <w:rFonts w:eastAsia="仿宋_GB2312"/>
          <w:color w:val="000000" w:themeColor="text1"/>
          <w:sz w:val="32"/>
          <w:szCs w:val="32"/>
          <w:highlight w:val="none"/>
          <w14:textFill>
            <w14:solidFill>
              <w14:schemeClr w14:val="tx1"/>
            </w14:solidFill>
          </w14:textFill>
        </w:rPr>
      </w:pPr>
    </w:p>
    <w:p w14:paraId="65FDE8BC">
      <w:pPr>
        <w:spacing w:line="520" w:lineRule="exact"/>
        <w:ind w:firstLine="640" w:firstLineChars="200"/>
        <w:rPr>
          <w:rFonts w:eastAsia="仿宋_GB2312"/>
          <w:color w:val="000000" w:themeColor="text1"/>
          <w:sz w:val="32"/>
          <w:szCs w:val="32"/>
          <w:highlight w:val="none"/>
          <w14:textFill>
            <w14:solidFill>
              <w14:schemeClr w14:val="tx1"/>
            </w14:solidFill>
          </w14:textFill>
        </w:rPr>
      </w:pPr>
    </w:p>
    <w:p w14:paraId="5E6B377F">
      <w:pPr>
        <w:spacing w:line="520" w:lineRule="exact"/>
        <w:ind w:firstLine="640" w:firstLineChars="200"/>
        <w:rPr>
          <w:rFonts w:eastAsia="仿宋_GB2312"/>
          <w:color w:val="000000" w:themeColor="text1"/>
          <w:sz w:val="32"/>
          <w:szCs w:val="32"/>
          <w:highlight w:val="none"/>
          <w14:textFill>
            <w14:solidFill>
              <w14:schemeClr w14:val="tx1"/>
            </w14:solidFill>
          </w14:textFill>
        </w:rPr>
        <w:sectPr>
          <w:footerReference r:id="rId3" w:type="default"/>
          <w:footerReference r:id="rId4" w:type="even"/>
          <w:pgSz w:w="11906" w:h="16838"/>
          <w:pgMar w:top="2098" w:right="1588" w:bottom="2098" w:left="1588" w:header="851" w:footer="992" w:gutter="0"/>
          <w:cols w:space="425" w:num="1"/>
          <w:docGrid w:type="lines" w:linePitch="312" w:charSpace="0"/>
        </w:sectPr>
      </w:pPr>
    </w:p>
    <w:p w14:paraId="56E1996E">
      <w:pPr>
        <w:widowControl/>
        <w:spacing w:line="520" w:lineRule="exact"/>
        <w:outlineLvl w:val="0"/>
        <w:rPr>
          <w:rFonts w:eastAsia="黑体"/>
          <w:color w:val="000000" w:themeColor="text1"/>
          <w:kern w:val="0"/>
          <w:sz w:val="32"/>
          <w:szCs w:val="32"/>
          <w:highlight w:val="none"/>
          <w14:textFill>
            <w14:solidFill>
              <w14:schemeClr w14:val="tx1"/>
            </w14:solidFill>
          </w14:textFill>
        </w:rPr>
      </w:pPr>
      <w:r>
        <w:rPr>
          <w:rFonts w:hint="eastAsia" w:eastAsia="黑体"/>
          <w:color w:val="000000" w:themeColor="text1"/>
          <w:kern w:val="0"/>
          <w:sz w:val="32"/>
          <w:szCs w:val="32"/>
          <w:highlight w:val="none"/>
          <w14:textFill>
            <w14:solidFill>
              <w14:schemeClr w14:val="tx1"/>
            </w14:solidFill>
          </w14:textFill>
        </w:rPr>
        <w:t>三</w:t>
      </w:r>
      <w:r>
        <w:rPr>
          <w:rFonts w:eastAsia="黑体"/>
          <w:color w:val="000000" w:themeColor="text1"/>
          <w:kern w:val="0"/>
          <w:sz w:val="32"/>
          <w:szCs w:val="32"/>
          <w:highlight w:val="none"/>
          <w14:textFill>
            <w14:solidFill>
              <w14:schemeClr w14:val="tx1"/>
            </w14:solidFill>
          </w14:textFill>
        </w:rPr>
        <w:t>、参考文献</w:t>
      </w:r>
    </w:p>
    <w:p w14:paraId="65011207">
      <w:pPr>
        <w:numPr>
          <w:ilvl w:val="0"/>
          <w:numId w:val="4"/>
        </w:numPr>
        <w:spacing w:line="520" w:lineRule="exact"/>
        <w:ind w:left="283" w:leftChars="0" w:firstLine="0" w:firstLineChars="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中华人民共和国国务院.医疗器械监督管理条例:中华人民共和国国务院令第739号[Z]..</w:t>
      </w:r>
    </w:p>
    <w:p w14:paraId="4EF976DF">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国家</w:t>
      </w:r>
      <w:r>
        <w:rPr>
          <w:rFonts w:eastAsia="仿宋_GB2312"/>
          <w:color w:val="000000" w:themeColor="text1"/>
          <w:sz w:val="32"/>
          <w:szCs w:val="32"/>
          <w:highlight w:val="none"/>
          <w14:textFill>
            <w14:solidFill>
              <w14:schemeClr w14:val="tx1"/>
            </w14:solidFill>
          </w14:textFill>
        </w:rPr>
        <w:t>市场监督管理总局.</w:t>
      </w:r>
      <w:r>
        <w:rPr>
          <w:rFonts w:hint="eastAsia" w:eastAsia="仿宋_GB2312"/>
          <w:color w:val="000000" w:themeColor="text1"/>
          <w:sz w:val="32"/>
          <w:szCs w:val="32"/>
          <w:highlight w:val="none"/>
          <w14:textFill>
            <w14:solidFill>
              <w14:schemeClr w14:val="tx1"/>
            </w14:solidFill>
          </w14:textFill>
        </w:rPr>
        <w:t>医疗器械注册与备案管理办法:国家市场</w:t>
      </w:r>
      <w:r>
        <w:rPr>
          <w:rFonts w:eastAsia="仿宋_GB2312"/>
          <w:color w:val="000000" w:themeColor="text1"/>
          <w:sz w:val="32"/>
          <w:szCs w:val="32"/>
          <w:highlight w:val="none"/>
          <w14:textFill>
            <w14:solidFill>
              <w14:schemeClr w14:val="tx1"/>
            </w14:solidFill>
          </w14:textFill>
        </w:rPr>
        <w:t>监督管理总局令第</w:t>
      </w:r>
      <w:r>
        <w:rPr>
          <w:rFonts w:hint="eastAsia" w:eastAsia="仿宋_GB2312"/>
          <w:color w:val="000000" w:themeColor="text1"/>
          <w:sz w:val="32"/>
          <w:szCs w:val="32"/>
          <w:highlight w:val="none"/>
          <w14:textFill>
            <w14:solidFill>
              <w14:schemeClr w14:val="tx1"/>
            </w14:solidFill>
          </w14:textFill>
        </w:rPr>
        <w:t>47号[Z].</w:t>
      </w:r>
    </w:p>
    <w:p w14:paraId="41698AC0">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国家药品监督管理局.关于公布医疗器械注册申报资料要求和批准证明文件格式的公告：国家药品监督管理局公告2021年第121号[Z].</w:t>
      </w:r>
    </w:p>
    <w:p w14:paraId="5953CB30">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国家</w:t>
      </w:r>
      <w:r>
        <w:rPr>
          <w:rFonts w:eastAsia="仿宋_GB2312"/>
          <w:color w:val="000000" w:themeColor="text1"/>
          <w:sz w:val="32"/>
          <w:szCs w:val="32"/>
          <w:highlight w:val="none"/>
          <w14:textFill>
            <w14:solidFill>
              <w14:schemeClr w14:val="tx1"/>
            </w14:solidFill>
          </w14:textFill>
        </w:rPr>
        <w:t>药品监督管理局.</w:t>
      </w:r>
      <w:r>
        <w:rPr>
          <w:rFonts w:hint="eastAsia" w:eastAsia="仿宋_GB2312"/>
          <w:color w:val="000000" w:themeColor="text1"/>
          <w:sz w:val="32"/>
          <w:szCs w:val="32"/>
          <w:highlight w:val="none"/>
          <w14:textFill>
            <w14:solidFill>
              <w14:schemeClr w14:val="tx1"/>
            </w14:solidFill>
          </w14:textFill>
        </w:rPr>
        <w:t>医疗器械注册自检管理规定:国家</w:t>
      </w:r>
      <w:r>
        <w:rPr>
          <w:rFonts w:eastAsia="仿宋_GB2312"/>
          <w:color w:val="000000" w:themeColor="text1"/>
          <w:sz w:val="32"/>
          <w:szCs w:val="32"/>
          <w:highlight w:val="none"/>
          <w14:textFill>
            <w14:solidFill>
              <w14:schemeClr w14:val="tx1"/>
            </w14:solidFill>
          </w14:textFill>
        </w:rPr>
        <w:t>药品监督管理局公告</w:t>
      </w:r>
      <w:r>
        <w:rPr>
          <w:rFonts w:hint="eastAsia" w:eastAsia="仿宋_GB2312"/>
          <w:color w:val="000000" w:themeColor="text1"/>
          <w:sz w:val="32"/>
          <w:szCs w:val="32"/>
          <w:highlight w:val="none"/>
          <w14:textFill>
            <w14:solidFill>
              <w14:schemeClr w14:val="tx1"/>
            </w14:solidFill>
          </w14:textFill>
        </w:rPr>
        <w:t>2021年</w:t>
      </w:r>
      <w:r>
        <w:rPr>
          <w:rFonts w:eastAsia="仿宋_GB2312"/>
          <w:color w:val="000000" w:themeColor="text1"/>
          <w:sz w:val="32"/>
          <w:szCs w:val="32"/>
          <w:highlight w:val="none"/>
          <w14:textFill>
            <w14:solidFill>
              <w14:schemeClr w14:val="tx1"/>
            </w14:solidFill>
          </w14:textFill>
        </w:rPr>
        <w:t>第</w:t>
      </w:r>
      <w:r>
        <w:rPr>
          <w:rFonts w:hint="eastAsia" w:eastAsia="仿宋_GB2312"/>
          <w:color w:val="000000" w:themeColor="text1"/>
          <w:sz w:val="32"/>
          <w:szCs w:val="32"/>
          <w:highlight w:val="none"/>
          <w14:textFill>
            <w14:solidFill>
              <w14:schemeClr w14:val="tx1"/>
            </w14:solidFill>
          </w14:textFill>
        </w:rPr>
        <w:t>126号[Z].</w:t>
      </w:r>
    </w:p>
    <w:p w14:paraId="1A246F1B">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国家食品药品监督管理总局.医疗器械说明书和标签管理规定：国家食品药品监督管理总局令第6号[Z].</w:t>
      </w:r>
    </w:p>
    <w:p w14:paraId="77AB0937">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国家食品药品监督管理总局.医疗器械通用名称命名规则：国家食品药品监督管理总局令第19号[Z].</w:t>
      </w:r>
    </w:p>
    <w:p w14:paraId="3408CC48">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国家食品药品监督管理总局.医疗器械分类目录：国家食品药品监督管理总局公告2017年第104号[Z].</w:t>
      </w:r>
    </w:p>
    <w:p w14:paraId="46332EEF">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国家药品监督管理局.医疗器械安全和性能的基本原则：国家药品监督管理局通告2020年第18号[Z].</w:t>
      </w:r>
    </w:p>
    <w:p w14:paraId="581E5EC0">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国家药品监督管理局.医疗器械产品技术要求编写指导原则：国家药品监督管理局通告2022年第8号[Z].</w:t>
      </w:r>
    </w:p>
    <w:p w14:paraId="1BD773ED">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《国家药监局关于发布医疗器械临床评价技术指导原则等5项技术指导原则的通告》[Z].</w:t>
      </w:r>
    </w:p>
    <w:p w14:paraId="148506B2">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国家药品监督管理局医疗器械技术审评中心.医疗器械软件注册审查指导原则（2022年修订版）：国家药品监督管理局医疗器械技术审评中心通告2022年第9号[Z].</w:t>
      </w:r>
    </w:p>
    <w:p w14:paraId="677E8E58">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国家药品监督管理局医疗器械技术审评中心.医疗器械网络安全注册审查指导原则（2022年修订版）：国家药品监督管理局医疗器械技术审评中心通告2022年第7号[Z].</w:t>
      </w:r>
    </w:p>
    <w:p w14:paraId="45FBFF4A">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国家药品监督管理局.有源医疗器械使用期限注册技术审查指导原则：国家药品监督管理局通告2019年第23号[Z].</w:t>
      </w:r>
    </w:p>
    <w:p w14:paraId="36A1F383">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GB/T 14710,医用电器环境要求及试验方法[S].</w:t>
      </w:r>
    </w:p>
    <w:p w14:paraId="1C553CDF">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 9706.1-2020,医用电气设备 第1部分:</w:t>
      </w:r>
      <w:r>
        <w:rPr>
          <w:rFonts w:hint="eastAsia" w:eastAsia="仿宋_GB2312"/>
          <w:color w:val="000000" w:themeColor="text1"/>
          <w:sz w:val="32"/>
          <w:szCs w:val="32"/>
          <w:highlight w:val="none"/>
          <w14:textFill>
            <w14:solidFill>
              <w14:schemeClr w14:val="tx1"/>
            </w14:solidFill>
          </w14:textFill>
        </w:rPr>
        <w:t>基本</w:t>
      </w:r>
      <w:r>
        <w:rPr>
          <w:rFonts w:eastAsia="仿宋_GB2312"/>
          <w:color w:val="000000" w:themeColor="text1"/>
          <w:sz w:val="32"/>
          <w:szCs w:val="32"/>
          <w:highlight w:val="none"/>
          <w14:textFill>
            <w14:solidFill>
              <w14:schemeClr w14:val="tx1"/>
            </w14:solidFill>
          </w14:textFill>
        </w:rPr>
        <w:t>安全</w:t>
      </w:r>
      <w:r>
        <w:rPr>
          <w:rFonts w:hint="eastAsia" w:eastAsia="仿宋_GB2312"/>
          <w:color w:val="000000" w:themeColor="text1"/>
          <w:sz w:val="32"/>
          <w:szCs w:val="32"/>
          <w:highlight w:val="none"/>
          <w14:textFill>
            <w14:solidFill>
              <w14:schemeClr w14:val="tx1"/>
            </w14:solidFill>
          </w14:textFill>
        </w:rPr>
        <w:t>和</w:t>
      </w:r>
      <w:r>
        <w:rPr>
          <w:rFonts w:eastAsia="仿宋_GB2312"/>
          <w:color w:val="000000" w:themeColor="text1"/>
          <w:sz w:val="32"/>
          <w:szCs w:val="32"/>
          <w:highlight w:val="none"/>
          <w14:textFill>
            <w14:solidFill>
              <w14:schemeClr w14:val="tx1"/>
            </w14:solidFill>
          </w14:textFill>
        </w:rPr>
        <w:t>基本性能的通用要求[S].</w:t>
      </w:r>
    </w:p>
    <w:p w14:paraId="4F33F275">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YY 9706.102-2021</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医用电气设备第1-2部分:</w:t>
      </w:r>
      <w:r>
        <w:rPr>
          <w:rFonts w:hint="eastAsia" w:eastAsia="仿宋_GB2312"/>
          <w:color w:val="000000" w:themeColor="text1"/>
          <w:sz w:val="32"/>
          <w:szCs w:val="32"/>
          <w:highlight w:val="none"/>
          <w14:textFill>
            <w14:solidFill>
              <w14:schemeClr w14:val="tx1"/>
            </w14:solidFill>
          </w14:textFill>
        </w:rPr>
        <w:t>基本</w:t>
      </w:r>
      <w:r>
        <w:rPr>
          <w:rFonts w:eastAsia="仿宋_GB2312"/>
          <w:color w:val="000000" w:themeColor="text1"/>
          <w:sz w:val="32"/>
          <w:szCs w:val="32"/>
          <w:highlight w:val="none"/>
          <w14:textFill>
            <w14:solidFill>
              <w14:schemeClr w14:val="tx1"/>
            </w14:solidFill>
          </w14:textFill>
        </w:rPr>
        <w:t>安全</w:t>
      </w:r>
      <w:r>
        <w:rPr>
          <w:rFonts w:hint="eastAsia" w:eastAsia="仿宋_GB2312"/>
          <w:color w:val="000000" w:themeColor="text1"/>
          <w:sz w:val="32"/>
          <w:szCs w:val="32"/>
          <w:highlight w:val="none"/>
          <w14:textFill>
            <w14:solidFill>
              <w14:schemeClr w14:val="tx1"/>
            </w14:solidFill>
          </w14:textFill>
        </w:rPr>
        <w:t>和</w:t>
      </w:r>
      <w:r>
        <w:rPr>
          <w:rFonts w:eastAsia="仿宋_GB2312"/>
          <w:color w:val="000000" w:themeColor="text1"/>
          <w:sz w:val="32"/>
          <w:szCs w:val="32"/>
          <w:highlight w:val="none"/>
          <w14:textFill>
            <w14:solidFill>
              <w14:schemeClr w14:val="tx1"/>
            </w14:solidFill>
          </w14:textFill>
        </w:rPr>
        <w:t>基本性能的通用要求</w:t>
      </w:r>
      <w:r>
        <w:rPr>
          <w:rFonts w:hint="eastAsia" w:eastAsia="仿宋_GB2312"/>
          <w:color w:val="000000" w:themeColor="text1"/>
          <w:sz w:val="32"/>
          <w:szCs w:val="32"/>
          <w:highlight w:val="none"/>
          <w14:textFill>
            <w14:solidFill>
              <w14:schemeClr w14:val="tx1"/>
            </w14:solidFill>
          </w14:textFill>
        </w:rPr>
        <w:t xml:space="preserve"> </w:t>
      </w:r>
      <w:r>
        <w:rPr>
          <w:rFonts w:eastAsia="仿宋_GB2312"/>
          <w:color w:val="000000" w:themeColor="text1"/>
          <w:sz w:val="32"/>
          <w:szCs w:val="32"/>
          <w:highlight w:val="none"/>
          <w14:textFill>
            <w14:solidFill>
              <w14:schemeClr w14:val="tx1"/>
            </w14:solidFill>
          </w14:textFill>
        </w:rPr>
        <w:t>并列标准：电磁兼容</w:t>
      </w:r>
      <w:r>
        <w:rPr>
          <w:rFonts w:hint="eastAsia" w:eastAsia="仿宋_GB2312"/>
          <w:color w:val="000000" w:themeColor="text1"/>
          <w:sz w:val="32"/>
          <w:szCs w:val="32"/>
          <w:highlight w:val="none"/>
          <w14:textFill>
            <w14:solidFill>
              <w14:schemeClr w14:val="tx1"/>
            </w14:solidFill>
          </w14:textFill>
        </w:rPr>
        <w:t xml:space="preserve"> </w:t>
      </w:r>
      <w:r>
        <w:rPr>
          <w:rFonts w:eastAsia="仿宋_GB2312"/>
          <w:color w:val="000000" w:themeColor="text1"/>
          <w:sz w:val="32"/>
          <w:szCs w:val="32"/>
          <w:highlight w:val="none"/>
          <w14:textFill>
            <w14:solidFill>
              <w14:schemeClr w14:val="tx1"/>
            </w14:solidFill>
          </w14:textFill>
        </w:rPr>
        <w:t>要求和试验[S].</w:t>
      </w:r>
    </w:p>
    <w:p w14:paraId="11F8D5C4">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14710-2009,医用电气设备环境要求及试验方法[S].</w:t>
      </w:r>
    </w:p>
    <w:p w14:paraId="5831335F">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42062-2022,医疗器械 风险管理对医疗器械的应用[S].</w:t>
      </w:r>
    </w:p>
    <w:p w14:paraId="65D1425D">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16886.1,医疗器械生物学评价第1部分：风险管理过程中的评价与试验[S].</w:t>
      </w:r>
    </w:p>
    <w:p w14:paraId="207B22E0">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16886.5,医疗器械生物学评价第5部分：体外细胞毒性试验[S].</w:t>
      </w:r>
    </w:p>
    <w:p w14:paraId="472FA04E">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16886.10,医疗器械生物学评价第10部分：刺激与皮肤致敏试验[S].</w:t>
      </w:r>
    </w:p>
    <w:p w14:paraId="6A5CADFC">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21417.1,医用红外体温计第1部分：耳腔式[S].</w:t>
      </w:r>
    </w:p>
    <w:p w14:paraId="65057194">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WS/T 367,医疗机构消毒技术规范[S].</w:t>
      </w:r>
    </w:p>
    <w:p w14:paraId="4D531CAD">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YY/T 0466.1,医疗器械用于医疗器械标签、标记和提供信息的符号第1部分：通用要求[S].</w:t>
      </w:r>
    </w:p>
    <w:p w14:paraId="4B54752D">
      <w:pPr>
        <w:numPr>
          <w:ilvl w:val="0"/>
          <w:numId w:val="4"/>
        </w:numPr>
        <w:spacing w:line="520" w:lineRule="exact"/>
        <w:ind w:left="283" w:leftChars="0" w:firstLine="0" w:firstLineChars="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GB/T 191,包装储运图示标志[S].</w:t>
      </w:r>
    </w:p>
    <w:p w14:paraId="00D36FA2">
      <w:pPr>
        <w:spacing w:line="520" w:lineRule="exact"/>
        <w:ind w:firstLine="640" w:firstLineChars="200"/>
        <w:rPr>
          <w:rFonts w:eastAsia="仿宋_GB2312"/>
          <w:color w:val="000000" w:themeColor="text1"/>
          <w:sz w:val="32"/>
          <w:szCs w:val="32"/>
          <w:highlight w:val="none"/>
          <w14:textFill>
            <w14:solidFill>
              <w14:schemeClr w14:val="tx1"/>
            </w14:solidFill>
          </w14:textFill>
        </w:rPr>
        <w:sectPr>
          <w:pgSz w:w="11906" w:h="16838"/>
          <w:pgMar w:top="2098" w:right="1588" w:bottom="2098" w:left="1588" w:header="851" w:footer="992" w:gutter="0"/>
          <w:cols w:space="425" w:num="1"/>
          <w:docGrid w:type="lines" w:linePitch="312" w:charSpace="0"/>
        </w:sectPr>
      </w:pPr>
    </w:p>
    <w:p w14:paraId="36F06EFE">
      <w:pPr>
        <w:spacing w:line="520" w:lineRule="exact"/>
        <w:outlineLvl w:val="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附件</w:t>
      </w:r>
      <w:r>
        <w:rPr>
          <w:rFonts w:hint="eastAsia" w:eastAsia="仿宋_GB2312"/>
          <w:color w:val="000000" w:themeColor="text1"/>
          <w:sz w:val="32"/>
          <w:szCs w:val="32"/>
          <w:highlight w:val="none"/>
          <w:lang w:val="en-US" w:eastAsia="zh-CN"/>
          <w14:textFill>
            <w14:solidFill>
              <w14:schemeClr w14:val="tx1"/>
            </w14:solidFill>
          </w14:textFill>
        </w:rPr>
        <w:t>1</w:t>
      </w:r>
    </w:p>
    <w:p w14:paraId="6146CA80">
      <w:pPr>
        <w:spacing w:line="520" w:lineRule="exact"/>
        <w:jc w:val="center"/>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实质性等同判定表</w:t>
      </w:r>
    </w:p>
    <w:p w14:paraId="6C424CC6">
      <w:pPr>
        <w:spacing w:line="520" w:lineRule="exact"/>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（公司）（申报产品A）（型号）与（公司） （等同产品B） （型号）  对比说明：</w:t>
      </w:r>
    </w:p>
    <w:p w14:paraId="70A07983">
      <w:pPr>
        <w:spacing w:line="520" w:lineRule="exact"/>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一、A和B产品分别综述，综述内容包括：预期用途、产品结构、工作原理、测量部位、测量方式、主要技术指标、关键部件（探测器、传感器、CPU控制模块）、其他功能等内容。</w:t>
      </w:r>
    </w:p>
    <w:p w14:paraId="3688FB44">
      <w:pPr>
        <w:spacing w:line="520" w:lineRule="exact"/>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二、对照表</w:t>
      </w:r>
    </w:p>
    <w:p w14:paraId="261AB915">
      <w:pPr>
        <w:spacing w:line="520" w:lineRule="exact"/>
        <w:jc w:val="center"/>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 xml:space="preserve">附表1 </w:t>
      </w:r>
      <w:r>
        <w:rPr>
          <w:rFonts w:eastAsia="仿宋_GB2312"/>
          <w:color w:val="000000" w:themeColor="text1"/>
          <w:sz w:val="32"/>
          <w:szCs w:val="32"/>
          <w:highlight w:val="none"/>
          <w14:textFill>
            <w14:solidFill>
              <w14:schemeClr w14:val="tx1"/>
            </w14:solidFill>
          </w14:textFill>
        </w:rPr>
        <w:tab/>
      </w:r>
      <w:r>
        <w:rPr>
          <w:rFonts w:eastAsia="仿宋_GB2312"/>
          <w:color w:val="000000" w:themeColor="text1"/>
          <w:sz w:val="32"/>
          <w:szCs w:val="32"/>
          <w:highlight w:val="none"/>
          <w14:textFill>
            <w14:solidFill>
              <w14:schemeClr w14:val="tx1"/>
            </w14:solidFill>
          </w14:textFill>
        </w:rPr>
        <w:t>A、B产品关键参数、关键部件的描述对比</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3"/>
        <w:gridCol w:w="1190"/>
        <w:gridCol w:w="1442"/>
        <w:gridCol w:w="1442"/>
        <w:gridCol w:w="1674"/>
      </w:tblGrid>
      <w:tr w14:paraId="51E9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73" w:type="dxa"/>
            <w:noWrap w:val="0"/>
            <w:vAlign w:val="top"/>
          </w:tcPr>
          <w:p w14:paraId="3C151E8B">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xml:space="preserve">对比项目 </w:t>
            </w:r>
          </w:p>
        </w:tc>
        <w:tc>
          <w:tcPr>
            <w:tcW w:w="1190" w:type="dxa"/>
            <w:noWrap w:val="0"/>
            <w:vAlign w:val="top"/>
          </w:tcPr>
          <w:p w14:paraId="56F5C0C2">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等同否</w:t>
            </w:r>
          </w:p>
        </w:tc>
        <w:tc>
          <w:tcPr>
            <w:tcW w:w="1442" w:type="dxa"/>
            <w:noWrap w:val="0"/>
            <w:vAlign w:val="top"/>
          </w:tcPr>
          <w:p w14:paraId="0F0B1DA4">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产品A描述</w:t>
            </w:r>
          </w:p>
        </w:tc>
        <w:tc>
          <w:tcPr>
            <w:tcW w:w="1442" w:type="dxa"/>
            <w:noWrap w:val="0"/>
            <w:vAlign w:val="top"/>
          </w:tcPr>
          <w:p w14:paraId="5810072B">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产品B描述</w:t>
            </w:r>
          </w:p>
        </w:tc>
        <w:tc>
          <w:tcPr>
            <w:tcW w:w="1674" w:type="dxa"/>
            <w:noWrap w:val="0"/>
            <w:vAlign w:val="top"/>
          </w:tcPr>
          <w:p w14:paraId="3497BE58">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备注（差异）</w:t>
            </w:r>
          </w:p>
        </w:tc>
      </w:tr>
      <w:tr w14:paraId="759F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138B8367">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适用范围</w:t>
            </w:r>
          </w:p>
        </w:tc>
        <w:tc>
          <w:tcPr>
            <w:tcW w:w="1190" w:type="dxa"/>
            <w:noWrap w:val="0"/>
            <w:vAlign w:val="top"/>
          </w:tcPr>
          <w:p w14:paraId="19DF9F28">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57E95F7F">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71A0FB0B">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1FF6265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62E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3B6D472D">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标识</w:t>
            </w:r>
          </w:p>
        </w:tc>
        <w:tc>
          <w:tcPr>
            <w:tcW w:w="1190" w:type="dxa"/>
            <w:noWrap w:val="0"/>
            <w:vAlign w:val="top"/>
          </w:tcPr>
          <w:p w14:paraId="4C1BF557">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6F41C9CE">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03DC3DDB">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13FFFD33">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3BE1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3F307DA6">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结构组成</w:t>
            </w:r>
          </w:p>
        </w:tc>
        <w:tc>
          <w:tcPr>
            <w:tcW w:w="1190" w:type="dxa"/>
            <w:noWrap w:val="0"/>
            <w:vAlign w:val="top"/>
          </w:tcPr>
          <w:p w14:paraId="1965B2D3">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57FE23A4">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11CDC607">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3FA6C232">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45F8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73" w:type="dxa"/>
            <w:noWrap w:val="0"/>
            <w:vAlign w:val="top"/>
          </w:tcPr>
          <w:p w14:paraId="68BEEA17">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工作原理</w:t>
            </w:r>
          </w:p>
        </w:tc>
        <w:tc>
          <w:tcPr>
            <w:tcW w:w="1190" w:type="dxa"/>
            <w:noWrap w:val="0"/>
            <w:vAlign w:val="top"/>
          </w:tcPr>
          <w:p w14:paraId="53B38967">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09948E19">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5B3EFB8B">
            <w:pPr>
              <w:spacing w:line="520" w:lineRule="exact"/>
              <w:rPr>
                <w:rFonts w:eastAsia="仿宋_GB2312"/>
                <w:color w:val="000000" w:themeColor="text1"/>
                <w:sz w:val="24"/>
                <w:szCs w:val="24"/>
                <w:highlight w:val="none"/>
                <w14:textFill>
                  <w14:solidFill>
                    <w14:schemeClr w14:val="tx1"/>
                  </w14:solidFill>
                </w14:textFill>
              </w:rPr>
            </w:pPr>
          </w:p>
        </w:tc>
        <w:tc>
          <w:tcPr>
            <w:tcW w:w="1674" w:type="dxa"/>
            <w:noWrap w:val="0"/>
            <w:vAlign w:val="top"/>
          </w:tcPr>
          <w:p w14:paraId="6B02C6FE">
            <w:pPr>
              <w:spacing w:line="520" w:lineRule="exact"/>
              <w:rPr>
                <w:rFonts w:eastAsia="仿宋_GB2312"/>
                <w:color w:val="000000" w:themeColor="text1"/>
                <w:sz w:val="24"/>
                <w:szCs w:val="24"/>
                <w:highlight w:val="none"/>
                <w14:textFill>
                  <w14:solidFill>
                    <w14:schemeClr w14:val="tx1"/>
                  </w14:solidFill>
                </w14:textFill>
              </w:rPr>
            </w:pPr>
          </w:p>
        </w:tc>
      </w:tr>
      <w:tr w14:paraId="2D96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436ADD55">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测量部位</w:t>
            </w:r>
          </w:p>
        </w:tc>
        <w:tc>
          <w:tcPr>
            <w:tcW w:w="1190" w:type="dxa"/>
            <w:noWrap w:val="0"/>
            <w:vAlign w:val="top"/>
          </w:tcPr>
          <w:p w14:paraId="58C7CB1A">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19769099">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7D34DE15">
            <w:pPr>
              <w:spacing w:line="520" w:lineRule="exact"/>
              <w:rPr>
                <w:rFonts w:eastAsia="仿宋_GB2312"/>
                <w:color w:val="000000" w:themeColor="text1"/>
                <w:sz w:val="24"/>
                <w:szCs w:val="24"/>
                <w:highlight w:val="none"/>
                <w14:textFill>
                  <w14:solidFill>
                    <w14:schemeClr w14:val="tx1"/>
                  </w14:solidFill>
                </w14:textFill>
              </w:rPr>
            </w:pPr>
          </w:p>
        </w:tc>
        <w:tc>
          <w:tcPr>
            <w:tcW w:w="1674" w:type="dxa"/>
            <w:noWrap w:val="0"/>
            <w:vAlign w:val="top"/>
          </w:tcPr>
          <w:p w14:paraId="799BA920">
            <w:pPr>
              <w:spacing w:line="520" w:lineRule="exact"/>
              <w:rPr>
                <w:rFonts w:eastAsia="仿宋_GB2312"/>
                <w:color w:val="000000" w:themeColor="text1"/>
                <w:sz w:val="24"/>
                <w:szCs w:val="24"/>
                <w:highlight w:val="none"/>
                <w14:textFill>
                  <w14:solidFill>
                    <w14:schemeClr w14:val="tx1"/>
                  </w14:solidFill>
                </w14:textFill>
              </w:rPr>
            </w:pPr>
          </w:p>
        </w:tc>
      </w:tr>
      <w:tr w14:paraId="3B3B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43B97D71">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测量方式</w:t>
            </w:r>
          </w:p>
        </w:tc>
        <w:tc>
          <w:tcPr>
            <w:tcW w:w="1190" w:type="dxa"/>
            <w:noWrap w:val="0"/>
            <w:vAlign w:val="top"/>
          </w:tcPr>
          <w:p w14:paraId="45B525A5">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7CFA357B">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50F070EE">
            <w:pPr>
              <w:spacing w:line="520" w:lineRule="exact"/>
              <w:rPr>
                <w:rFonts w:eastAsia="仿宋_GB2312"/>
                <w:color w:val="000000" w:themeColor="text1"/>
                <w:sz w:val="24"/>
                <w:szCs w:val="24"/>
                <w:highlight w:val="none"/>
                <w14:textFill>
                  <w14:solidFill>
                    <w14:schemeClr w14:val="tx1"/>
                  </w14:solidFill>
                </w14:textFill>
              </w:rPr>
            </w:pPr>
          </w:p>
        </w:tc>
        <w:tc>
          <w:tcPr>
            <w:tcW w:w="1674" w:type="dxa"/>
            <w:noWrap w:val="0"/>
            <w:vAlign w:val="top"/>
          </w:tcPr>
          <w:p w14:paraId="6A315117">
            <w:pPr>
              <w:spacing w:line="520" w:lineRule="exact"/>
              <w:rPr>
                <w:rFonts w:eastAsia="仿宋_GB2312"/>
                <w:color w:val="000000" w:themeColor="text1"/>
                <w:sz w:val="24"/>
                <w:szCs w:val="24"/>
                <w:highlight w:val="none"/>
                <w14:textFill>
                  <w14:solidFill>
                    <w14:schemeClr w14:val="tx1"/>
                  </w14:solidFill>
                </w14:textFill>
              </w:rPr>
            </w:pPr>
          </w:p>
        </w:tc>
      </w:tr>
      <w:tr w14:paraId="142D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2042535E">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传感器</w:t>
            </w:r>
          </w:p>
        </w:tc>
        <w:tc>
          <w:tcPr>
            <w:tcW w:w="1190" w:type="dxa"/>
            <w:noWrap w:val="0"/>
            <w:vAlign w:val="top"/>
          </w:tcPr>
          <w:p w14:paraId="2146AA45">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17F8EDD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38328F21">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00454A6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0C94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5DBE560A">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信号处理与显示</w:t>
            </w:r>
          </w:p>
        </w:tc>
        <w:tc>
          <w:tcPr>
            <w:tcW w:w="1190" w:type="dxa"/>
            <w:noWrap w:val="0"/>
            <w:vAlign w:val="top"/>
          </w:tcPr>
          <w:p w14:paraId="1CCDE28B">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5423EAF4">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3D2F42E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4C79880D">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2F58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73" w:type="dxa"/>
            <w:noWrap w:val="0"/>
            <w:vAlign w:val="top"/>
          </w:tcPr>
          <w:p w14:paraId="08A57C06">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电源</w:t>
            </w:r>
          </w:p>
        </w:tc>
        <w:tc>
          <w:tcPr>
            <w:tcW w:w="1190" w:type="dxa"/>
            <w:noWrap w:val="0"/>
            <w:vAlign w:val="top"/>
          </w:tcPr>
          <w:p w14:paraId="16E4BA59">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70B999A5">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25FD07F1">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566E67D8">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16A9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5F5EFE9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与人体接触部分材料</w:t>
            </w:r>
          </w:p>
        </w:tc>
        <w:tc>
          <w:tcPr>
            <w:tcW w:w="1190" w:type="dxa"/>
            <w:noWrap w:val="0"/>
            <w:vAlign w:val="top"/>
          </w:tcPr>
          <w:p w14:paraId="1436CB26">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65ADCD8F">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5224C16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4AC0A30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603E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0C53C714">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测温范围</w:t>
            </w:r>
          </w:p>
        </w:tc>
        <w:tc>
          <w:tcPr>
            <w:tcW w:w="1190" w:type="dxa"/>
            <w:noWrap w:val="0"/>
            <w:vAlign w:val="top"/>
          </w:tcPr>
          <w:p w14:paraId="15DCF135">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435A5317">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752C89E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29B9C2C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5559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731AD7A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工作环境</w:t>
            </w:r>
          </w:p>
        </w:tc>
        <w:tc>
          <w:tcPr>
            <w:tcW w:w="1190" w:type="dxa"/>
            <w:noWrap w:val="0"/>
            <w:vAlign w:val="top"/>
          </w:tcPr>
          <w:p w14:paraId="10BF9A3F">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757879F2">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2FAAAE75">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3C42FC40">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7136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7E831422">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准确度</w:t>
            </w:r>
          </w:p>
        </w:tc>
        <w:tc>
          <w:tcPr>
            <w:tcW w:w="1190" w:type="dxa"/>
            <w:noWrap w:val="0"/>
            <w:vAlign w:val="top"/>
          </w:tcPr>
          <w:p w14:paraId="171B4051">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1862235C">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670FEC1E">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6CEF824C">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2FB93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73" w:type="dxa"/>
            <w:noWrap w:val="0"/>
            <w:vAlign w:val="top"/>
          </w:tcPr>
          <w:p w14:paraId="512E2CA6">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精确度</w:t>
            </w:r>
          </w:p>
        </w:tc>
        <w:tc>
          <w:tcPr>
            <w:tcW w:w="1190" w:type="dxa"/>
            <w:noWrap w:val="0"/>
            <w:vAlign w:val="top"/>
          </w:tcPr>
          <w:p w14:paraId="790F7979">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1D9D77CF">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05FDC977">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4B13B801">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118E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4AA18B9C">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测温时间</w:t>
            </w:r>
          </w:p>
        </w:tc>
        <w:tc>
          <w:tcPr>
            <w:tcW w:w="1190" w:type="dxa"/>
            <w:noWrap w:val="0"/>
            <w:vAlign w:val="top"/>
          </w:tcPr>
          <w:p w14:paraId="21AEAF27">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189EF228">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65863AA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19EFB7A9">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r w14:paraId="354F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973" w:type="dxa"/>
            <w:noWrap w:val="0"/>
            <w:vAlign w:val="top"/>
          </w:tcPr>
          <w:p w14:paraId="3EF998F3">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其他功能</w:t>
            </w:r>
          </w:p>
        </w:tc>
        <w:tc>
          <w:tcPr>
            <w:tcW w:w="1190" w:type="dxa"/>
            <w:noWrap w:val="0"/>
            <w:vAlign w:val="top"/>
          </w:tcPr>
          <w:p w14:paraId="3BDC30BF">
            <w:pPr>
              <w:spacing w:line="520" w:lineRule="exact"/>
              <w:rPr>
                <w:rFonts w:eastAsia="仿宋_GB2312"/>
                <w:color w:val="000000" w:themeColor="text1"/>
                <w:sz w:val="24"/>
                <w:szCs w:val="24"/>
                <w:highlight w:val="none"/>
                <w14:textFill>
                  <w14:solidFill>
                    <w14:schemeClr w14:val="tx1"/>
                  </w14:solidFill>
                </w14:textFill>
              </w:rPr>
            </w:pPr>
          </w:p>
        </w:tc>
        <w:tc>
          <w:tcPr>
            <w:tcW w:w="1442" w:type="dxa"/>
            <w:noWrap w:val="0"/>
            <w:vAlign w:val="top"/>
          </w:tcPr>
          <w:p w14:paraId="65C6A76B">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442" w:type="dxa"/>
            <w:noWrap w:val="0"/>
            <w:vAlign w:val="top"/>
          </w:tcPr>
          <w:p w14:paraId="3CD69436">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c>
          <w:tcPr>
            <w:tcW w:w="1674" w:type="dxa"/>
            <w:noWrap w:val="0"/>
            <w:vAlign w:val="top"/>
          </w:tcPr>
          <w:p w14:paraId="4FC33201">
            <w:pPr>
              <w:spacing w:line="520" w:lineRule="exact"/>
              <w:rPr>
                <w:rFonts w:eastAsia="仿宋_GB2312"/>
                <w:color w:val="000000" w:themeColor="text1"/>
                <w:sz w:val="24"/>
                <w:szCs w:val="24"/>
                <w:highlight w:val="none"/>
                <w14:textFill>
                  <w14:solidFill>
                    <w14:schemeClr w14:val="tx1"/>
                  </w14:solidFill>
                </w14:textFill>
              </w:rPr>
            </w:pPr>
            <w:r>
              <w:rPr>
                <w:rFonts w:eastAsia="仿宋_GB2312"/>
                <w:color w:val="000000" w:themeColor="text1"/>
                <w:sz w:val="24"/>
                <w:szCs w:val="24"/>
                <w:highlight w:val="none"/>
                <w14:textFill>
                  <w14:solidFill>
                    <w14:schemeClr w14:val="tx1"/>
                  </w14:solidFill>
                </w14:textFill>
              </w:rPr>
              <w:t> </w:t>
            </w:r>
          </w:p>
        </w:tc>
      </w:tr>
    </w:tbl>
    <w:p w14:paraId="20164FC4">
      <w:pPr>
        <w:spacing w:line="520" w:lineRule="exact"/>
        <w:rPr>
          <w:rFonts w:hint="eastAsia" w:eastAsia="仿宋_GB2312"/>
          <w:color w:val="000000" w:themeColor="text1"/>
          <w:sz w:val="24"/>
          <w:szCs w:val="24"/>
          <w:highlight w:val="none"/>
          <w14:textFill>
            <w14:solidFill>
              <w14:schemeClr w14:val="tx1"/>
            </w14:solidFill>
          </w14:textFill>
        </w:rPr>
      </w:pPr>
      <w:r>
        <w:rPr>
          <w:rFonts w:hint="eastAsia" w:eastAsia="仿宋_GB2312"/>
          <w:color w:val="000000" w:themeColor="text1"/>
          <w:sz w:val="24"/>
          <w:szCs w:val="24"/>
          <w:highlight w:val="none"/>
          <w14:textFill>
            <w14:solidFill>
              <w14:schemeClr w14:val="tx1"/>
            </w14:solidFill>
          </w14:textFill>
        </w:rPr>
        <w:t>注：斜体部分可以不完全一致，但要满足国家标准或行业标准要求。</w:t>
      </w:r>
    </w:p>
    <w:p w14:paraId="7AA1D78C">
      <w:pPr>
        <w:spacing w:line="520" w:lineRule="exact"/>
        <w:rPr>
          <w:rFonts w:hint="eastAsia" w:eastAsia="仿宋_GB2312"/>
          <w:color w:val="000000" w:themeColor="text1"/>
          <w:sz w:val="32"/>
          <w:szCs w:val="32"/>
          <w:highlight w:val="none"/>
          <w14:textFill>
            <w14:solidFill>
              <w14:schemeClr w14:val="tx1"/>
            </w14:solidFill>
          </w14:textFill>
        </w:rPr>
      </w:pPr>
    </w:p>
    <w:p w14:paraId="6ECFFA26">
      <w:pPr>
        <w:spacing w:line="520" w:lineRule="exact"/>
        <w:rPr>
          <w:rFonts w:hint="eastAsia" w:eastAsia="仿宋_GB2312"/>
          <w:color w:val="000000" w:themeColor="text1"/>
          <w:sz w:val="32"/>
          <w:szCs w:val="32"/>
          <w:highlight w:val="none"/>
          <w14:textFill>
            <w14:solidFill>
              <w14:schemeClr w14:val="tx1"/>
            </w14:solidFill>
          </w14:textFill>
        </w:rPr>
      </w:pPr>
    </w:p>
    <w:p w14:paraId="532954F5">
      <w:pPr>
        <w:spacing w:line="520" w:lineRule="exact"/>
        <w:rPr>
          <w:rFonts w:hint="eastAsia" w:eastAsia="仿宋_GB2312"/>
          <w:color w:val="000000" w:themeColor="text1"/>
          <w:sz w:val="32"/>
          <w:szCs w:val="32"/>
          <w:highlight w:val="none"/>
          <w14:textFill>
            <w14:solidFill>
              <w14:schemeClr w14:val="tx1"/>
            </w14:solidFill>
          </w14:textFill>
        </w:rPr>
        <w:sectPr>
          <w:pgSz w:w="11906" w:h="16838"/>
          <w:pgMar w:top="2098" w:right="1588" w:bottom="2098" w:left="1588" w:header="851" w:footer="992" w:gutter="0"/>
          <w:cols w:space="425" w:num="1"/>
          <w:docGrid w:type="lines" w:linePitch="312" w:charSpace="0"/>
        </w:sectPr>
      </w:pPr>
    </w:p>
    <w:p w14:paraId="74F7CC3B">
      <w:pPr>
        <w:spacing w:line="520" w:lineRule="exact"/>
        <w:outlineLvl w:val="0"/>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附件</w:t>
      </w:r>
      <w:r>
        <w:rPr>
          <w:rFonts w:hint="eastAsia" w:eastAsia="仿宋_GB2312"/>
          <w:color w:val="000000" w:themeColor="text1"/>
          <w:sz w:val="32"/>
          <w:szCs w:val="32"/>
          <w:highlight w:val="none"/>
          <w:lang w:val="en-US" w:eastAsia="zh-CN"/>
          <w14:textFill>
            <w14:solidFill>
              <w14:schemeClr w14:val="tx1"/>
            </w14:solidFill>
          </w14:textFill>
        </w:rPr>
        <w:t>2</w:t>
      </w:r>
    </w:p>
    <w:p w14:paraId="1EE92643">
      <w:pPr>
        <w:spacing w:line="520" w:lineRule="exact"/>
        <w:jc w:val="center"/>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表</w:t>
      </w:r>
      <w:r>
        <w:rPr>
          <w:rFonts w:hint="eastAsia" w:eastAsia="仿宋_GB2312"/>
          <w:color w:val="000000" w:themeColor="text1"/>
          <w:sz w:val="32"/>
          <w:szCs w:val="32"/>
          <w:highlight w:val="none"/>
          <w:lang w:val="en-US" w:eastAsia="zh-CN"/>
          <w14:textFill>
            <w14:solidFill>
              <w14:schemeClr w14:val="tx1"/>
            </w14:solidFill>
          </w14:textFill>
        </w:rPr>
        <w:t>1</w:t>
      </w:r>
      <w:r>
        <w:rPr>
          <w:rFonts w:hint="eastAsia" w:eastAsia="仿宋_GB2312"/>
          <w:color w:val="000000" w:themeColor="text1"/>
          <w:sz w:val="32"/>
          <w:szCs w:val="32"/>
          <w:highlight w:val="none"/>
          <w14:textFill>
            <w14:solidFill>
              <w14:schemeClr w14:val="tx1"/>
            </w14:solidFill>
          </w14:textFill>
        </w:rPr>
        <w:t xml:space="preserve"> 初始事件和环境</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840"/>
      </w:tblGrid>
      <w:tr w14:paraId="06D9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6F305EB6">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通用类别</w:t>
            </w:r>
          </w:p>
        </w:tc>
        <w:tc>
          <w:tcPr>
            <w:tcW w:w="6840" w:type="dxa"/>
            <w:noWrap w:val="0"/>
            <w:vAlign w:val="center"/>
          </w:tcPr>
          <w:p w14:paraId="34191598">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初始时间和环境示例</w:t>
            </w:r>
          </w:p>
        </w:tc>
      </w:tr>
      <w:tr w14:paraId="1BE3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2088" w:type="dxa"/>
            <w:noWrap w:val="0"/>
            <w:vAlign w:val="center"/>
          </w:tcPr>
          <w:p w14:paraId="4B7B77A7">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不完整的要求</w:t>
            </w:r>
          </w:p>
        </w:tc>
        <w:tc>
          <w:tcPr>
            <w:tcW w:w="6840" w:type="dxa"/>
            <w:noWrap w:val="0"/>
            <w:vAlign w:val="center"/>
          </w:tcPr>
          <w:p w14:paraId="3BA5B26A">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性能要求不符合</w:t>
            </w:r>
          </w:p>
          <w:p w14:paraId="09DFCFDC">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——测温时间、准确性等不符合要求</w:t>
            </w:r>
          </w:p>
          <w:p w14:paraId="46820869">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说明书未对体温计的测量部位、消毒方法进行说明</w:t>
            </w:r>
          </w:p>
        </w:tc>
      </w:tr>
      <w:tr w14:paraId="4E8D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088" w:type="dxa"/>
            <w:noWrap w:val="0"/>
            <w:vAlign w:val="center"/>
          </w:tcPr>
          <w:p w14:paraId="184BF2EF">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制造过程</w:t>
            </w:r>
          </w:p>
        </w:tc>
        <w:tc>
          <w:tcPr>
            <w:tcW w:w="6840" w:type="dxa"/>
            <w:noWrap w:val="0"/>
            <w:vAlign w:val="center"/>
          </w:tcPr>
          <w:p w14:paraId="324EAC19">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控制程序（包括软件）修改未经验证，导致产品的测量误差不符合要求</w:t>
            </w:r>
          </w:p>
          <w:p w14:paraId="78401682">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生产过程中关键工序控制点未进行检测，导致部件、整机不合格</w:t>
            </w:r>
          </w:p>
          <w:p w14:paraId="0BC7A145">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供方的控制不充分：外购件、外协件供方选择不当，外购件、外协件未进行有效进货检验等</w:t>
            </w:r>
          </w:p>
        </w:tc>
      </w:tr>
      <w:tr w14:paraId="0F72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08FBC32F">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运输和贮藏</w:t>
            </w:r>
          </w:p>
        </w:tc>
        <w:tc>
          <w:tcPr>
            <w:tcW w:w="6840" w:type="dxa"/>
            <w:noWrap w:val="0"/>
            <w:vAlign w:val="center"/>
          </w:tcPr>
          <w:p w14:paraId="151EC6BC">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不适当的包装</w:t>
            </w:r>
          </w:p>
          <w:p w14:paraId="1F1A3B40">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不恰当的环境条件等</w:t>
            </w:r>
          </w:p>
        </w:tc>
      </w:tr>
      <w:tr w14:paraId="6A3F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noWrap w:val="0"/>
            <w:vAlign w:val="center"/>
          </w:tcPr>
          <w:p w14:paraId="76B159C4">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环境因素</w:t>
            </w:r>
          </w:p>
        </w:tc>
        <w:tc>
          <w:tcPr>
            <w:tcW w:w="6840" w:type="dxa"/>
            <w:noWrap w:val="0"/>
            <w:vAlign w:val="center"/>
          </w:tcPr>
          <w:p w14:paraId="67189CD2">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过冷、过热的环境</w:t>
            </w:r>
          </w:p>
          <w:p w14:paraId="5C404AC3">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不适当的能量供应</w:t>
            </w:r>
          </w:p>
          <w:p w14:paraId="21869F99">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电磁场等</w:t>
            </w:r>
          </w:p>
        </w:tc>
      </w:tr>
      <w:tr w14:paraId="0F65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88" w:type="dxa"/>
            <w:noWrap w:val="0"/>
            <w:vAlign w:val="center"/>
          </w:tcPr>
          <w:p w14:paraId="0E7ED079">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清洁、消毒和灭菌</w:t>
            </w:r>
          </w:p>
        </w:tc>
        <w:tc>
          <w:tcPr>
            <w:tcW w:w="6840" w:type="dxa"/>
            <w:noWrap w:val="0"/>
            <w:vAlign w:val="center"/>
          </w:tcPr>
          <w:p w14:paraId="71EEAEAF">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对体温计的清洗、消毒方法未经确认</w:t>
            </w:r>
          </w:p>
          <w:p w14:paraId="78B84CAD">
            <w:pPr>
              <w:spacing w:line="520" w:lineRule="exact"/>
              <w:rPr>
                <w:rFonts w:hint="eastAsia" w:eastAsia="仿宋_GB2312"/>
                <w:color w:val="000000" w:themeColor="text1"/>
                <w:sz w:val="28"/>
                <w:szCs w:val="28"/>
                <w:highlight w:val="none"/>
                <w:lang w:val="en-US" w:eastAsia="zh-CN"/>
                <w14:textFill>
                  <w14:solidFill>
                    <w14:schemeClr w14:val="tx1"/>
                  </w14:solidFill>
                </w14:textFill>
              </w:rPr>
            </w:pPr>
            <w:r>
              <w:rPr>
                <w:rFonts w:hint="eastAsia" w:eastAsia="仿宋_GB2312"/>
                <w:color w:val="000000" w:themeColor="text1"/>
                <w:sz w:val="28"/>
                <w:szCs w:val="28"/>
                <w:highlight w:val="none"/>
                <w:lang w:val="en-US" w:eastAsia="zh-CN"/>
                <w14:textFill>
                  <w14:solidFill>
                    <w14:schemeClr w14:val="tx1"/>
                  </w14:solidFill>
                </w14:textFill>
              </w:rPr>
              <w:t>使用者未按要求进行清洗、消毒等</w:t>
            </w:r>
          </w:p>
        </w:tc>
      </w:tr>
      <w:tr w14:paraId="075F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88" w:type="dxa"/>
            <w:noWrap w:val="0"/>
            <w:vAlign w:val="center"/>
          </w:tcPr>
          <w:p w14:paraId="5B1BFA3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处置和废弃</w:t>
            </w:r>
          </w:p>
        </w:tc>
        <w:tc>
          <w:tcPr>
            <w:tcW w:w="6840" w:type="dxa"/>
            <w:noWrap w:val="0"/>
            <w:vAlign w:val="center"/>
          </w:tcPr>
          <w:p w14:paraId="16B4897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产品或电池使用后处置问题等</w:t>
            </w:r>
          </w:p>
        </w:tc>
      </w:tr>
      <w:tr w14:paraId="0B2E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88" w:type="dxa"/>
            <w:noWrap w:val="0"/>
            <w:vAlign w:val="center"/>
          </w:tcPr>
          <w:p w14:paraId="15FC91CE">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人为因素</w:t>
            </w:r>
          </w:p>
        </w:tc>
        <w:tc>
          <w:tcPr>
            <w:tcW w:w="6840" w:type="dxa"/>
            <w:noWrap w:val="0"/>
            <w:vAlign w:val="center"/>
          </w:tcPr>
          <w:p w14:paraId="2FC1EBC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设计缺陷引发的使用错误等</w:t>
            </w:r>
          </w:p>
          <w:p w14:paraId="1BDC9CB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——易混淆的或缺少使用说明书</w:t>
            </w:r>
          </w:p>
          <w:p w14:paraId="5DDDC895">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——不正确的测量和计量</w:t>
            </w:r>
          </w:p>
        </w:tc>
      </w:tr>
      <w:tr w14:paraId="1C35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88" w:type="dxa"/>
            <w:noWrap w:val="0"/>
            <w:vAlign w:val="center"/>
          </w:tcPr>
          <w:p w14:paraId="67ACFF7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失效模式</w:t>
            </w:r>
          </w:p>
        </w:tc>
        <w:tc>
          <w:tcPr>
            <w:tcW w:w="6840" w:type="dxa"/>
            <w:noWrap w:val="0"/>
            <w:vAlign w:val="center"/>
          </w:tcPr>
          <w:p w14:paraId="7EF9516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由于老化、磨损和重复使用而导致功能退化/疲劳失效（特别是医院等公共场所中使用时）等</w:t>
            </w:r>
          </w:p>
        </w:tc>
      </w:tr>
    </w:tbl>
    <w:p w14:paraId="6DB47D8D">
      <w:pPr>
        <w:spacing w:line="520" w:lineRule="exact"/>
        <w:rPr>
          <w:rFonts w:hint="eastAsia" w:eastAsia="仿宋_GB2312"/>
          <w:color w:val="000000" w:themeColor="text1"/>
          <w:sz w:val="32"/>
          <w:szCs w:val="32"/>
          <w:highlight w:val="none"/>
          <w14:textFill>
            <w14:solidFill>
              <w14:schemeClr w14:val="tx1"/>
            </w14:solidFill>
          </w14:textFill>
        </w:rPr>
        <w:sectPr>
          <w:pgSz w:w="11906" w:h="16838"/>
          <w:pgMar w:top="2098" w:right="1588" w:bottom="2098" w:left="1588" w:header="851" w:footer="992" w:gutter="0"/>
          <w:cols w:space="425" w:num="1"/>
          <w:docGrid w:type="lines" w:linePitch="312" w:charSpace="0"/>
        </w:sectPr>
      </w:pPr>
    </w:p>
    <w:p w14:paraId="5F1AE365">
      <w:pPr>
        <w:spacing w:line="520" w:lineRule="exact"/>
        <w:jc w:val="center"/>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表</w:t>
      </w:r>
      <w:r>
        <w:rPr>
          <w:rFonts w:hint="eastAsia" w:eastAsia="仿宋_GB2312"/>
          <w:color w:val="000000" w:themeColor="text1"/>
          <w:sz w:val="32"/>
          <w:szCs w:val="32"/>
          <w:highlight w:val="none"/>
          <w:lang w:val="en-US" w:eastAsia="zh-CN"/>
          <w14:textFill>
            <w14:solidFill>
              <w14:schemeClr w14:val="tx1"/>
            </w14:solidFill>
          </w14:textFill>
        </w:rPr>
        <w:t>2</w:t>
      </w:r>
      <w:r>
        <w:rPr>
          <w:rFonts w:hint="eastAsia" w:eastAsia="仿宋_GB2312"/>
          <w:color w:val="000000" w:themeColor="text1"/>
          <w:sz w:val="32"/>
          <w:szCs w:val="32"/>
          <w:highlight w:val="none"/>
          <w14:textFill>
            <w14:solidFill>
              <w14:schemeClr w14:val="tx1"/>
            </w14:solidFill>
          </w14:textFill>
        </w:rPr>
        <w:t>危害、可预见的事件序列、危害处境和可发生的损害之间的关系示例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60"/>
        <w:gridCol w:w="2103"/>
        <w:gridCol w:w="2337"/>
      </w:tblGrid>
      <w:tr w14:paraId="2E68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728" w:type="dxa"/>
            <w:noWrap w:val="0"/>
            <w:vAlign w:val="center"/>
          </w:tcPr>
          <w:p w14:paraId="103A3BF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危害</w:t>
            </w:r>
          </w:p>
        </w:tc>
        <w:tc>
          <w:tcPr>
            <w:tcW w:w="2760" w:type="dxa"/>
            <w:noWrap w:val="0"/>
            <w:vAlign w:val="center"/>
          </w:tcPr>
          <w:p w14:paraId="0B75A89A">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可预见的事件序列</w:t>
            </w:r>
          </w:p>
        </w:tc>
        <w:tc>
          <w:tcPr>
            <w:tcW w:w="2103" w:type="dxa"/>
            <w:noWrap w:val="0"/>
            <w:vAlign w:val="center"/>
          </w:tcPr>
          <w:p w14:paraId="08663418">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危害处境</w:t>
            </w:r>
          </w:p>
        </w:tc>
        <w:tc>
          <w:tcPr>
            <w:tcW w:w="2337" w:type="dxa"/>
            <w:noWrap w:val="0"/>
            <w:vAlign w:val="center"/>
          </w:tcPr>
          <w:p w14:paraId="144797D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损害</w:t>
            </w:r>
          </w:p>
        </w:tc>
      </w:tr>
      <w:tr w14:paraId="3E46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Merge w:val="restart"/>
            <w:noWrap w:val="0"/>
            <w:vAlign w:val="center"/>
          </w:tcPr>
          <w:p w14:paraId="7D8578C8">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电磁能量</w:t>
            </w:r>
          </w:p>
        </w:tc>
        <w:tc>
          <w:tcPr>
            <w:tcW w:w="2760" w:type="dxa"/>
            <w:noWrap w:val="0"/>
            <w:vAlign w:val="center"/>
          </w:tcPr>
          <w:p w14:paraId="1A3745D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在强电磁辐射源边使用电子体温计测量</w:t>
            </w:r>
          </w:p>
        </w:tc>
        <w:tc>
          <w:tcPr>
            <w:tcW w:w="2103" w:type="dxa"/>
            <w:noWrap w:val="0"/>
            <w:vAlign w:val="center"/>
          </w:tcPr>
          <w:p w14:paraId="3686FC53">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电磁干扰程序运行</w:t>
            </w:r>
          </w:p>
        </w:tc>
        <w:tc>
          <w:tcPr>
            <w:tcW w:w="2337" w:type="dxa"/>
            <w:noWrap w:val="0"/>
            <w:vAlign w:val="center"/>
          </w:tcPr>
          <w:p w14:paraId="2460639C">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测量错误、测量结果误差过大</w:t>
            </w:r>
          </w:p>
        </w:tc>
      </w:tr>
      <w:tr w14:paraId="1A72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728" w:type="dxa"/>
            <w:vMerge w:val="continue"/>
            <w:noWrap w:val="0"/>
            <w:vAlign w:val="center"/>
          </w:tcPr>
          <w:p w14:paraId="267CCA18">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noWrap w:val="0"/>
            <w:vAlign w:val="center"/>
          </w:tcPr>
          <w:p w14:paraId="581497F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静电放电</w:t>
            </w:r>
          </w:p>
        </w:tc>
        <w:tc>
          <w:tcPr>
            <w:tcW w:w="2103" w:type="dxa"/>
            <w:noWrap w:val="0"/>
            <w:vAlign w:val="center"/>
          </w:tcPr>
          <w:p w14:paraId="5ED9138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干扰程序运行</w:t>
            </w:r>
          </w:p>
        </w:tc>
        <w:tc>
          <w:tcPr>
            <w:tcW w:w="2337" w:type="dxa"/>
            <w:noWrap w:val="0"/>
            <w:vAlign w:val="center"/>
          </w:tcPr>
          <w:p w14:paraId="6ADCF40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导致测量结果误差过大或数据擦除</w:t>
            </w:r>
          </w:p>
        </w:tc>
      </w:tr>
      <w:tr w14:paraId="6B56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center"/>
          </w:tcPr>
          <w:p w14:paraId="03D7B2E9">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漏电流</w:t>
            </w:r>
          </w:p>
        </w:tc>
        <w:tc>
          <w:tcPr>
            <w:tcW w:w="2760" w:type="dxa"/>
            <w:noWrap w:val="0"/>
            <w:vAlign w:val="center"/>
          </w:tcPr>
          <w:p w14:paraId="5BB8B7D9">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产品漏电流超标</w:t>
            </w:r>
          </w:p>
        </w:tc>
        <w:tc>
          <w:tcPr>
            <w:tcW w:w="2103" w:type="dxa"/>
            <w:noWrap w:val="0"/>
            <w:vAlign w:val="center"/>
          </w:tcPr>
          <w:p w14:paraId="59A98EE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 xml:space="preserve">外壳、金属帽与带电部分隔离/保护不够 </w:t>
            </w:r>
          </w:p>
        </w:tc>
        <w:tc>
          <w:tcPr>
            <w:tcW w:w="2337" w:type="dxa"/>
            <w:noWrap w:val="0"/>
            <w:vAlign w:val="center"/>
          </w:tcPr>
          <w:p w14:paraId="2BB51AD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漏电流超出允许值，导致人体感觉不舒服</w:t>
            </w:r>
          </w:p>
        </w:tc>
      </w:tr>
      <w:tr w14:paraId="267C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center"/>
          </w:tcPr>
          <w:p w14:paraId="13FCD02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热能</w:t>
            </w:r>
          </w:p>
        </w:tc>
        <w:tc>
          <w:tcPr>
            <w:tcW w:w="2760" w:type="dxa"/>
            <w:noWrap w:val="0"/>
            <w:vAlign w:val="center"/>
          </w:tcPr>
          <w:p w14:paraId="7B1977C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电池漏液</w:t>
            </w:r>
          </w:p>
        </w:tc>
        <w:tc>
          <w:tcPr>
            <w:tcW w:w="2103" w:type="dxa"/>
            <w:noWrap w:val="0"/>
            <w:vAlign w:val="center"/>
          </w:tcPr>
          <w:p w14:paraId="0939070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使用环境过热</w:t>
            </w:r>
          </w:p>
        </w:tc>
        <w:tc>
          <w:tcPr>
            <w:tcW w:w="2337" w:type="dxa"/>
            <w:noWrap w:val="0"/>
            <w:vAlign w:val="center"/>
          </w:tcPr>
          <w:p w14:paraId="354AEEA3">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产品损坏，严重时起火</w:t>
            </w:r>
          </w:p>
        </w:tc>
      </w:tr>
      <w:tr w14:paraId="61DB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Merge w:val="restart"/>
            <w:noWrap w:val="0"/>
            <w:vAlign w:val="center"/>
          </w:tcPr>
          <w:p w14:paraId="338C964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机械能</w:t>
            </w:r>
          </w:p>
        </w:tc>
        <w:tc>
          <w:tcPr>
            <w:tcW w:w="2760" w:type="dxa"/>
            <w:noWrap w:val="0"/>
            <w:vAlign w:val="center"/>
          </w:tcPr>
          <w:p w14:paraId="38DD3DC8">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体温计摔落、践踏后使体温计破损</w:t>
            </w:r>
          </w:p>
        </w:tc>
        <w:tc>
          <w:tcPr>
            <w:tcW w:w="2103" w:type="dxa"/>
            <w:noWrap w:val="0"/>
            <w:vAlign w:val="center"/>
          </w:tcPr>
          <w:p w14:paraId="157F96D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造成体温计外壳出现锋棱</w:t>
            </w:r>
          </w:p>
        </w:tc>
        <w:tc>
          <w:tcPr>
            <w:tcW w:w="2337" w:type="dxa"/>
            <w:noWrap w:val="0"/>
            <w:vAlign w:val="center"/>
          </w:tcPr>
          <w:p w14:paraId="6B798A7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被体温计划伤</w:t>
            </w:r>
          </w:p>
        </w:tc>
      </w:tr>
      <w:tr w14:paraId="41C9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Merge w:val="continue"/>
            <w:noWrap w:val="0"/>
            <w:vAlign w:val="center"/>
          </w:tcPr>
          <w:p w14:paraId="05E83B96">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noWrap w:val="0"/>
            <w:vAlign w:val="center"/>
          </w:tcPr>
          <w:p w14:paraId="482442D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测温部位因受外界影响温度偏低</w:t>
            </w:r>
          </w:p>
        </w:tc>
        <w:tc>
          <w:tcPr>
            <w:tcW w:w="2103" w:type="dxa"/>
            <w:noWrap w:val="0"/>
            <w:vAlign w:val="center"/>
          </w:tcPr>
          <w:p w14:paraId="4E3DD63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体温计没有进入测温状态</w:t>
            </w:r>
          </w:p>
        </w:tc>
        <w:tc>
          <w:tcPr>
            <w:tcW w:w="2337" w:type="dxa"/>
            <w:noWrap w:val="0"/>
            <w:vAlign w:val="center"/>
          </w:tcPr>
          <w:p w14:paraId="4003DB6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导致不能正确测温</w:t>
            </w:r>
          </w:p>
        </w:tc>
      </w:tr>
      <w:tr w14:paraId="736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Merge w:val="continue"/>
            <w:noWrap w:val="0"/>
            <w:vAlign w:val="center"/>
          </w:tcPr>
          <w:p w14:paraId="4E334CB3">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noWrap w:val="0"/>
            <w:vAlign w:val="center"/>
          </w:tcPr>
          <w:p w14:paraId="113A0B1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坠落导致机械部件松动</w:t>
            </w:r>
          </w:p>
        </w:tc>
        <w:tc>
          <w:tcPr>
            <w:tcW w:w="2103" w:type="dxa"/>
            <w:noWrap w:val="0"/>
            <w:vAlign w:val="center"/>
          </w:tcPr>
          <w:p w14:paraId="44F56B19">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体温计破损</w:t>
            </w:r>
          </w:p>
        </w:tc>
        <w:tc>
          <w:tcPr>
            <w:tcW w:w="2337" w:type="dxa"/>
            <w:noWrap w:val="0"/>
            <w:vAlign w:val="center"/>
          </w:tcPr>
          <w:p w14:paraId="133E55F0">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导致测量错误、误差过大或显示异常等</w:t>
            </w:r>
          </w:p>
        </w:tc>
      </w:tr>
      <w:tr w14:paraId="229D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Merge w:val="continue"/>
            <w:noWrap w:val="0"/>
            <w:vAlign w:val="center"/>
          </w:tcPr>
          <w:p w14:paraId="12DADA62">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noWrap w:val="0"/>
            <w:vAlign w:val="center"/>
          </w:tcPr>
          <w:p w14:paraId="344E5368">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机体从高处落下、被践踏</w:t>
            </w:r>
          </w:p>
        </w:tc>
        <w:tc>
          <w:tcPr>
            <w:tcW w:w="2103" w:type="dxa"/>
            <w:noWrap w:val="0"/>
            <w:vAlign w:val="center"/>
          </w:tcPr>
          <w:p w14:paraId="5F5AD13A">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液晶屏破碎</w:t>
            </w:r>
          </w:p>
        </w:tc>
        <w:tc>
          <w:tcPr>
            <w:tcW w:w="2337" w:type="dxa"/>
            <w:noWrap w:val="0"/>
            <w:vAlign w:val="center"/>
          </w:tcPr>
          <w:p w14:paraId="646AC21E">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使显示屏没有显示导致不能测量</w:t>
            </w:r>
          </w:p>
        </w:tc>
      </w:tr>
      <w:tr w14:paraId="7AA1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center"/>
          </w:tcPr>
          <w:p w14:paraId="2B33CE6E">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不正确的测量</w:t>
            </w:r>
          </w:p>
        </w:tc>
        <w:tc>
          <w:tcPr>
            <w:tcW w:w="2760" w:type="dxa"/>
            <w:noWrap w:val="0"/>
            <w:vAlign w:val="center"/>
          </w:tcPr>
          <w:p w14:paraId="0F6A15A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（1）测量部位不正确</w:t>
            </w:r>
          </w:p>
          <w:p w14:paraId="358D3C7C">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（2）测量方法不当</w:t>
            </w:r>
          </w:p>
        </w:tc>
        <w:tc>
          <w:tcPr>
            <w:tcW w:w="2103" w:type="dxa"/>
            <w:noWrap w:val="0"/>
            <w:vAlign w:val="center"/>
          </w:tcPr>
          <w:p w14:paraId="652D804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体温计无法测得人体真实体温</w:t>
            </w:r>
          </w:p>
        </w:tc>
        <w:tc>
          <w:tcPr>
            <w:tcW w:w="2337" w:type="dxa"/>
            <w:noWrap w:val="0"/>
            <w:vAlign w:val="center"/>
          </w:tcPr>
          <w:p w14:paraId="375AF6E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测量误差过大，严重时延误治疗</w:t>
            </w:r>
          </w:p>
        </w:tc>
      </w:tr>
      <w:tr w14:paraId="5868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center"/>
          </w:tcPr>
          <w:p w14:paraId="046F5CF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生物学</w:t>
            </w:r>
          </w:p>
        </w:tc>
        <w:tc>
          <w:tcPr>
            <w:tcW w:w="2760" w:type="dxa"/>
            <w:noWrap w:val="0"/>
            <w:vAlign w:val="center"/>
          </w:tcPr>
          <w:p w14:paraId="41D7C944">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使用有生物相容性不良的材质制作探测器</w:t>
            </w:r>
          </w:p>
        </w:tc>
        <w:tc>
          <w:tcPr>
            <w:tcW w:w="2103" w:type="dxa"/>
            <w:noWrap w:val="0"/>
            <w:vAlign w:val="center"/>
          </w:tcPr>
          <w:p w14:paraId="1AB10F20">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人体接触</w:t>
            </w:r>
          </w:p>
        </w:tc>
        <w:tc>
          <w:tcPr>
            <w:tcW w:w="2337" w:type="dxa"/>
            <w:noWrap w:val="0"/>
            <w:vAlign w:val="center"/>
          </w:tcPr>
          <w:p w14:paraId="5EB110A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皮肤过敏、刺激</w:t>
            </w:r>
          </w:p>
        </w:tc>
      </w:tr>
      <w:tr w14:paraId="7B39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center"/>
          </w:tcPr>
          <w:p w14:paraId="0C82C0B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化学</w:t>
            </w:r>
          </w:p>
        </w:tc>
        <w:tc>
          <w:tcPr>
            <w:tcW w:w="2760" w:type="dxa"/>
            <w:noWrap w:val="0"/>
            <w:vAlign w:val="center"/>
          </w:tcPr>
          <w:p w14:paraId="6DC79B49">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长时间不使用的电池未经取出，造成电池漏液</w:t>
            </w:r>
          </w:p>
        </w:tc>
        <w:tc>
          <w:tcPr>
            <w:tcW w:w="2103" w:type="dxa"/>
            <w:noWrap w:val="0"/>
            <w:vAlign w:val="center"/>
          </w:tcPr>
          <w:p w14:paraId="6469EF80">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电路腐蚀</w:t>
            </w:r>
          </w:p>
        </w:tc>
        <w:tc>
          <w:tcPr>
            <w:tcW w:w="2337" w:type="dxa"/>
            <w:noWrap w:val="0"/>
            <w:vAlign w:val="center"/>
          </w:tcPr>
          <w:p w14:paraId="3FC800A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设备故障，无法工作</w:t>
            </w:r>
          </w:p>
        </w:tc>
      </w:tr>
      <w:tr w14:paraId="7E5E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28" w:type="dxa"/>
            <w:vMerge w:val="restart"/>
            <w:noWrap w:val="0"/>
            <w:vAlign w:val="center"/>
          </w:tcPr>
          <w:p w14:paraId="7251DF95">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操作错误</w:t>
            </w:r>
          </w:p>
        </w:tc>
        <w:tc>
          <w:tcPr>
            <w:tcW w:w="2760" w:type="dxa"/>
            <w:tcBorders>
              <w:bottom w:val="single" w:color="auto" w:sz="4" w:space="0"/>
            </w:tcBorders>
            <w:noWrap w:val="0"/>
            <w:vAlign w:val="center"/>
          </w:tcPr>
          <w:p w14:paraId="0657B47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环境温度过低或过高</w:t>
            </w:r>
          </w:p>
        </w:tc>
        <w:tc>
          <w:tcPr>
            <w:tcW w:w="2103" w:type="dxa"/>
            <w:noWrap w:val="0"/>
            <w:vAlign w:val="center"/>
          </w:tcPr>
          <w:p w14:paraId="3B66768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体温计显示报警信号</w:t>
            </w:r>
          </w:p>
        </w:tc>
        <w:tc>
          <w:tcPr>
            <w:tcW w:w="2337" w:type="dxa"/>
            <w:vMerge w:val="restart"/>
            <w:noWrap w:val="0"/>
            <w:vAlign w:val="center"/>
          </w:tcPr>
          <w:p w14:paraId="14E10C1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测量值误差过大，测量失败，严重时延误治疗</w:t>
            </w:r>
          </w:p>
        </w:tc>
      </w:tr>
      <w:tr w14:paraId="5708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728" w:type="dxa"/>
            <w:vMerge w:val="continue"/>
            <w:noWrap w:val="0"/>
            <w:vAlign w:val="center"/>
          </w:tcPr>
          <w:p w14:paraId="1E60A9DC">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tcBorders>
              <w:top w:val="single" w:color="auto" w:sz="4" w:space="0"/>
              <w:bottom w:val="single" w:color="auto" w:sz="4" w:space="0"/>
              <w:right w:val="single" w:color="auto" w:sz="4" w:space="0"/>
            </w:tcBorders>
            <w:noWrap w:val="0"/>
            <w:vAlign w:val="center"/>
          </w:tcPr>
          <w:p w14:paraId="00C07F5A">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测量过程中体动</w:t>
            </w:r>
          </w:p>
        </w:tc>
        <w:tc>
          <w:tcPr>
            <w:tcW w:w="2103" w:type="dxa"/>
            <w:tcBorders>
              <w:left w:val="single" w:color="auto" w:sz="4" w:space="0"/>
            </w:tcBorders>
            <w:noWrap w:val="0"/>
            <w:vAlign w:val="center"/>
          </w:tcPr>
          <w:p w14:paraId="74992D6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体温计与人体没有紧密接触</w:t>
            </w:r>
          </w:p>
        </w:tc>
        <w:tc>
          <w:tcPr>
            <w:tcW w:w="2337" w:type="dxa"/>
            <w:vMerge w:val="continue"/>
            <w:noWrap w:val="0"/>
            <w:vAlign w:val="center"/>
          </w:tcPr>
          <w:p w14:paraId="05CA18B3">
            <w:pPr>
              <w:spacing w:line="520" w:lineRule="exact"/>
              <w:rPr>
                <w:rFonts w:hint="eastAsia" w:eastAsia="仿宋_GB2312"/>
                <w:color w:val="000000" w:themeColor="text1"/>
                <w:sz w:val="28"/>
                <w:szCs w:val="28"/>
                <w:highlight w:val="none"/>
                <w14:textFill>
                  <w14:solidFill>
                    <w14:schemeClr w14:val="tx1"/>
                  </w14:solidFill>
                </w14:textFill>
              </w:rPr>
            </w:pPr>
          </w:p>
        </w:tc>
      </w:tr>
      <w:tr w14:paraId="3642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728" w:type="dxa"/>
            <w:vMerge w:val="continue"/>
            <w:noWrap w:val="0"/>
            <w:vAlign w:val="center"/>
          </w:tcPr>
          <w:p w14:paraId="64DB53D7">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tcBorders>
              <w:top w:val="single" w:color="auto" w:sz="4" w:space="0"/>
              <w:bottom w:val="single" w:color="auto" w:sz="4" w:space="0"/>
            </w:tcBorders>
            <w:noWrap w:val="0"/>
            <w:vAlign w:val="center"/>
          </w:tcPr>
          <w:p w14:paraId="7E5B9BF3">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测量时被测者活动，说话</w:t>
            </w:r>
          </w:p>
        </w:tc>
        <w:tc>
          <w:tcPr>
            <w:tcW w:w="2103" w:type="dxa"/>
            <w:noWrap w:val="0"/>
            <w:vAlign w:val="center"/>
          </w:tcPr>
          <w:p w14:paraId="0C07B575">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体温计与人体没有紧密接触</w:t>
            </w:r>
          </w:p>
        </w:tc>
        <w:tc>
          <w:tcPr>
            <w:tcW w:w="2337" w:type="dxa"/>
            <w:vMerge w:val="continue"/>
            <w:noWrap w:val="0"/>
            <w:vAlign w:val="center"/>
          </w:tcPr>
          <w:p w14:paraId="3E80AB74">
            <w:pPr>
              <w:spacing w:line="520" w:lineRule="exact"/>
              <w:rPr>
                <w:rFonts w:hint="eastAsia" w:eastAsia="仿宋_GB2312"/>
                <w:color w:val="000000" w:themeColor="text1"/>
                <w:sz w:val="28"/>
                <w:szCs w:val="28"/>
                <w:highlight w:val="none"/>
                <w14:textFill>
                  <w14:solidFill>
                    <w14:schemeClr w14:val="tx1"/>
                  </w14:solidFill>
                </w14:textFill>
              </w:rPr>
            </w:pPr>
          </w:p>
        </w:tc>
      </w:tr>
      <w:tr w14:paraId="52CA2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728" w:type="dxa"/>
            <w:vMerge w:val="continue"/>
            <w:noWrap w:val="0"/>
            <w:vAlign w:val="center"/>
          </w:tcPr>
          <w:p w14:paraId="4AF2A0DB">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tcBorders>
              <w:top w:val="single" w:color="auto" w:sz="4" w:space="0"/>
              <w:bottom w:val="single" w:color="auto" w:sz="4" w:space="0"/>
            </w:tcBorders>
            <w:noWrap w:val="0"/>
            <w:vAlign w:val="center"/>
          </w:tcPr>
          <w:p w14:paraId="76E544A6">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测量未完成时，将体温计取出</w:t>
            </w:r>
          </w:p>
        </w:tc>
        <w:tc>
          <w:tcPr>
            <w:tcW w:w="2103" w:type="dxa"/>
            <w:noWrap w:val="0"/>
            <w:vAlign w:val="center"/>
          </w:tcPr>
          <w:p w14:paraId="6C11683D">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体温计测温时间不足</w:t>
            </w:r>
          </w:p>
        </w:tc>
        <w:tc>
          <w:tcPr>
            <w:tcW w:w="2337" w:type="dxa"/>
            <w:vMerge w:val="continue"/>
            <w:noWrap w:val="0"/>
            <w:vAlign w:val="center"/>
          </w:tcPr>
          <w:p w14:paraId="30C739E2">
            <w:pPr>
              <w:spacing w:line="520" w:lineRule="exact"/>
              <w:rPr>
                <w:rFonts w:hint="eastAsia" w:eastAsia="仿宋_GB2312"/>
                <w:color w:val="000000" w:themeColor="text1"/>
                <w:sz w:val="28"/>
                <w:szCs w:val="28"/>
                <w:highlight w:val="none"/>
                <w14:textFill>
                  <w14:solidFill>
                    <w14:schemeClr w14:val="tx1"/>
                  </w14:solidFill>
                </w14:textFill>
              </w:rPr>
            </w:pPr>
          </w:p>
        </w:tc>
      </w:tr>
      <w:tr w14:paraId="07F1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728" w:type="dxa"/>
            <w:vMerge w:val="restart"/>
            <w:noWrap w:val="0"/>
            <w:vAlign w:val="center"/>
          </w:tcPr>
          <w:p w14:paraId="6A4895FF">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不完整的说明书</w:t>
            </w:r>
          </w:p>
        </w:tc>
        <w:tc>
          <w:tcPr>
            <w:tcW w:w="2760" w:type="dxa"/>
            <w:tcBorders>
              <w:top w:val="single" w:color="auto" w:sz="4" w:space="0"/>
              <w:bottom w:val="single" w:color="auto" w:sz="4" w:space="0"/>
            </w:tcBorders>
            <w:noWrap w:val="0"/>
            <w:vAlign w:val="center"/>
          </w:tcPr>
          <w:p w14:paraId="090A4A2C">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未对错误操作进行说明</w:t>
            </w:r>
          </w:p>
        </w:tc>
        <w:tc>
          <w:tcPr>
            <w:tcW w:w="2103" w:type="dxa"/>
            <w:noWrap w:val="0"/>
            <w:vAlign w:val="center"/>
          </w:tcPr>
          <w:p w14:paraId="00A694B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见“操作错误”</w:t>
            </w:r>
          </w:p>
        </w:tc>
        <w:tc>
          <w:tcPr>
            <w:tcW w:w="2337" w:type="dxa"/>
            <w:noWrap w:val="0"/>
            <w:vAlign w:val="center"/>
          </w:tcPr>
          <w:p w14:paraId="3F40FE22">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测量值误差过大，测量失败，严重时延误治疗</w:t>
            </w:r>
          </w:p>
        </w:tc>
      </w:tr>
      <w:tr w14:paraId="13DB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728" w:type="dxa"/>
            <w:vMerge w:val="continue"/>
            <w:noWrap w:val="0"/>
            <w:vAlign w:val="center"/>
          </w:tcPr>
          <w:p w14:paraId="5C026EBE">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tcBorders>
              <w:top w:val="single" w:color="auto" w:sz="4" w:space="0"/>
              <w:bottom w:val="single" w:color="auto" w:sz="4" w:space="0"/>
            </w:tcBorders>
            <w:noWrap w:val="0"/>
            <w:vAlign w:val="center"/>
          </w:tcPr>
          <w:p w14:paraId="5D8CC937">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不正确的消毒方法</w:t>
            </w:r>
          </w:p>
        </w:tc>
        <w:tc>
          <w:tcPr>
            <w:tcW w:w="2103" w:type="dxa"/>
            <w:noWrap w:val="0"/>
            <w:vAlign w:val="center"/>
          </w:tcPr>
          <w:p w14:paraId="7C44157A">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使用有腐蚀性的清洁剂、消毒剂</w:t>
            </w:r>
          </w:p>
        </w:tc>
        <w:tc>
          <w:tcPr>
            <w:tcW w:w="2337" w:type="dxa"/>
            <w:noWrap w:val="0"/>
            <w:vAlign w:val="center"/>
          </w:tcPr>
          <w:p w14:paraId="7F5E1B81">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产品部件腐蚀，防护性能降低</w:t>
            </w:r>
          </w:p>
        </w:tc>
      </w:tr>
      <w:tr w14:paraId="76DF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728" w:type="dxa"/>
            <w:vMerge w:val="continue"/>
            <w:noWrap w:val="0"/>
            <w:vAlign w:val="center"/>
          </w:tcPr>
          <w:p w14:paraId="3A27CB18">
            <w:pPr>
              <w:spacing w:line="520" w:lineRule="exact"/>
              <w:rPr>
                <w:rFonts w:hint="eastAsia" w:eastAsia="仿宋_GB2312"/>
                <w:color w:val="000000" w:themeColor="text1"/>
                <w:sz w:val="28"/>
                <w:szCs w:val="28"/>
                <w:highlight w:val="none"/>
                <w14:textFill>
                  <w14:solidFill>
                    <w14:schemeClr w14:val="tx1"/>
                  </w14:solidFill>
                </w14:textFill>
              </w:rPr>
            </w:pPr>
          </w:p>
        </w:tc>
        <w:tc>
          <w:tcPr>
            <w:tcW w:w="2760" w:type="dxa"/>
            <w:tcBorders>
              <w:top w:val="single" w:color="auto" w:sz="4" w:space="0"/>
              <w:bottom w:val="single" w:color="auto" w:sz="4" w:space="0"/>
            </w:tcBorders>
            <w:noWrap w:val="0"/>
            <w:vAlign w:val="center"/>
          </w:tcPr>
          <w:p w14:paraId="7D12321B">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不正确的产品贮存条件</w:t>
            </w:r>
          </w:p>
        </w:tc>
        <w:tc>
          <w:tcPr>
            <w:tcW w:w="2103" w:type="dxa"/>
            <w:noWrap w:val="0"/>
            <w:vAlign w:val="center"/>
          </w:tcPr>
          <w:p w14:paraId="4AD4F624">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器件老化，部件寿命降低</w:t>
            </w:r>
          </w:p>
        </w:tc>
        <w:tc>
          <w:tcPr>
            <w:tcW w:w="2337" w:type="dxa"/>
            <w:noWrap w:val="0"/>
            <w:vAlign w:val="center"/>
          </w:tcPr>
          <w:p w14:paraId="09B8B98A">
            <w:pPr>
              <w:spacing w:line="520" w:lineRule="exact"/>
              <w:rPr>
                <w:rFonts w:hint="eastAsia"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产品寿命降低，导致测量值误差过大</w:t>
            </w:r>
          </w:p>
        </w:tc>
      </w:tr>
    </w:tbl>
    <w:p w14:paraId="4F84C6F3">
      <w:pPr>
        <w:spacing w:line="520" w:lineRule="exact"/>
        <w:rPr>
          <w:rFonts w:eastAsia="仿宋_GB2312"/>
          <w:color w:val="000000" w:themeColor="text1"/>
          <w:sz w:val="32"/>
          <w:szCs w:val="32"/>
          <w:highlight w:val="none"/>
          <w14:textFill>
            <w14:solidFill>
              <w14:schemeClr w14:val="tx1"/>
            </w14:solidFill>
          </w14:textFill>
        </w:rPr>
      </w:pPr>
      <w:bookmarkStart w:id="14" w:name="_GoBack"/>
      <w:bookmarkEnd w:id="14"/>
    </w:p>
    <w:sectPr>
      <w:pgSz w:w="11906" w:h="16838"/>
      <w:pgMar w:top="2098" w:right="1588" w:bottom="209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24789">
    <w:pPr>
      <w:pStyle w:val="7"/>
      <w:jc w:val="righ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p w14:paraId="7ED48B0E">
    <w:pPr>
      <w:pStyle w:val="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528E8">
    <w:pPr>
      <w:pStyle w:val="7"/>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2B746D"/>
    <w:multiLevelType w:val="singleLevel"/>
    <w:tmpl w:val="A12B746D"/>
    <w:lvl w:ilvl="0" w:tentative="0">
      <w:start w:val="1"/>
      <w:numFmt w:val="decimal"/>
      <w:suff w:val="space"/>
      <w:lvlText w:val="%1."/>
      <w:lvlJc w:val="left"/>
      <w:pPr>
        <w:ind w:left="0" w:leftChars="0" w:firstLine="567" w:firstLineChars="0"/>
      </w:pPr>
      <w:rPr>
        <w:rFonts w:hint="default"/>
      </w:rPr>
    </w:lvl>
  </w:abstractNum>
  <w:abstractNum w:abstractNumId="1">
    <w:nsid w:val="A426FCAD"/>
    <w:multiLevelType w:val="singleLevel"/>
    <w:tmpl w:val="A426FCAD"/>
    <w:lvl w:ilvl="0" w:tentative="0">
      <w:start w:val="1"/>
      <w:numFmt w:val="decimal"/>
      <w:lvlText w:val="(%1)"/>
      <w:lvlJc w:val="left"/>
      <w:pPr>
        <w:ind w:left="425" w:hanging="425"/>
      </w:pPr>
      <w:rPr>
        <w:rFonts w:hint="default"/>
      </w:rPr>
    </w:lvl>
  </w:abstractNum>
  <w:abstractNum w:abstractNumId="2">
    <w:nsid w:val="BF74C3B2"/>
    <w:multiLevelType w:val="multilevel"/>
    <w:tmpl w:val="BF74C3B2"/>
    <w:lvl w:ilvl="0" w:tentative="0">
      <w:start w:val="1"/>
      <w:numFmt w:val="decimal"/>
      <w:suff w:val="space"/>
      <w:lvlText w:val="[%1]"/>
      <w:lvlJc w:val="left"/>
      <w:pPr>
        <w:tabs>
          <w:tab w:val="left" w:pos="420"/>
        </w:tabs>
        <w:ind w:left="283" w:leftChars="0" w:firstLine="0" w:firstLineChars="0"/>
      </w:pPr>
      <w:rPr>
        <w:rFonts w:hint="default" w:ascii="Times New Roman" w:hAnsi="Times New Roman" w:eastAsia="宋体" w:cs="Times New Roman"/>
        <w:color w:val="auto"/>
        <w:lang w:val="en-US"/>
      </w:rPr>
    </w:lvl>
    <w:lvl w:ilvl="1" w:tentative="0">
      <w:start w:val="1"/>
      <w:numFmt w:val="none"/>
      <w:lvlRestart w:val="0"/>
      <w:suff w:val="space"/>
      <w:lvlText w:val="[]"/>
      <w:lvlJc w:val="left"/>
      <w:pPr>
        <w:tabs>
          <w:tab w:val="left" w:pos="0"/>
        </w:tabs>
        <w:ind w:left="1480" w:hanging="420"/>
      </w:pPr>
      <w:rPr>
        <w:rFonts w:hint="default"/>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00000005"/>
    <w:multiLevelType w:val="multilevel"/>
    <w:tmpl w:val="00000005"/>
    <w:lvl w:ilvl="0" w:tentative="0">
      <w:start w:val="1"/>
      <w:numFmt w:val="decimal"/>
      <w:isLgl/>
      <w:suff w:val="nothing"/>
      <w:lvlText w:val="%1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1" w:tentative="0">
      <w:start w:val="1"/>
      <w:numFmt w:val="decimal"/>
      <w:isLgl/>
      <w:suff w:val="nothing"/>
      <w:lvlText w:val="%1.%2  "/>
      <w:lvlJc w:val="left"/>
      <w:pPr>
        <w:ind w:left="0" w:firstLine="0"/>
      </w:pPr>
      <w:rPr>
        <w:rFonts w:hint="eastAsia" w:ascii="宋体" w:hAnsi="宋体" w:eastAsia="宋体"/>
        <w:b w:val="0"/>
        <w:i w:val="0"/>
        <w:caps w:val="0"/>
        <w:smallCaps w:val="0"/>
        <w:strike w:val="0"/>
        <w:dstrike w:val="0"/>
        <w:spacing w:val="0"/>
        <w:w w:val="100"/>
        <w:kern w:val="21"/>
        <w:position w:val="0"/>
        <w:sz w:val="21"/>
        <w:u w:val="none"/>
      </w:rPr>
    </w:lvl>
    <w:lvl w:ilvl="2" w:tentative="0">
      <w:start w:val="1"/>
      <w:numFmt w:val="decimal"/>
      <w:pStyle w:val="22"/>
      <w:suff w:val="nothing"/>
      <w:lvlText w:val="%1.%2.%3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mNjAzMWJlZjFkMmQwODUwMTJkYzE2ODFiYmFmYTcifQ=="/>
  </w:docVars>
  <w:rsids>
    <w:rsidRoot w:val="00BC6D33"/>
    <w:rsid w:val="00050997"/>
    <w:rsid w:val="000714D2"/>
    <w:rsid w:val="0007279F"/>
    <w:rsid w:val="00072ACB"/>
    <w:rsid w:val="00077457"/>
    <w:rsid w:val="00091F89"/>
    <w:rsid w:val="000B06D3"/>
    <w:rsid w:val="000D4F4F"/>
    <w:rsid w:val="000E480F"/>
    <w:rsid w:val="000E593E"/>
    <w:rsid w:val="00134947"/>
    <w:rsid w:val="0015439B"/>
    <w:rsid w:val="00154FB4"/>
    <w:rsid w:val="001559A9"/>
    <w:rsid w:val="00170331"/>
    <w:rsid w:val="00173F26"/>
    <w:rsid w:val="001D6573"/>
    <w:rsid w:val="001E4F2A"/>
    <w:rsid w:val="00214466"/>
    <w:rsid w:val="00232548"/>
    <w:rsid w:val="002344C3"/>
    <w:rsid w:val="00284A01"/>
    <w:rsid w:val="002A4128"/>
    <w:rsid w:val="002A412E"/>
    <w:rsid w:val="002A7E24"/>
    <w:rsid w:val="002B08C8"/>
    <w:rsid w:val="002B3027"/>
    <w:rsid w:val="002D4C6F"/>
    <w:rsid w:val="00343AAF"/>
    <w:rsid w:val="00355648"/>
    <w:rsid w:val="0036521C"/>
    <w:rsid w:val="0037302F"/>
    <w:rsid w:val="00393D10"/>
    <w:rsid w:val="003C31EF"/>
    <w:rsid w:val="003E11C0"/>
    <w:rsid w:val="003E39EE"/>
    <w:rsid w:val="003E4144"/>
    <w:rsid w:val="00433EDD"/>
    <w:rsid w:val="00456107"/>
    <w:rsid w:val="004A4B27"/>
    <w:rsid w:val="004C2944"/>
    <w:rsid w:val="004D08DC"/>
    <w:rsid w:val="004D2687"/>
    <w:rsid w:val="004D55EC"/>
    <w:rsid w:val="004E0028"/>
    <w:rsid w:val="004F6805"/>
    <w:rsid w:val="00510390"/>
    <w:rsid w:val="005157A1"/>
    <w:rsid w:val="00553DBA"/>
    <w:rsid w:val="00573276"/>
    <w:rsid w:val="00575996"/>
    <w:rsid w:val="00587488"/>
    <w:rsid w:val="0059632F"/>
    <w:rsid w:val="005A07FE"/>
    <w:rsid w:val="00617CC0"/>
    <w:rsid w:val="006209BA"/>
    <w:rsid w:val="00671680"/>
    <w:rsid w:val="00687B4F"/>
    <w:rsid w:val="006902B0"/>
    <w:rsid w:val="006A25BA"/>
    <w:rsid w:val="006B5700"/>
    <w:rsid w:val="006F1ABB"/>
    <w:rsid w:val="00711188"/>
    <w:rsid w:val="007125BF"/>
    <w:rsid w:val="00715E23"/>
    <w:rsid w:val="00730573"/>
    <w:rsid w:val="00734689"/>
    <w:rsid w:val="00735479"/>
    <w:rsid w:val="00764B7D"/>
    <w:rsid w:val="0077307A"/>
    <w:rsid w:val="00783810"/>
    <w:rsid w:val="00787997"/>
    <w:rsid w:val="007A6A9E"/>
    <w:rsid w:val="007A79C4"/>
    <w:rsid w:val="007C3290"/>
    <w:rsid w:val="007C529F"/>
    <w:rsid w:val="007E1389"/>
    <w:rsid w:val="007F7D9D"/>
    <w:rsid w:val="00807EAA"/>
    <w:rsid w:val="0082621F"/>
    <w:rsid w:val="00834FBA"/>
    <w:rsid w:val="00844F28"/>
    <w:rsid w:val="0085137E"/>
    <w:rsid w:val="00877D1C"/>
    <w:rsid w:val="008A54F3"/>
    <w:rsid w:val="008A6C36"/>
    <w:rsid w:val="008B06A6"/>
    <w:rsid w:val="008F00DF"/>
    <w:rsid w:val="0091282E"/>
    <w:rsid w:val="00924DCD"/>
    <w:rsid w:val="00924E93"/>
    <w:rsid w:val="0096036F"/>
    <w:rsid w:val="00991FB1"/>
    <w:rsid w:val="009923A4"/>
    <w:rsid w:val="009A0A1B"/>
    <w:rsid w:val="009A2376"/>
    <w:rsid w:val="009C5A7C"/>
    <w:rsid w:val="009D77B7"/>
    <w:rsid w:val="009E0926"/>
    <w:rsid w:val="009E62AC"/>
    <w:rsid w:val="009F76F0"/>
    <w:rsid w:val="00A00486"/>
    <w:rsid w:val="00A24AE0"/>
    <w:rsid w:val="00A25D62"/>
    <w:rsid w:val="00A322FE"/>
    <w:rsid w:val="00A35DAD"/>
    <w:rsid w:val="00A626E0"/>
    <w:rsid w:val="00A7190B"/>
    <w:rsid w:val="00A8502E"/>
    <w:rsid w:val="00A9696E"/>
    <w:rsid w:val="00AA66B3"/>
    <w:rsid w:val="00AE16F9"/>
    <w:rsid w:val="00AE5CCA"/>
    <w:rsid w:val="00AF309C"/>
    <w:rsid w:val="00AF4C75"/>
    <w:rsid w:val="00AF50B7"/>
    <w:rsid w:val="00AF6B44"/>
    <w:rsid w:val="00B00483"/>
    <w:rsid w:val="00B301F7"/>
    <w:rsid w:val="00B62281"/>
    <w:rsid w:val="00B73120"/>
    <w:rsid w:val="00B84D54"/>
    <w:rsid w:val="00BC5B7A"/>
    <w:rsid w:val="00BC6D33"/>
    <w:rsid w:val="00BF0EDA"/>
    <w:rsid w:val="00BF4B28"/>
    <w:rsid w:val="00C0087D"/>
    <w:rsid w:val="00C0102D"/>
    <w:rsid w:val="00C101F9"/>
    <w:rsid w:val="00C13FEC"/>
    <w:rsid w:val="00C21EB6"/>
    <w:rsid w:val="00C2766D"/>
    <w:rsid w:val="00C354E2"/>
    <w:rsid w:val="00C829E3"/>
    <w:rsid w:val="00CB010C"/>
    <w:rsid w:val="00CE340C"/>
    <w:rsid w:val="00CE459D"/>
    <w:rsid w:val="00CE5722"/>
    <w:rsid w:val="00D12402"/>
    <w:rsid w:val="00D1650C"/>
    <w:rsid w:val="00D176B6"/>
    <w:rsid w:val="00D42A3A"/>
    <w:rsid w:val="00D5063D"/>
    <w:rsid w:val="00D62E43"/>
    <w:rsid w:val="00D867AF"/>
    <w:rsid w:val="00D9637F"/>
    <w:rsid w:val="00DA2176"/>
    <w:rsid w:val="00DD2CCF"/>
    <w:rsid w:val="00DE1D0E"/>
    <w:rsid w:val="00DF0468"/>
    <w:rsid w:val="00E34AE1"/>
    <w:rsid w:val="00E408A0"/>
    <w:rsid w:val="00E76E67"/>
    <w:rsid w:val="00EA1E0F"/>
    <w:rsid w:val="00EE5826"/>
    <w:rsid w:val="00F141F5"/>
    <w:rsid w:val="00F25BF1"/>
    <w:rsid w:val="00F54C55"/>
    <w:rsid w:val="00F60008"/>
    <w:rsid w:val="00F637DA"/>
    <w:rsid w:val="00F63AE3"/>
    <w:rsid w:val="00F926F3"/>
    <w:rsid w:val="03092820"/>
    <w:rsid w:val="037773E1"/>
    <w:rsid w:val="047F12C8"/>
    <w:rsid w:val="04DC0AA0"/>
    <w:rsid w:val="05A351AD"/>
    <w:rsid w:val="06096C1B"/>
    <w:rsid w:val="06701B73"/>
    <w:rsid w:val="06C23411"/>
    <w:rsid w:val="06FF6413"/>
    <w:rsid w:val="074D717F"/>
    <w:rsid w:val="07F95ADE"/>
    <w:rsid w:val="085409E1"/>
    <w:rsid w:val="08B03E69"/>
    <w:rsid w:val="091343F8"/>
    <w:rsid w:val="0AAC0660"/>
    <w:rsid w:val="0AAF0151"/>
    <w:rsid w:val="0AC41E4E"/>
    <w:rsid w:val="0B9F1DE8"/>
    <w:rsid w:val="0BA63302"/>
    <w:rsid w:val="0C34090D"/>
    <w:rsid w:val="0CF1050C"/>
    <w:rsid w:val="0F9811B3"/>
    <w:rsid w:val="10616BA3"/>
    <w:rsid w:val="10635C65"/>
    <w:rsid w:val="108654B0"/>
    <w:rsid w:val="12125AF8"/>
    <w:rsid w:val="12750F77"/>
    <w:rsid w:val="12B04FBC"/>
    <w:rsid w:val="13013AD1"/>
    <w:rsid w:val="132A2A6A"/>
    <w:rsid w:val="1419776E"/>
    <w:rsid w:val="14AB2513"/>
    <w:rsid w:val="166938A9"/>
    <w:rsid w:val="16737500"/>
    <w:rsid w:val="172F4AF3"/>
    <w:rsid w:val="173F136A"/>
    <w:rsid w:val="17CC0594"/>
    <w:rsid w:val="17F84EE5"/>
    <w:rsid w:val="1A2E2E40"/>
    <w:rsid w:val="1B3F7B4F"/>
    <w:rsid w:val="1C177904"/>
    <w:rsid w:val="1C5418B3"/>
    <w:rsid w:val="1CEE480B"/>
    <w:rsid w:val="1D2621A5"/>
    <w:rsid w:val="1FA15E62"/>
    <w:rsid w:val="20796DDF"/>
    <w:rsid w:val="20896F92"/>
    <w:rsid w:val="209E5928"/>
    <w:rsid w:val="20C0056A"/>
    <w:rsid w:val="21693F13"/>
    <w:rsid w:val="21E500E8"/>
    <w:rsid w:val="226564B7"/>
    <w:rsid w:val="22CA74F7"/>
    <w:rsid w:val="22D8603F"/>
    <w:rsid w:val="23563407"/>
    <w:rsid w:val="238D7373"/>
    <w:rsid w:val="24D64FAF"/>
    <w:rsid w:val="254A0D4A"/>
    <w:rsid w:val="255F47F5"/>
    <w:rsid w:val="25704602"/>
    <w:rsid w:val="25E46AA9"/>
    <w:rsid w:val="28480506"/>
    <w:rsid w:val="287265EE"/>
    <w:rsid w:val="2899001E"/>
    <w:rsid w:val="28D74ED6"/>
    <w:rsid w:val="298F0D72"/>
    <w:rsid w:val="29EA6657"/>
    <w:rsid w:val="2A4B17EC"/>
    <w:rsid w:val="2B8054C5"/>
    <w:rsid w:val="2E183793"/>
    <w:rsid w:val="305F065C"/>
    <w:rsid w:val="31181CFC"/>
    <w:rsid w:val="334F0849"/>
    <w:rsid w:val="33626647"/>
    <w:rsid w:val="33B502DB"/>
    <w:rsid w:val="34814BA7"/>
    <w:rsid w:val="34B00BC9"/>
    <w:rsid w:val="355C4D23"/>
    <w:rsid w:val="37ED6663"/>
    <w:rsid w:val="38107438"/>
    <w:rsid w:val="397D3044"/>
    <w:rsid w:val="39F41558"/>
    <w:rsid w:val="3ABD5DEE"/>
    <w:rsid w:val="3B4765E2"/>
    <w:rsid w:val="3B64626A"/>
    <w:rsid w:val="3B6C3370"/>
    <w:rsid w:val="3BF23281"/>
    <w:rsid w:val="3CC35212"/>
    <w:rsid w:val="3D2264D2"/>
    <w:rsid w:val="3DBB413B"/>
    <w:rsid w:val="3DDA65F6"/>
    <w:rsid w:val="3F352FA4"/>
    <w:rsid w:val="3F6A5E19"/>
    <w:rsid w:val="3FCC0B06"/>
    <w:rsid w:val="4005009C"/>
    <w:rsid w:val="40761F30"/>
    <w:rsid w:val="40963817"/>
    <w:rsid w:val="41272213"/>
    <w:rsid w:val="41DA0660"/>
    <w:rsid w:val="424C7A58"/>
    <w:rsid w:val="439E42E3"/>
    <w:rsid w:val="440D013A"/>
    <w:rsid w:val="45463837"/>
    <w:rsid w:val="459040FF"/>
    <w:rsid w:val="459B6D2C"/>
    <w:rsid w:val="465B1756"/>
    <w:rsid w:val="46DC77B5"/>
    <w:rsid w:val="47040901"/>
    <w:rsid w:val="472B40E0"/>
    <w:rsid w:val="474D70E1"/>
    <w:rsid w:val="48291F0B"/>
    <w:rsid w:val="489E30D7"/>
    <w:rsid w:val="48F702A6"/>
    <w:rsid w:val="496B2D6D"/>
    <w:rsid w:val="49855EEE"/>
    <w:rsid w:val="498B70B7"/>
    <w:rsid w:val="49C80975"/>
    <w:rsid w:val="4AAC432F"/>
    <w:rsid w:val="4B5D6832"/>
    <w:rsid w:val="4B7C37AD"/>
    <w:rsid w:val="4C4F743B"/>
    <w:rsid w:val="4D3D691B"/>
    <w:rsid w:val="4DD92AE7"/>
    <w:rsid w:val="4EA24BBE"/>
    <w:rsid w:val="4EF62812"/>
    <w:rsid w:val="4F337C8E"/>
    <w:rsid w:val="4FBC4DBD"/>
    <w:rsid w:val="5054732A"/>
    <w:rsid w:val="50DA775A"/>
    <w:rsid w:val="50DB6B76"/>
    <w:rsid w:val="51616A07"/>
    <w:rsid w:val="517448D5"/>
    <w:rsid w:val="517A0163"/>
    <w:rsid w:val="51C13521"/>
    <w:rsid w:val="52A75069"/>
    <w:rsid w:val="52BE405A"/>
    <w:rsid w:val="53486019"/>
    <w:rsid w:val="53C51418"/>
    <w:rsid w:val="53C673CA"/>
    <w:rsid w:val="548D339F"/>
    <w:rsid w:val="58931AE5"/>
    <w:rsid w:val="590B1FC3"/>
    <w:rsid w:val="59C53A8D"/>
    <w:rsid w:val="59D3519E"/>
    <w:rsid w:val="59D87EC6"/>
    <w:rsid w:val="59DC2C5A"/>
    <w:rsid w:val="5A821CC5"/>
    <w:rsid w:val="5B442923"/>
    <w:rsid w:val="5D027239"/>
    <w:rsid w:val="5D58280C"/>
    <w:rsid w:val="5DBC1ADE"/>
    <w:rsid w:val="5DC36132"/>
    <w:rsid w:val="5F2A3265"/>
    <w:rsid w:val="5FC30F01"/>
    <w:rsid w:val="601B6931"/>
    <w:rsid w:val="60CB2763"/>
    <w:rsid w:val="61572249"/>
    <w:rsid w:val="61E86794"/>
    <w:rsid w:val="61FC621E"/>
    <w:rsid w:val="62BD773A"/>
    <w:rsid w:val="62FD297C"/>
    <w:rsid w:val="630F26B0"/>
    <w:rsid w:val="64805613"/>
    <w:rsid w:val="64964415"/>
    <w:rsid w:val="64E21E2A"/>
    <w:rsid w:val="662F21B1"/>
    <w:rsid w:val="67D059A1"/>
    <w:rsid w:val="683E3B17"/>
    <w:rsid w:val="68550B65"/>
    <w:rsid w:val="68B00491"/>
    <w:rsid w:val="69155A82"/>
    <w:rsid w:val="694F09EE"/>
    <w:rsid w:val="69814773"/>
    <w:rsid w:val="69C2708E"/>
    <w:rsid w:val="6A347883"/>
    <w:rsid w:val="6AB06526"/>
    <w:rsid w:val="6B874044"/>
    <w:rsid w:val="6B8D6867"/>
    <w:rsid w:val="6F4B07C4"/>
    <w:rsid w:val="70AF4C17"/>
    <w:rsid w:val="70CC1BE0"/>
    <w:rsid w:val="72134FA3"/>
    <w:rsid w:val="7236155C"/>
    <w:rsid w:val="72B21C70"/>
    <w:rsid w:val="72D13AF3"/>
    <w:rsid w:val="74EA74E7"/>
    <w:rsid w:val="752A7AD9"/>
    <w:rsid w:val="75942B4E"/>
    <w:rsid w:val="763C61A5"/>
    <w:rsid w:val="76592168"/>
    <w:rsid w:val="76761E75"/>
    <w:rsid w:val="77C20B3A"/>
    <w:rsid w:val="78012A39"/>
    <w:rsid w:val="78D67207"/>
    <w:rsid w:val="78E51A91"/>
    <w:rsid w:val="78F47F26"/>
    <w:rsid w:val="792151BF"/>
    <w:rsid w:val="798D1DCA"/>
    <w:rsid w:val="79B72A50"/>
    <w:rsid w:val="79F0693F"/>
    <w:rsid w:val="7A2605B3"/>
    <w:rsid w:val="7B560A24"/>
    <w:rsid w:val="7B5925CB"/>
    <w:rsid w:val="7B8E01BE"/>
    <w:rsid w:val="7C662EE9"/>
    <w:rsid w:val="7CAF2AE1"/>
    <w:rsid w:val="7CCF4F32"/>
    <w:rsid w:val="7D831878"/>
    <w:rsid w:val="7D96577A"/>
    <w:rsid w:val="7DC723CC"/>
    <w:rsid w:val="7E01736D"/>
    <w:rsid w:val="7E0355CE"/>
    <w:rsid w:val="7E755665"/>
    <w:rsid w:val="7EBD1E63"/>
    <w:rsid w:val="7EF90044"/>
    <w:rsid w:val="7F35147C"/>
    <w:rsid w:val="7F477001"/>
    <w:rsid w:val="7F942558"/>
    <w:rsid w:val="7FA049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5"/>
    <w:unhideWhenUsed/>
    <w:qFormat/>
    <w:uiPriority w:val="99"/>
    <w:pPr>
      <w:jc w:val="left"/>
    </w:pPr>
  </w:style>
  <w:style w:type="paragraph" w:styleId="5">
    <w:name w:val="Body Text Indent"/>
    <w:basedOn w:val="1"/>
    <w:link w:val="21"/>
    <w:unhideWhenUsed/>
    <w:qFormat/>
    <w:uiPriority w:val="0"/>
    <w:pPr>
      <w:ind w:firstLine="420" w:firstLineChars="200"/>
    </w:pPr>
    <w:rPr>
      <w:kern w:val="0"/>
      <w:sz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pPr>
      <w:spacing w:after="120" w:line="480" w:lineRule="auto"/>
    </w:pPr>
    <w:rPr>
      <w:rFonts w:ascii="Times New Roman" w:hAnsi="Times New Roman" w:eastAsia="宋体" w:cs="Times New Roman"/>
      <w:szCs w:val="24"/>
    </w:rPr>
  </w:style>
  <w:style w:type="paragraph" w:styleId="10">
    <w:name w:val="annotation subject"/>
    <w:basedOn w:val="4"/>
    <w:next w:val="4"/>
    <w:link w:val="19"/>
    <w:semiHidden/>
    <w:unhideWhenUsed/>
    <w:qFormat/>
    <w:uiPriority w:val="99"/>
    <w:rPr>
      <w:b/>
      <w:bCs/>
    </w:r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character" w:customStyle="1" w:styleId="15">
    <w:name w:val="批注文字 字符"/>
    <w:basedOn w:val="12"/>
    <w:link w:val="4"/>
    <w:qFormat/>
    <w:uiPriority w:val="99"/>
    <w:rPr>
      <w:rFonts w:ascii="Times New Roman" w:hAnsi="Times New Roman" w:eastAsia="宋体" w:cs="Times New Roman"/>
      <w:szCs w:val="24"/>
    </w:rPr>
  </w:style>
  <w:style w:type="character" w:customStyle="1" w:styleId="16">
    <w:name w:val="页眉 字符"/>
    <w:basedOn w:val="12"/>
    <w:link w:val="8"/>
    <w:qFormat/>
    <w:uiPriority w:val="99"/>
    <w:rPr>
      <w:rFonts w:ascii="Times New Roman" w:hAnsi="Times New Roman" w:eastAsia="宋体" w:cs="Times New Roman"/>
      <w:sz w:val="18"/>
      <w:szCs w:val="18"/>
    </w:rPr>
  </w:style>
  <w:style w:type="character" w:customStyle="1" w:styleId="17">
    <w:name w:val="页脚 字符"/>
    <w:basedOn w:val="12"/>
    <w:link w:val="7"/>
    <w:qFormat/>
    <w:uiPriority w:val="99"/>
    <w:rPr>
      <w:rFonts w:ascii="Times New Roman" w:hAnsi="Times New Roman" w:eastAsia="宋体" w:cs="Times New Roman"/>
      <w:sz w:val="18"/>
      <w:szCs w:val="18"/>
    </w:rPr>
  </w:style>
  <w:style w:type="character" w:customStyle="1" w:styleId="18">
    <w:name w:val="批注框文本 字符"/>
    <w:basedOn w:val="12"/>
    <w:link w:val="6"/>
    <w:semiHidden/>
    <w:qFormat/>
    <w:uiPriority w:val="99"/>
    <w:rPr>
      <w:rFonts w:ascii="Times New Roman" w:hAnsi="Times New Roman" w:eastAsia="宋体" w:cs="Times New Roman"/>
      <w:sz w:val="18"/>
      <w:szCs w:val="18"/>
    </w:rPr>
  </w:style>
  <w:style w:type="character" w:customStyle="1" w:styleId="19">
    <w:name w:val="批注主题 字符"/>
    <w:basedOn w:val="15"/>
    <w:link w:val="10"/>
    <w:semiHidden/>
    <w:qFormat/>
    <w:uiPriority w:val="99"/>
    <w:rPr>
      <w:rFonts w:ascii="Times New Roman" w:hAnsi="Times New Roman" w:eastAsia="宋体" w:cs="Times New Roman"/>
      <w:b/>
      <w:bCs/>
      <w:szCs w:val="24"/>
    </w:rPr>
  </w:style>
  <w:style w:type="paragraph" w:styleId="20">
    <w:name w:val="List Paragraph"/>
    <w:basedOn w:val="1"/>
    <w:qFormat/>
    <w:uiPriority w:val="34"/>
    <w:pPr>
      <w:ind w:firstLine="420" w:firstLineChars="200"/>
    </w:pPr>
  </w:style>
  <w:style w:type="character" w:customStyle="1" w:styleId="21">
    <w:name w:val="正文文本缩进 字符"/>
    <w:basedOn w:val="12"/>
    <w:link w:val="5"/>
    <w:qFormat/>
    <w:uiPriority w:val="0"/>
    <w:rPr>
      <w:rFonts w:ascii="Times New Roman" w:hAnsi="Times New Roman" w:eastAsia="宋体" w:cs="Times New Roman"/>
      <w:szCs w:val="24"/>
    </w:rPr>
  </w:style>
  <w:style w:type="paragraph" w:customStyle="1" w:styleId="22">
    <w:name w:val="条2"/>
    <w:basedOn w:val="1"/>
    <w:next w:val="23"/>
    <w:qFormat/>
    <w:uiPriority w:val="0"/>
    <w:pPr>
      <w:numPr>
        <w:ilvl w:val="2"/>
        <w:numId w:val="1"/>
      </w:numPr>
      <w:outlineLvl w:val="1"/>
    </w:pPr>
    <w:rPr>
      <w:rFonts w:ascii="黑体" w:eastAsia="黑体"/>
      <w:kern w:val="21"/>
      <w:szCs w:val="20"/>
    </w:rPr>
  </w:style>
  <w:style w:type="paragraph" w:customStyle="1" w:styleId="23">
    <w:name w:val="段"/>
    <w:basedOn w:val="1"/>
    <w:qFormat/>
    <w:uiPriority w:val="0"/>
    <w:pPr>
      <w:ind w:firstLine="425"/>
    </w:pPr>
    <w:rPr>
      <w:rFonts w:ascii="宋体"/>
      <w:kern w:val="0"/>
      <w:sz w:val="20"/>
      <w:szCs w:val="20"/>
    </w:rPr>
  </w:style>
  <w:style w:type="character" w:customStyle="1" w:styleId="24">
    <w:name w:val="f101"/>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XU_TY</Company>
  <Pages>26</Pages>
  <Words>8741</Words>
  <Characters>9289</Characters>
  <Lines>65</Lines>
  <Paragraphs>18</Paragraphs>
  <TotalTime>0</TotalTime>
  <ScaleCrop>false</ScaleCrop>
  <LinksUpToDate>false</LinksUpToDate>
  <CharactersWithSpaces>9383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2021-12-24T08:57:00Z</dcterms:created>
  <dc:creator>yj</dc:creator>
  <cp:lastModifiedBy>余元骏</cp:lastModifiedBy>
  <cp:lastPrinted>2022-09-14T03:19:00Z</cp:lastPrinted>
  <dcterms:modified xsi:type="dcterms:W3CDTF">2026-01-21T11:40:44Z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844CB2A1EE324A80B6487A706EC9BC61_13</vt:lpwstr>
  </property>
  <property fmtid="{D5CDD505-2E9C-101B-9397-08002B2CF9AE}" pid="4" name="KSOTemplateDocerSaveRecord">
    <vt:lpwstr>eyJoZGlkIjoiYjA5MzZmYmVmMmJjZTUzMzUwMzMyOGVmYmVjMDM2ZGUiLCJ1c2VySWQiOiI1ODM1MDc4MTcifQ==</vt:lpwstr>
  </property>
</Properties>
</file>