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28B886A2">
      <w:pPr>
        <w:widowControl/>
        <w:spacing w:line="520" w:lineRule="exact"/>
        <w:rPr>
          <w:rFonts w:hint="eastAsia" w:eastAsia="黑体"/>
          <w:bCs/>
          <w:sz w:val="32"/>
          <w:szCs w:val="32"/>
          <w:highlight w:val="none"/>
        </w:rPr>
      </w:pPr>
    </w:p>
    <w:p w14:paraId="7B40AE3D">
      <w:pPr>
        <w:spacing w:line="640" w:lineRule="exact"/>
        <w:jc w:val="center"/>
        <w:rPr>
          <w:rFonts w:eastAsia="方正小标宋简体"/>
          <w:sz w:val="44"/>
          <w:szCs w:val="44"/>
          <w:highlight w:val="none"/>
        </w:rPr>
      </w:pPr>
      <w:r>
        <w:rPr>
          <w:rFonts w:eastAsia="方正小标宋简体"/>
          <w:sz w:val="44"/>
          <w:szCs w:val="44"/>
          <w:highlight w:val="none"/>
        </w:rPr>
        <w:t>医用控温</w:t>
      </w:r>
      <w:r>
        <w:rPr>
          <w:rFonts w:hint="eastAsia" w:eastAsia="方正小标宋简体"/>
          <w:sz w:val="44"/>
          <w:szCs w:val="44"/>
          <w:highlight w:val="none"/>
        </w:rPr>
        <w:t>仪注册审查指导原则</w:t>
      </w:r>
    </w:p>
    <w:p w14:paraId="46A70841">
      <w:pPr>
        <w:spacing w:line="640" w:lineRule="exact"/>
        <w:jc w:val="center"/>
        <w:rPr>
          <w:rFonts w:eastAsia="楷体_GB2312"/>
          <w:sz w:val="32"/>
          <w:szCs w:val="32"/>
          <w:highlight w:val="none"/>
        </w:rPr>
      </w:pPr>
      <w:r>
        <w:rPr>
          <w:rFonts w:hint="eastAsia" w:eastAsia="楷体_GB2312"/>
          <w:sz w:val="32"/>
          <w:szCs w:val="32"/>
          <w:highlight w:val="none"/>
        </w:rPr>
        <w:t>（2025年修订版）</w:t>
      </w:r>
    </w:p>
    <w:p w14:paraId="06AFDBCD">
      <w:pPr>
        <w:spacing w:line="520" w:lineRule="exact"/>
        <w:ind w:firstLine="640" w:firstLineChars="200"/>
        <w:rPr>
          <w:rFonts w:eastAsia="仿宋_GB2312"/>
          <w:sz w:val="32"/>
          <w:szCs w:val="32"/>
          <w:highlight w:val="none"/>
        </w:rPr>
      </w:pPr>
      <w:r>
        <w:rPr>
          <w:rFonts w:eastAsia="仿宋_GB2312"/>
          <w:sz w:val="32"/>
          <w:szCs w:val="32"/>
          <w:highlight w:val="none"/>
        </w:rPr>
        <w:t>本指导原则旨在指导和规范注册申请人对</w:t>
      </w:r>
      <w:r>
        <w:rPr>
          <w:rFonts w:hint="eastAsia" w:eastAsia="仿宋_GB2312"/>
          <w:sz w:val="32"/>
          <w:szCs w:val="32"/>
          <w:highlight w:val="none"/>
        </w:rPr>
        <w:t>医用控温仪</w:t>
      </w:r>
      <w:r>
        <w:rPr>
          <w:rFonts w:eastAsia="仿宋_GB2312"/>
          <w:sz w:val="32"/>
          <w:szCs w:val="32"/>
          <w:highlight w:val="none"/>
        </w:rPr>
        <w:t>产品的注册申报资料的准备及撰写，同时有助于审评机构对该类产品科学规范的审评，提高审评工作的质量和效率。</w:t>
      </w:r>
    </w:p>
    <w:p w14:paraId="1B405463">
      <w:pPr>
        <w:spacing w:line="520" w:lineRule="exact"/>
        <w:ind w:firstLine="640" w:firstLineChars="200"/>
        <w:rPr>
          <w:rFonts w:eastAsia="仿宋_GB2312"/>
          <w:sz w:val="32"/>
          <w:szCs w:val="32"/>
          <w:highlight w:val="none"/>
        </w:rPr>
      </w:pPr>
      <w:r>
        <w:rPr>
          <w:rFonts w:eastAsia="仿宋_GB2312"/>
          <w:sz w:val="32"/>
          <w:szCs w:val="32"/>
          <w:highlight w:val="none"/>
        </w:rPr>
        <w:t>本指导原则是对</w:t>
      </w:r>
      <w:r>
        <w:rPr>
          <w:rFonts w:hint="eastAsia" w:eastAsia="仿宋_GB2312"/>
          <w:sz w:val="32"/>
          <w:szCs w:val="32"/>
          <w:highlight w:val="none"/>
        </w:rPr>
        <w:t>医用控温仪</w:t>
      </w:r>
      <w:r>
        <w:rPr>
          <w:rFonts w:eastAsia="仿宋_GB2312"/>
          <w:sz w:val="32"/>
          <w:szCs w:val="32"/>
          <w:highlight w:val="none"/>
        </w:rPr>
        <w:t>产品的一般要求，注册申请人应依据产品的具体特性确定相关内容是否适用，若不适用，需具体阐述理由及相应的科学依据，并依据产品的具体特性对注册申报资料的内容进行充实和细化。</w:t>
      </w:r>
    </w:p>
    <w:p w14:paraId="50D61E27">
      <w:pPr>
        <w:spacing w:line="520" w:lineRule="exact"/>
        <w:ind w:firstLine="640" w:firstLineChars="200"/>
        <w:rPr>
          <w:rFonts w:eastAsia="仿宋_GB2312"/>
          <w:sz w:val="32"/>
          <w:szCs w:val="32"/>
          <w:highlight w:val="none"/>
        </w:rPr>
      </w:pPr>
      <w:r>
        <w:rPr>
          <w:rFonts w:eastAsia="仿宋_GB2312"/>
          <w:sz w:val="32"/>
          <w:szCs w:val="32"/>
          <w:highlight w:val="none"/>
        </w:rPr>
        <w:t>本指导原则是对注册申请人和</w:t>
      </w:r>
      <w:r>
        <w:rPr>
          <w:rFonts w:hint="eastAsia" w:eastAsia="仿宋_GB2312"/>
          <w:sz w:val="32"/>
          <w:szCs w:val="32"/>
          <w:highlight w:val="none"/>
        </w:rPr>
        <w:t>技术审评</w:t>
      </w:r>
      <w:r>
        <w:rPr>
          <w:rFonts w:eastAsia="仿宋_GB2312"/>
          <w:sz w:val="32"/>
          <w:szCs w:val="32"/>
          <w:highlight w:val="none"/>
        </w:rPr>
        <w:t>人员的指导性文件，但不包括注册审批等行政事项，亦不作为法规强制执行，应在遵循相关法规的前提下使用本指导原则。如果有能够满足相关法规要求的其它方法也可以采用，但是需要提供详细的研究资料和验证资料。</w:t>
      </w:r>
    </w:p>
    <w:p w14:paraId="77D9B1A7">
      <w:pPr>
        <w:spacing w:line="520" w:lineRule="exact"/>
        <w:ind w:firstLine="640" w:firstLineChars="200"/>
        <w:rPr>
          <w:rFonts w:eastAsia="仿宋_GB2312"/>
          <w:sz w:val="32"/>
          <w:szCs w:val="32"/>
          <w:highlight w:val="none"/>
        </w:rPr>
      </w:pPr>
      <w:r>
        <w:rPr>
          <w:rFonts w:eastAsia="仿宋_GB2312"/>
          <w:sz w:val="32"/>
          <w:szCs w:val="32"/>
          <w:highlight w:val="none"/>
        </w:rPr>
        <w:t>本指导原则是在现行法规和标准体系以及当前认知水平下制定的，随着法规和标准体系的不断完善，以及科学技术的不断发展，本指导原则相关内容也将适时进行调整。</w:t>
      </w:r>
    </w:p>
    <w:p w14:paraId="799B512A">
      <w:pPr>
        <w:widowControl/>
        <w:spacing w:line="520" w:lineRule="exact"/>
        <w:ind w:firstLine="640" w:firstLineChars="200"/>
        <w:outlineLvl w:val="0"/>
        <w:rPr>
          <w:rFonts w:eastAsia="黑体"/>
          <w:color w:val="000000" w:themeColor="text1"/>
          <w:kern w:val="0"/>
          <w:sz w:val="32"/>
          <w:szCs w:val="32"/>
          <w:highlight w:val="none"/>
          <w14:textFill>
            <w14:solidFill>
              <w14:schemeClr w14:val="tx1"/>
            </w14:solidFill>
          </w14:textFill>
        </w:rPr>
      </w:pPr>
      <w:r>
        <w:rPr>
          <w:rFonts w:eastAsia="黑体"/>
          <w:color w:val="000000" w:themeColor="text1"/>
          <w:kern w:val="0"/>
          <w:sz w:val="32"/>
          <w:szCs w:val="32"/>
          <w:highlight w:val="none"/>
          <w14:textFill>
            <w14:solidFill>
              <w14:schemeClr w14:val="tx1"/>
            </w14:solidFill>
          </w14:textFill>
        </w:rPr>
        <w:t>一、适用范围</w:t>
      </w:r>
    </w:p>
    <w:p w14:paraId="0B2BB54C">
      <w:pPr>
        <w:spacing w:line="520" w:lineRule="exact"/>
        <w:ind w:firstLine="640" w:firstLineChars="200"/>
        <w:rPr>
          <w:rFonts w:eastAsia="仿宋_GB2312"/>
          <w:highlight w:val="none"/>
        </w:rPr>
      </w:pPr>
      <w:r>
        <w:rPr>
          <w:rFonts w:hint="eastAsia" w:eastAsia="仿宋_GB2312"/>
          <w:color w:val="000000" w:themeColor="text1"/>
          <w:sz w:val="32"/>
          <w:szCs w:val="32"/>
          <w:highlight w:val="none"/>
          <w14:textFill>
            <w14:solidFill>
              <w14:schemeClr w14:val="tx1"/>
            </w14:solidFill>
          </w14:textFill>
        </w:rPr>
        <w:t>本指导原则适用于按II类管理的医用控温仪，该类产品通过毯、垫等部件与人体进行热交换，具有对人体进行体外物理升温和/或降温功能，达到辅助调节人体温度的目的。</w:t>
      </w:r>
    </w:p>
    <w:p w14:paraId="0F862D2F">
      <w:pPr>
        <w:spacing w:line="520" w:lineRule="exact"/>
        <w:ind w:firstLine="640" w:firstLineChars="200"/>
        <w:rPr>
          <w:rFonts w:eastAsia="仿宋_GB2312"/>
          <w:highlight w:val="none"/>
        </w:rPr>
      </w:pPr>
      <w:r>
        <w:rPr>
          <w:rFonts w:hint="eastAsia" w:eastAsia="仿宋_GB2312"/>
          <w:color w:val="000000" w:themeColor="text1"/>
          <w:sz w:val="32"/>
          <w:szCs w:val="32"/>
          <w:highlight w:val="none"/>
          <w14:textFill>
            <w14:solidFill>
              <w14:schemeClr w14:val="tx1"/>
            </w14:solidFill>
          </w14:textFill>
        </w:rPr>
        <w:t>本指导原则不包括热垫式治疗仪、热（冷）贴敷类器具，但在审查此类产品时也可参考本指导原则部分内容</w:t>
      </w:r>
      <w:r>
        <w:rPr>
          <w:rFonts w:eastAsia="仿宋_GB2312"/>
          <w:color w:val="000000" w:themeColor="text1"/>
          <w:sz w:val="32"/>
          <w:szCs w:val="32"/>
          <w:highlight w:val="none"/>
          <w14:textFill>
            <w14:solidFill>
              <w14:schemeClr w14:val="tx1"/>
            </w14:solidFill>
          </w14:textFill>
        </w:rPr>
        <w:t>。</w:t>
      </w:r>
    </w:p>
    <w:p w14:paraId="6C41EBF7">
      <w:pPr>
        <w:widowControl/>
        <w:spacing w:line="520" w:lineRule="exact"/>
        <w:ind w:firstLine="640" w:firstLineChars="200"/>
        <w:outlineLvl w:val="0"/>
        <w:rPr>
          <w:rFonts w:eastAsia="黑体"/>
          <w:color w:val="000000" w:themeColor="text1"/>
          <w:kern w:val="0"/>
          <w:sz w:val="32"/>
          <w:szCs w:val="32"/>
          <w:highlight w:val="none"/>
          <w14:textFill>
            <w14:solidFill>
              <w14:schemeClr w14:val="tx1"/>
            </w14:solidFill>
          </w14:textFill>
        </w:rPr>
      </w:pPr>
      <w:r>
        <w:rPr>
          <w:rFonts w:eastAsia="黑体"/>
          <w:color w:val="000000" w:themeColor="text1"/>
          <w:kern w:val="0"/>
          <w:sz w:val="32"/>
          <w:szCs w:val="32"/>
          <w:highlight w:val="none"/>
          <w14:textFill>
            <w14:solidFill>
              <w14:schemeClr w14:val="tx1"/>
            </w14:solidFill>
          </w14:textFill>
        </w:rPr>
        <w:t>二、注册审查要点</w:t>
      </w:r>
    </w:p>
    <w:p w14:paraId="21F30798">
      <w:pPr>
        <w:widowControl/>
        <w:spacing w:line="520" w:lineRule="exact"/>
        <w:ind w:firstLine="640" w:firstLineChars="200"/>
        <w:outlineLvl w:val="0"/>
        <w:rPr>
          <w:rFonts w:eastAsia="楷体_GB2312"/>
          <w:color w:val="000000" w:themeColor="text1"/>
          <w:sz w:val="32"/>
          <w:szCs w:val="32"/>
          <w:highlight w:val="none"/>
          <w14:textFill>
            <w14:solidFill>
              <w14:schemeClr w14:val="tx1"/>
            </w14:solidFill>
          </w14:textFill>
        </w:rPr>
      </w:pPr>
      <w:r>
        <w:rPr>
          <w:rFonts w:eastAsia="楷体_GB2312"/>
          <w:color w:val="000000" w:themeColor="text1"/>
          <w:sz w:val="32"/>
          <w:szCs w:val="32"/>
          <w:highlight w:val="none"/>
          <w14:textFill>
            <w14:solidFill>
              <w14:schemeClr w14:val="tx1"/>
            </w14:solidFill>
          </w14:textFill>
        </w:rPr>
        <w:t>（一）监管信息</w:t>
      </w:r>
    </w:p>
    <w:p w14:paraId="48373E24">
      <w:pPr>
        <w:spacing w:line="500" w:lineRule="exact"/>
        <w:ind w:firstLine="640" w:firstLineChars="200"/>
        <w:outlineLvl w:val="2"/>
        <w:rPr>
          <w:rFonts w:eastAsia="仿宋_GB2312"/>
          <w:bCs/>
          <w:sz w:val="32"/>
          <w:szCs w:val="32"/>
          <w:highlight w:val="none"/>
        </w:rPr>
      </w:pPr>
      <w:r>
        <w:rPr>
          <w:rFonts w:hint="eastAsia" w:eastAsia="仿宋_GB2312"/>
          <w:bCs/>
          <w:sz w:val="32"/>
          <w:szCs w:val="32"/>
          <w:highlight w:val="none"/>
        </w:rPr>
        <w:t>1.产品名称</w:t>
      </w:r>
    </w:p>
    <w:p w14:paraId="31248501">
      <w:pPr>
        <w:spacing w:line="520" w:lineRule="exact"/>
        <w:ind w:firstLine="640" w:firstLineChars="200"/>
        <w:rPr>
          <w:rFonts w:eastAsia="仿宋_GB2312"/>
          <w:spacing w:val="2"/>
          <w:sz w:val="32"/>
          <w:szCs w:val="28"/>
          <w:highlight w:val="none"/>
        </w:rPr>
      </w:pPr>
      <w:r>
        <w:rPr>
          <w:rFonts w:eastAsia="仿宋_GB2312"/>
          <w:bCs/>
          <w:sz w:val="32"/>
          <w:szCs w:val="32"/>
          <w:highlight w:val="none"/>
        </w:rPr>
        <w:t>按照《医疗器械通用名称命名规则》</w:t>
      </w:r>
      <w:r>
        <w:rPr>
          <w:rFonts w:hint="eastAsia" w:eastAsia="仿宋_GB2312"/>
          <w:bCs/>
          <w:sz w:val="32"/>
          <w:szCs w:val="32"/>
          <w:highlight w:val="none"/>
        </w:rPr>
        <w:t>，</w:t>
      </w:r>
      <w:r>
        <w:rPr>
          <w:rFonts w:eastAsia="仿宋_GB2312"/>
          <w:bCs/>
          <w:sz w:val="32"/>
          <w:szCs w:val="32"/>
          <w:highlight w:val="none"/>
        </w:rPr>
        <w:t>并参考</w:t>
      </w:r>
      <w:r>
        <w:rPr>
          <w:rFonts w:eastAsia="仿宋_GB2312"/>
          <w:color w:val="000000" w:themeColor="text1"/>
          <w:sz w:val="32"/>
          <w:szCs w:val="32"/>
          <w:highlight w:val="none"/>
          <w14:textFill>
            <w14:solidFill>
              <w14:schemeClr w14:val="tx1"/>
            </w14:solidFill>
          </w14:textFill>
        </w:rPr>
        <w:t>《</w:t>
      </w:r>
      <w:r>
        <w:rPr>
          <w:rFonts w:hint="eastAsia" w:eastAsia="仿宋_GB2312"/>
          <w:color w:val="000000" w:themeColor="text1"/>
          <w:sz w:val="32"/>
          <w:szCs w:val="32"/>
          <w:highlight w:val="none"/>
          <w14:textFill>
            <w14:solidFill>
              <w14:schemeClr w14:val="tx1"/>
            </w14:solidFill>
          </w14:textFill>
        </w:rPr>
        <w:t>物理治疗器械通用名称命名指导原则》</w:t>
      </w:r>
      <w:r>
        <w:rPr>
          <w:rFonts w:eastAsia="仿宋_GB2312"/>
          <w:color w:val="000000" w:themeColor="text1"/>
          <w:sz w:val="32"/>
          <w:szCs w:val="32"/>
          <w:highlight w:val="none"/>
          <w14:textFill>
            <w14:solidFill>
              <w14:schemeClr w14:val="tx1"/>
            </w14:solidFill>
          </w14:textFill>
        </w:rPr>
        <w:t>和国家标准、行业标准</w:t>
      </w:r>
      <w:r>
        <w:rPr>
          <w:rFonts w:hint="eastAsia" w:eastAsia="仿宋_GB2312"/>
          <w:color w:val="000000" w:themeColor="text1"/>
          <w:sz w:val="32"/>
          <w:szCs w:val="32"/>
          <w:highlight w:val="none"/>
          <w14:textFill>
            <w14:solidFill>
              <w14:schemeClr w14:val="tx1"/>
            </w14:solidFill>
          </w14:textFill>
        </w:rPr>
        <w:t>，</w:t>
      </w:r>
      <w:r>
        <w:rPr>
          <w:rFonts w:eastAsia="仿宋_GB2312"/>
          <w:sz w:val="32"/>
          <w:szCs w:val="32"/>
          <w:highlight w:val="none"/>
        </w:rPr>
        <w:t>按</w:t>
      </w:r>
      <w:r>
        <w:rPr>
          <w:rFonts w:hint="eastAsia" w:eastAsia="仿宋_GB2312"/>
          <w:sz w:val="32"/>
          <w:szCs w:val="32"/>
          <w:highlight w:val="none"/>
        </w:rPr>
        <w:t>1个</w:t>
      </w:r>
      <w:r>
        <w:rPr>
          <w:rFonts w:eastAsia="仿宋_GB2312"/>
          <w:sz w:val="32"/>
          <w:szCs w:val="32"/>
          <w:highlight w:val="none"/>
        </w:rPr>
        <w:t>核心词</w:t>
      </w:r>
      <w:r>
        <w:rPr>
          <w:rFonts w:hint="eastAsia" w:eastAsia="仿宋_GB2312"/>
          <w:sz w:val="32"/>
          <w:szCs w:val="32"/>
          <w:highlight w:val="none"/>
        </w:rPr>
        <w:t>和一般不超过3个</w:t>
      </w:r>
      <w:r>
        <w:rPr>
          <w:rFonts w:eastAsia="仿宋_GB2312"/>
          <w:sz w:val="32"/>
          <w:szCs w:val="32"/>
          <w:highlight w:val="none"/>
        </w:rPr>
        <w:t>特征词</w:t>
      </w:r>
      <w:r>
        <w:rPr>
          <w:rFonts w:hint="eastAsia" w:eastAsia="仿宋_GB2312"/>
          <w:sz w:val="32"/>
          <w:szCs w:val="32"/>
          <w:highlight w:val="none"/>
        </w:rPr>
        <w:t>的</w:t>
      </w:r>
      <w:r>
        <w:rPr>
          <w:rFonts w:eastAsia="仿宋_GB2312"/>
          <w:sz w:val="32"/>
          <w:szCs w:val="32"/>
          <w:highlight w:val="none"/>
        </w:rPr>
        <w:t>结构编制</w:t>
      </w:r>
      <w:r>
        <w:rPr>
          <w:rFonts w:hint="eastAsia" w:eastAsia="仿宋_GB2312"/>
          <w:sz w:val="32"/>
          <w:szCs w:val="32"/>
          <w:highlight w:val="none"/>
        </w:rPr>
        <w:t>。</w:t>
      </w:r>
      <w:r>
        <w:rPr>
          <w:rFonts w:hint="eastAsia" w:eastAsia="仿宋_GB2312"/>
          <w:spacing w:val="2"/>
          <w:sz w:val="32"/>
          <w:szCs w:val="28"/>
          <w:highlight w:val="none"/>
        </w:rPr>
        <w:t>该类产品的核心词为“升温仪”或“降温仪”或“控温仪”，特征词可用产品的技术特</w:t>
      </w:r>
      <w:r>
        <w:rPr>
          <w:rFonts w:hint="eastAsia" w:eastAsia="仿宋_GB2312"/>
          <w:sz w:val="32"/>
          <w:szCs w:val="32"/>
          <w:highlight w:val="none"/>
        </w:rPr>
        <w:t>点等进行表征，如“电热式”、“充气式”、“半导体”。</w:t>
      </w:r>
    </w:p>
    <w:p w14:paraId="0665BDB6">
      <w:pPr>
        <w:overflowPunct w:val="0"/>
        <w:autoSpaceDE w:val="0"/>
        <w:autoSpaceDN w:val="0"/>
        <w:spacing w:line="520" w:lineRule="exact"/>
        <w:ind w:firstLine="648" w:firstLineChars="200"/>
        <w:rPr>
          <w:rFonts w:eastAsia="仿宋_GB2312"/>
          <w:snapToGrid w:val="0"/>
          <w:kern w:val="0"/>
          <w:sz w:val="32"/>
          <w:szCs w:val="32"/>
          <w:highlight w:val="none"/>
        </w:rPr>
      </w:pPr>
      <w:r>
        <w:rPr>
          <w:rFonts w:hint="eastAsia" w:eastAsia="仿宋_GB2312"/>
          <w:spacing w:val="2"/>
          <w:sz w:val="32"/>
          <w:szCs w:val="28"/>
          <w:highlight w:val="none"/>
        </w:rPr>
        <w:t>常用产品名称举例：</w:t>
      </w:r>
      <w:r>
        <w:rPr>
          <w:rFonts w:hint="eastAsia" w:eastAsia="仿宋_GB2312"/>
          <w:sz w:val="32"/>
          <w:szCs w:val="28"/>
          <w:highlight w:val="none"/>
        </w:rPr>
        <w:t>医用控温仪、医用升温仪、医用降温仪</w:t>
      </w:r>
      <w:r>
        <w:rPr>
          <w:rFonts w:hint="eastAsia" w:eastAsia="仿宋_GB2312"/>
          <w:spacing w:val="2"/>
          <w:sz w:val="32"/>
          <w:szCs w:val="28"/>
          <w:highlight w:val="none"/>
        </w:rPr>
        <w:t>等。</w:t>
      </w:r>
    </w:p>
    <w:p w14:paraId="0F1F0420">
      <w:pPr>
        <w:spacing w:line="500" w:lineRule="exact"/>
        <w:ind w:firstLine="640" w:firstLineChars="200"/>
        <w:outlineLvl w:val="2"/>
        <w:rPr>
          <w:rFonts w:eastAsia="仿宋_GB2312"/>
          <w:bCs/>
          <w:sz w:val="32"/>
          <w:szCs w:val="32"/>
          <w:highlight w:val="none"/>
        </w:rPr>
      </w:pPr>
      <w:r>
        <w:rPr>
          <w:rFonts w:hint="eastAsia" w:eastAsia="仿宋_GB2312"/>
          <w:bCs/>
          <w:sz w:val="32"/>
          <w:szCs w:val="32"/>
          <w:highlight w:val="none"/>
        </w:rPr>
        <w:t>2.分类编码</w:t>
      </w:r>
    </w:p>
    <w:p w14:paraId="51CE4331">
      <w:pPr>
        <w:spacing w:line="520" w:lineRule="exact"/>
        <w:ind w:firstLine="640" w:firstLineChars="200"/>
        <w:rPr>
          <w:rFonts w:eastAsia="仿宋_GB2312"/>
          <w:bCs/>
          <w:sz w:val="32"/>
          <w:szCs w:val="32"/>
          <w:highlight w:val="none"/>
        </w:rPr>
      </w:pPr>
      <w:r>
        <w:rPr>
          <w:rFonts w:hint="eastAsia" w:eastAsia="仿宋_GB2312"/>
          <w:bCs/>
          <w:sz w:val="32"/>
          <w:szCs w:val="32"/>
          <w:highlight w:val="none"/>
        </w:rPr>
        <w:t>参照《医疗器械分类目录》，本指导原则包括一级产品类别“09-02-温热（冷）治疗设备/器具”中的两个二级产品类别：</w:t>
      </w:r>
    </w:p>
    <w:p w14:paraId="76F895B9">
      <w:pPr>
        <w:spacing w:line="520" w:lineRule="exact"/>
        <w:ind w:firstLine="640" w:firstLineChars="200"/>
        <w:rPr>
          <w:rFonts w:eastAsia="仿宋_GB2312"/>
          <w:bCs/>
          <w:sz w:val="32"/>
          <w:szCs w:val="32"/>
          <w:highlight w:val="none"/>
        </w:rPr>
      </w:pPr>
      <w:r>
        <w:rPr>
          <w:rFonts w:hint="eastAsia" w:eastAsia="仿宋_GB2312"/>
          <w:bCs/>
          <w:sz w:val="32"/>
          <w:szCs w:val="32"/>
          <w:highlight w:val="none"/>
        </w:rPr>
        <w:t>2.1热传导治疗设备（分类编码 09-02-01）</w:t>
      </w:r>
    </w:p>
    <w:p w14:paraId="2FEE19B6">
      <w:pPr>
        <w:spacing w:line="520" w:lineRule="exact"/>
        <w:ind w:firstLine="640" w:firstLineChars="200"/>
        <w:rPr>
          <w:rFonts w:eastAsia="仿宋_GB2312"/>
          <w:bCs/>
          <w:sz w:val="32"/>
          <w:szCs w:val="32"/>
          <w:highlight w:val="none"/>
        </w:rPr>
      </w:pPr>
      <w:r>
        <w:rPr>
          <w:rFonts w:hint="eastAsia" w:eastAsia="仿宋_GB2312"/>
          <w:bCs/>
          <w:sz w:val="32"/>
          <w:szCs w:val="32"/>
          <w:highlight w:val="none"/>
        </w:rPr>
        <w:t>此类产品通常由加热装置、温度传感器、温控电路、动力装置以及应用部分（如加热毯、加热垫等）组成。在动力装置驱动下，依靠对循环介质（如：水、空气、石墨烯）的加热，给患者全身或身体局部提供热量。</w:t>
      </w:r>
    </w:p>
    <w:p w14:paraId="71397BF6">
      <w:pPr>
        <w:spacing w:line="520" w:lineRule="exact"/>
        <w:ind w:firstLine="640" w:firstLineChars="200"/>
        <w:rPr>
          <w:rFonts w:eastAsia="仿宋_GB2312"/>
          <w:bCs/>
          <w:sz w:val="32"/>
          <w:szCs w:val="32"/>
          <w:highlight w:val="none"/>
        </w:rPr>
      </w:pPr>
      <w:r>
        <w:rPr>
          <w:rFonts w:hint="eastAsia" w:eastAsia="仿宋_GB2312"/>
          <w:bCs/>
          <w:sz w:val="32"/>
          <w:szCs w:val="32"/>
          <w:highlight w:val="none"/>
        </w:rPr>
        <w:t>2.2物理降温设备（分类编码 09-02-03）</w:t>
      </w:r>
    </w:p>
    <w:p w14:paraId="59EE75A4">
      <w:pPr>
        <w:spacing w:line="520" w:lineRule="exact"/>
        <w:ind w:firstLine="640" w:firstLineChars="200"/>
        <w:rPr>
          <w:rFonts w:eastAsia="仿宋_GB2312"/>
          <w:bCs/>
          <w:sz w:val="32"/>
          <w:szCs w:val="32"/>
          <w:highlight w:val="none"/>
        </w:rPr>
      </w:pPr>
      <w:r>
        <w:rPr>
          <w:rFonts w:hint="eastAsia" w:eastAsia="仿宋_GB2312"/>
          <w:bCs/>
          <w:sz w:val="32"/>
          <w:szCs w:val="32"/>
          <w:highlight w:val="none"/>
        </w:rPr>
        <w:t>此类产品通常由制冷装置、温控电路、控制机构及应用部分（降温毯、降温帽等）组成。采用半导体致冷或压缩机制冷方式进行物理降温。</w:t>
      </w:r>
    </w:p>
    <w:p w14:paraId="4C415B7E">
      <w:pPr>
        <w:spacing w:line="500" w:lineRule="exact"/>
        <w:ind w:firstLine="640" w:firstLineChars="200"/>
        <w:outlineLvl w:val="2"/>
        <w:rPr>
          <w:rFonts w:eastAsia="仿宋_GB2312"/>
          <w:bCs/>
          <w:sz w:val="32"/>
          <w:szCs w:val="32"/>
          <w:highlight w:val="none"/>
        </w:rPr>
      </w:pPr>
      <w:r>
        <w:rPr>
          <w:rFonts w:hint="eastAsia" w:eastAsia="仿宋_GB2312"/>
          <w:bCs/>
          <w:sz w:val="32"/>
          <w:szCs w:val="32"/>
          <w:highlight w:val="none"/>
        </w:rPr>
        <w:t>3.注册单元划分的原则</w:t>
      </w:r>
    </w:p>
    <w:p w14:paraId="03F8CCDA">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注册单元的划分应符合《医疗器械注册单元划分指导原则》的要求。</w:t>
      </w:r>
    </w:p>
    <w:p w14:paraId="19236637">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医用控温仪的注册单元原则上以技术原理、预期用途作为划分依据。</w:t>
      </w:r>
    </w:p>
    <w:p w14:paraId="5EAF609E">
      <w:pPr>
        <w:spacing w:line="520" w:lineRule="exact"/>
        <w:ind w:firstLine="640" w:firstLineChars="200"/>
        <w:rPr>
          <w:rFonts w:eastAsia="仿宋_GB2312"/>
          <w:sz w:val="32"/>
          <w:szCs w:val="32"/>
          <w:highlight w:val="none"/>
        </w:rPr>
      </w:pPr>
      <w:r>
        <w:rPr>
          <w:rFonts w:hint="eastAsia" w:eastAsia="仿宋_GB2312"/>
          <w:sz w:val="32"/>
          <w:szCs w:val="32"/>
          <w:highlight w:val="none"/>
        </w:rPr>
        <w:t>3.1技术原理</w:t>
      </w:r>
    </w:p>
    <w:p w14:paraId="7A0419BE">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产品技术原理存在较大差异的，需划分为不同的注册单元。</w:t>
      </w:r>
    </w:p>
    <w:p w14:paraId="24047FD5">
      <w:pPr>
        <w:adjustRightInd w:val="0"/>
        <w:snapToGrid w:val="0"/>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例如：利用半导体帕尔贴效应控制设备内循环液体的温度、利用压缩机的制冷原理控制设备内循环液体的温度的降温仪需划分为不同的注册单元。</w:t>
      </w:r>
    </w:p>
    <w:p w14:paraId="2B9D56CC">
      <w:pPr>
        <w:adjustRightInd w:val="0"/>
        <w:snapToGrid w:val="0"/>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电热式、充气式、充液式的升温仪需划分为不同的注册单元。</w:t>
      </w:r>
    </w:p>
    <w:p w14:paraId="1788629D">
      <w:pPr>
        <w:adjustRightInd w:val="0"/>
        <w:snapToGrid w:val="0"/>
        <w:spacing w:line="520" w:lineRule="exact"/>
        <w:ind w:firstLine="640" w:firstLineChars="200"/>
        <w:rPr>
          <w:highlight w:val="none"/>
        </w:rPr>
      </w:pPr>
      <w:r>
        <w:rPr>
          <w:rFonts w:hint="eastAsia" w:eastAsia="仿宋_GB2312"/>
          <w:color w:val="000000" w:themeColor="text1"/>
          <w:sz w:val="32"/>
          <w:szCs w:val="32"/>
          <w:highlight w:val="none"/>
          <w14:textFill>
            <w14:solidFill>
              <w14:schemeClr w14:val="tx1"/>
            </w14:solidFill>
          </w14:textFill>
        </w:rPr>
        <w:t>兼具升温和降温功能的产品，与仅具有升温或降温功能的产品，且两者的温度控制原理差异较大的，需划分为不同的注册单元。</w:t>
      </w:r>
    </w:p>
    <w:p w14:paraId="166DAF56">
      <w:pPr>
        <w:spacing w:line="520" w:lineRule="exact"/>
        <w:ind w:firstLine="640" w:firstLineChars="200"/>
        <w:rPr>
          <w:rFonts w:eastAsia="仿宋_GB2312"/>
          <w:color w:val="0000FF"/>
          <w:sz w:val="32"/>
          <w:szCs w:val="32"/>
          <w:highlight w:val="none"/>
        </w:rPr>
      </w:pPr>
      <w:r>
        <w:rPr>
          <w:rFonts w:hint="eastAsia" w:eastAsia="仿宋_GB2312"/>
          <w:color w:val="000000" w:themeColor="text1"/>
          <w:sz w:val="32"/>
          <w:szCs w:val="32"/>
          <w:highlight w:val="none"/>
          <w14:textFill>
            <w14:solidFill>
              <w14:schemeClr w14:val="tx1"/>
            </w14:solidFill>
          </w14:textFill>
        </w:rPr>
        <w:t>3.</w:t>
      </w:r>
      <w:r>
        <w:rPr>
          <w:rFonts w:hint="eastAsia" w:eastAsia="仿宋_GB2312"/>
          <w:color w:val="000000" w:themeColor="text1"/>
          <w:sz w:val="32"/>
          <w:szCs w:val="32"/>
          <w:highlight w:val="none"/>
          <w:lang w:val="en-US" w:eastAsia="zh-CN"/>
          <w14:textFill>
            <w14:solidFill>
              <w14:schemeClr w14:val="tx1"/>
            </w14:solidFill>
          </w14:textFill>
        </w:rPr>
        <w:t>2</w:t>
      </w:r>
      <w:r>
        <w:rPr>
          <w:rFonts w:hint="eastAsia" w:eastAsia="仿宋_GB2312"/>
          <w:color w:val="000000" w:themeColor="text1"/>
          <w:sz w:val="32"/>
          <w:szCs w:val="32"/>
          <w:highlight w:val="none"/>
          <w14:textFill>
            <w14:solidFill>
              <w14:schemeClr w14:val="tx1"/>
            </w14:solidFill>
          </w14:textFill>
        </w:rPr>
        <w:t>预期用途</w:t>
      </w:r>
    </w:p>
    <w:p w14:paraId="1EC1124D">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预期用途不同的，需划分为不同的注册单元。</w:t>
      </w:r>
    </w:p>
    <w:p w14:paraId="38AA99B0">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例如：仅对患者进行体外物理升温的和仅对患者进行体外物理降温的应划分为不同的注册单元。</w:t>
      </w:r>
    </w:p>
    <w:p w14:paraId="4A998838">
      <w:pPr>
        <w:spacing w:line="520" w:lineRule="exact"/>
        <w:ind w:firstLine="640" w:firstLineChars="200"/>
        <w:rPr>
          <w:rFonts w:hint="eastAsia" w:eastAsia="仿宋_GB2312"/>
          <w:color w:val="000000" w:themeColor="text1"/>
          <w:sz w:val="32"/>
          <w:szCs w:val="32"/>
          <w:highlight w:val="none"/>
          <w:lang w:eastAsia="zh-CN"/>
          <w14:textFill>
            <w14:solidFill>
              <w14:schemeClr w14:val="tx1"/>
            </w14:solidFill>
          </w14:textFill>
        </w:rPr>
      </w:pPr>
      <w:r>
        <w:rPr>
          <w:rFonts w:hint="eastAsia" w:eastAsia="仿宋_GB2312"/>
          <w:color w:val="000000" w:themeColor="text1"/>
          <w:sz w:val="32"/>
          <w:szCs w:val="32"/>
          <w:highlight w:val="none"/>
          <w:lang w:eastAsia="zh-CN"/>
          <w14:textFill>
            <w14:solidFill>
              <w14:schemeClr w14:val="tx1"/>
            </w14:solidFill>
          </w14:textFill>
        </w:rPr>
        <w:t>若一个型号同时具备升降温功能，另外一个型号在该型号基础上删减其中一个功能，如删除升温功能，则可放入同一注册单元。</w:t>
      </w:r>
    </w:p>
    <w:p w14:paraId="1D12ED4F">
      <w:pPr>
        <w:widowControl/>
        <w:spacing w:line="520" w:lineRule="exact"/>
        <w:ind w:firstLine="566" w:firstLineChars="177"/>
        <w:outlineLvl w:val="0"/>
        <w:rPr>
          <w:rFonts w:eastAsia="楷体_GB2312"/>
          <w:color w:val="000000" w:themeColor="text1"/>
          <w:sz w:val="32"/>
          <w:szCs w:val="32"/>
          <w:highlight w:val="none"/>
          <w14:textFill>
            <w14:solidFill>
              <w14:schemeClr w14:val="tx1"/>
            </w14:solidFill>
          </w14:textFill>
        </w:rPr>
      </w:pPr>
      <w:r>
        <w:rPr>
          <w:rFonts w:eastAsia="楷体_GB2312"/>
          <w:color w:val="000000" w:themeColor="text1"/>
          <w:sz w:val="32"/>
          <w:szCs w:val="32"/>
          <w:highlight w:val="none"/>
          <w14:textFill>
            <w14:solidFill>
              <w14:schemeClr w14:val="tx1"/>
            </w14:solidFill>
          </w14:textFill>
        </w:rPr>
        <w:t>（二）综述资料</w:t>
      </w:r>
    </w:p>
    <w:p w14:paraId="119F62DF">
      <w:pPr>
        <w:spacing w:line="500" w:lineRule="exact"/>
        <w:ind w:firstLine="640" w:firstLineChars="200"/>
        <w:outlineLvl w:val="2"/>
        <w:rPr>
          <w:rFonts w:eastAsia="仿宋_GB2312"/>
          <w:bCs/>
          <w:sz w:val="32"/>
          <w:szCs w:val="32"/>
          <w:highlight w:val="none"/>
        </w:rPr>
      </w:pPr>
      <w:bookmarkStart w:id="0" w:name="_Toc11302"/>
      <w:r>
        <w:rPr>
          <w:rFonts w:hint="eastAsia" w:eastAsia="仿宋_GB2312"/>
          <w:bCs/>
          <w:sz w:val="32"/>
          <w:szCs w:val="32"/>
          <w:highlight w:val="none"/>
        </w:rPr>
        <w:t>1.概述</w:t>
      </w:r>
      <w:bookmarkEnd w:id="0"/>
    </w:p>
    <w:p w14:paraId="760D0155">
      <w:pPr>
        <w:spacing w:line="520" w:lineRule="exact"/>
        <w:ind w:firstLine="640" w:firstLineChars="200"/>
        <w:rPr>
          <w:rFonts w:eastAsia="仿宋_GB2312"/>
          <w:sz w:val="32"/>
          <w:szCs w:val="28"/>
          <w:highlight w:val="none"/>
        </w:rPr>
      </w:pPr>
      <w:r>
        <w:rPr>
          <w:rFonts w:hint="eastAsia" w:eastAsia="仿宋_GB2312"/>
          <w:sz w:val="32"/>
          <w:szCs w:val="28"/>
          <w:highlight w:val="none"/>
        </w:rPr>
        <w:t>申请人需描述产品的通用名称及确定依据、适用范围。如适用，申请人应提供产品的背景信息概述，如：申报产品的历史概述、历次提交的信息，与其他经批准上市产品的关系等。</w:t>
      </w:r>
    </w:p>
    <w:p w14:paraId="7696C65A">
      <w:pPr>
        <w:spacing w:line="500" w:lineRule="exact"/>
        <w:ind w:firstLine="640" w:firstLineChars="200"/>
        <w:outlineLvl w:val="2"/>
        <w:rPr>
          <w:rFonts w:eastAsia="仿宋_GB2312"/>
          <w:bCs/>
          <w:sz w:val="32"/>
          <w:szCs w:val="32"/>
          <w:highlight w:val="none"/>
        </w:rPr>
      </w:pPr>
      <w:bookmarkStart w:id="1" w:name="_Toc30032"/>
      <w:r>
        <w:rPr>
          <w:rFonts w:hint="eastAsia" w:eastAsia="仿宋_GB2312"/>
          <w:bCs/>
          <w:sz w:val="32"/>
          <w:szCs w:val="32"/>
          <w:highlight w:val="none"/>
        </w:rPr>
        <w:t>2.产品描述</w:t>
      </w:r>
      <w:bookmarkEnd w:id="1"/>
    </w:p>
    <w:p w14:paraId="1632D24D">
      <w:pPr>
        <w:spacing w:line="500" w:lineRule="exact"/>
        <w:ind w:firstLine="640"/>
        <w:rPr>
          <w:rFonts w:eastAsia="仿宋_GB2312"/>
          <w:sz w:val="32"/>
          <w:szCs w:val="28"/>
          <w:highlight w:val="none"/>
        </w:rPr>
      </w:pPr>
      <w:r>
        <w:rPr>
          <w:rFonts w:hint="eastAsia" w:eastAsia="仿宋_GB2312"/>
          <w:sz w:val="32"/>
          <w:szCs w:val="28"/>
          <w:highlight w:val="none"/>
        </w:rPr>
        <w:t>申请人应描述产品的工作原理、结构及组成、主要功能及其组成部件的功能、产品图示，以及区别于其他同类产品的特征等内容。含有多个组成部分的，应说明其连接或组装关系。</w:t>
      </w:r>
    </w:p>
    <w:p w14:paraId="37342BF1">
      <w:pPr>
        <w:spacing w:line="580" w:lineRule="exact"/>
        <w:ind w:firstLine="640" w:firstLineChars="200"/>
        <w:rPr>
          <w:rFonts w:eastAsia="仿宋_GB2312"/>
          <w:sz w:val="32"/>
          <w:szCs w:val="28"/>
          <w:highlight w:val="none"/>
        </w:rPr>
      </w:pPr>
      <w:bookmarkStart w:id="2" w:name="_Toc6163"/>
      <w:r>
        <w:rPr>
          <w:rFonts w:hint="eastAsia" w:eastAsia="仿宋_GB2312"/>
          <w:sz w:val="32"/>
          <w:szCs w:val="28"/>
          <w:highlight w:val="none"/>
        </w:rPr>
        <w:t>2.</w:t>
      </w:r>
      <w:r>
        <w:rPr>
          <w:rFonts w:eastAsia="仿宋_GB2312"/>
          <w:sz w:val="32"/>
          <w:szCs w:val="28"/>
          <w:highlight w:val="none"/>
        </w:rPr>
        <w:t>1工作原理</w:t>
      </w:r>
    </w:p>
    <w:p w14:paraId="0598CB82">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申请人需结合临床应用，描述产品工作原理和技术类型，可以从控温介质（水、空气、电阻丝或碳纤维加热线等）、加热/制冷方式、热交换过程等重要方面进行描述，包括不限于加热/制冷原理（例如：压缩机制冷、半导体制冷/制热、电加热等）、温度控制和监测原理等。</w:t>
      </w:r>
    </w:p>
    <w:p w14:paraId="2C84E3E2">
      <w:pPr>
        <w:spacing w:line="580" w:lineRule="exact"/>
        <w:ind w:firstLine="640" w:firstLineChars="200"/>
        <w:rPr>
          <w:rFonts w:eastAsia="仿宋_GB2312"/>
          <w:sz w:val="32"/>
          <w:szCs w:val="28"/>
          <w:highlight w:val="none"/>
        </w:rPr>
      </w:pPr>
      <w:r>
        <w:rPr>
          <w:rFonts w:hint="eastAsia" w:eastAsia="仿宋_GB2312"/>
          <w:sz w:val="32"/>
          <w:szCs w:val="28"/>
          <w:highlight w:val="none"/>
        </w:rPr>
        <w:t>2.2结构组成及功能</w:t>
      </w:r>
    </w:p>
    <w:p w14:paraId="2354B4BF">
      <w:pPr>
        <w:spacing w:line="580" w:lineRule="exact"/>
        <w:ind w:firstLine="640" w:firstLineChars="200"/>
        <w:rPr>
          <w:rFonts w:eastAsia="仿宋_GB2312"/>
          <w:sz w:val="32"/>
          <w:szCs w:val="28"/>
          <w:highlight w:val="none"/>
        </w:rPr>
      </w:pPr>
      <w:r>
        <w:rPr>
          <w:rFonts w:hint="eastAsia" w:eastAsia="仿宋_GB2312"/>
          <w:sz w:val="32"/>
          <w:szCs w:val="28"/>
          <w:highlight w:val="none"/>
        </w:rPr>
        <w:t>2.2.1产品整体描述</w:t>
      </w:r>
    </w:p>
    <w:p w14:paraId="42D2D47C">
      <w:pPr>
        <w:adjustRightInd w:val="0"/>
        <w:snapToGrid w:val="0"/>
        <w:spacing w:line="520" w:lineRule="exact"/>
        <w:ind w:firstLine="640" w:firstLineChars="200"/>
        <w:rPr>
          <w:rFonts w:eastAsia="仿宋_GB2312"/>
          <w:color w:val="000000" w:themeColor="text1"/>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控温仪一般由温度控制系统（加热/制冷系统）、流体循环系统（若有）、监测模块、热交换附件、软件组件等组成。申请人需提供并结合产品系统框图，对产品整体结构和产品主要功能（升温、降温、兼具升温和降温）进行描述。</w:t>
      </w:r>
    </w:p>
    <w:p w14:paraId="45781324">
      <w:pPr>
        <w:spacing w:line="580" w:lineRule="exact"/>
        <w:ind w:firstLine="640" w:firstLineChars="200"/>
        <w:rPr>
          <w:rFonts w:eastAsia="仿宋_GB2312"/>
          <w:sz w:val="32"/>
          <w:szCs w:val="28"/>
          <w:highlight w:val="none"/>
        </w:rPr>
      </w:pPr>
      <w:r>
        <w:rPr>
          <w:rFonts w:hint="eastAsia" w:eastAsia="仿宋_GB2312"/>
          <w:sz w:val="32"/>
          <w:szCs w:val="28"/>
          <w:highlight w:val="none"/>
        </w:rPr>
        <w:t>2.2.2产品部件描述</w:t>
      </w:r>
    </w:p>
    <w:p w14:paraId="07C1A557">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申请人可以结合产品系统框图，逐项描述产品部件的关键信息，包括部件的型号规格、主要参数、部件之间的相互关系、部件可实现的功能及功能原理等。</w:t>
      </w:r>
    </w:p>
    <w:p w14:paraId="60CDF350">
      <w:pPr>
        <w:spacing w:line="580" w:lineRule="exact"/>
        <w:ind w:firstLine="640" w:firstLineChars="200"/>
        <w:rPr>
          <w:rFonts w:eastAsia="仿宋_GB2312"/>
          <w:sz w:val="32"/>
          <w:szCs w:val="28"/>
          <w:highlight w:val="none"/>
        </w:rPr>
      </w:pPr>
      <w:r>
        <w:rPr>
          <w:rFonts w:hint="eastAsia" w:eastAsia="仿宋_GB2312"/>
          <w:sz w:val="32"/>
          <w:szCs w:val="28"/>
          <w:highlight w:val="none"/>
        </w:rPr>
        <w:t>2.2.2.1</w:t>
      </w:r>
      <w:r>
        <w:rPr>
          <w:rFonts w:hint="eastAsia" w:eastAsia="仿宋_GB2312"/>
          <w:color w:val="000000" w:themeColor="text1"/>
          <w:sz w:val="32"/>
          <w:szCs w:val="32"/>
          <w:highlight w:val="none"/>
          <w14:textFill>
            <w14:solidFill>
              <w14:schemeClr w14:val="tx1"/>
            </w14:solidFill>
          </w14:textFill>
        </w:rPr>
        <w:t>温度控制系统</w:t>
      </w:r>
    </w:p>
    <w:p w14:paraId="7FE0B56A">
      <w:pPr>
        <w:spacing w:line="580" w:lineRule="exact"/>
        <w:ind w:firstLine="640" w:firstLineChars="200"/>
        <w:rPr>
          <w:rFonts w:eastAsia="仿宋_GB2312"/>
          <w:sz w:val="32"/>
          <w:szCs w:val="28"/>
          <w:highlight w:val="none"/>
        </w:rPr>
      </w:pPr>
      <w:r>
        <w:rPr>
          <w:rFonts w:hint="eastAsia" w:eastAsia="仿宋_GB2312"/>
          <w:color w:val="000000" w:themeColor="text1"/>
          <w:sz w:val="32"/>
          <w:szCs w:val="32"/>
          <w:highlight w:val="none"/>
          <w14:textFill>
            <w14:solidFill>
              <w14:schemeClr w14:val="tx1"/>
            </w14:solidFill>
          </w14:textFill>
        </w:rPr>
        <w:t>温度控制系统一般由中央处理器/控制器、制冷/制热单元组成</w:t>
      </w:r>
      <w:r>
        <w:rPr>
          <w:rFonts w:hint="eastAsia" w:eastAsia="仿宋_GB2312"/>
          <w:sz w:val="32"/>
          <w:szCs w:val="28"/>
          <w:highlight w:val="none"/>
        </w:rPr>
        <w:t>，具有调节温度等控制功能。申请人需描述制冷/制热元件的型号规格和关键参数等信息，说明中央处理器/控制器控制调节温度的原理（调节制冷/制热功率等）。</w:t>
      </w:r>
    </w:p>
    <w:p w14:paraId="08729155">
      <w:pPr>
        <w:spacing w:line="58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sz w:val="32"/>
          <w:szCs w:val="28"/>
          <w:highlight w:val="none"/>
        </w:rPr>
        <w:t>2.2.2.2</w:t>
      </w:r>
      <w:r>
        <w:rPr>
          <w:rFonts w:hint="eastAsia" w:eastAsia="仿宋_GB2312"/>
          <w:color w:val="000000" w:themeColor="text1"/>
          <w:sz w:val="32"/>
          <w:szCs w:val="32"/>
          <w:highlight w:val="none"/>
          <w14:textFill>
            <w14:solidFill>
              <w14:schemeClr w14:val="tx1"/>
            </w14:solidFill>
          </w14:textFill>
        </w:rPr>
        <w:t>流体循环系统</w:t>
      </w:r>
    </w:p>
    <w:p w14:paraId="3C66C60D">
      <w:pPr>
        <w:spacing w:line="58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流体循环系统一般由水箱（若有）、驱动泵、风机（若有）、管路系统组成。申请人应描述流体循环路径，说明水箱材质和容量，描述驱动泵、风机的</w:t>
      </w:r>
      <w:r>
        <w:rPr>
          <w:rFonts w:hint="eastAsia" w:eastAsia="仿宋_GB2312"/>
          <w:sz w:val="32"/>
          <w:szCs w:val="32"/>
          <w:highlight w:val="none"/>
        </w:rPr>
        <w:t>型号规格</w:t>
      </w:r>
      <w:r>
        <w:rPr>
          <w:rFonts w:hint="eastAsia" w:eastAsia="仿宋_GB2312"/>
          <w:color w:val="000000" w:themeColor="text1"/>
          <w:sz w:val="32"/>
          <w:szCs w:val="32"/>
          <w:highlight w:val="none"/>
          <w14:textFill>
            <w14:solidFill>
              <w14:schemeClr w14:val="tx1"/>
            </w14:solidFill>
          </w14:textFill>
        </w:rPr>
        <w:t>和关键参数，明确流体管路的材质和尺寸等信息。</w:t>
      </w:r>
    </w:p>
    <w:p w14:paraId="3ABC6A75">
      <w:pPr>
        <w:spacing w:line="580" w:lineRule="exact"/>
        <w:ind w:firstLine="640" w:firstLineChars="200"/>
        <w:rPr>
          <w:rFonts w:eastAsia="仿宋_GB2312"/>
          <w:sz w:val="32"/>
          <w:szCs w:val="28"/>
          <w:highlight w:val="none"/>
        </w:rPr>
      </w:pPr>
      <w:r>
        <w:rPr>
          <w:rFonts w:hint="eastAsia" w:eastAsia="仿宋_GB2312"/>
          <w:sz w:val="32"/>
          <w:szCs w:val="28"/>
          <w:highlight w:val="none"/>
        </w:rPr>
        <w:t>2.2.2.3监测模块</w:t>
      </w:r>
    </w:p>
    <w:p w14:paraId="05E260F4">
      <w:pPr>
        <w:spacing w:line="580" w:lineRule="exact"/>
        <w:ind w:firstLine="640" w:firstLineChars="200"/>
        <w:rPr>
          <w:rFonts w:hint="eastAsia" w:eastAsia="仿宋_GB2312"/>
          <w:sz w:val="32"/>
          <w:szCs w:val="28"/>
          <w:highlight w:val="none"/>
          <w:lang w:eastAsia="zh-CN"/>
        </w:rPr>
      </w:pPr>
      <w:r>
        <w:rPr>
          <w:rFonts w:hint="eastAsia" w:eastAsia="仿宋_GB2312"/>
          <w:sz w:val="32"/>
          <w:szCs w:val="28"/>
          <w:highlight w:val="none"/>
        </w:rPr>
        <w:t>监测模块一般由温度传感器、液位传感器（若有）、压力传感器（若有）等组成，可以监测产品运行状态、患者体温（适用时）。申请人需描述传感器型号规格、数量、安装和测量位置、工作原理等。</w:t>
      </w:r>
      <w:r>
        <w:rPr>
          <w:rFonts w:hint="eastAsia" w:eastAsia="仿宋_GB2312"/>
          <w:sz w:val="32"/>
          <w:szCs w:val="28"/>
          <w:highlight w:val="none"/>
          <w:lang w:eastAsia="zh-CN"/>
        </w:rPr>
        <w:t>若具有体温反馈控制功能，应阐述产品反馈控制原理，包括产品的反馈</w:t>
      </w:r>
      <w:r>
        <w:rPr>
          <w:rFonts w:hint="eastAsia" w:eastAsia="仿宋_GB2312"/>
          <w:sz w:val="32"/>
          <w:szCs w:val="28"/>
          <w:highlight w:val="none"/>
        </w:rPr>
        <w:t>控温</w:t>
      </w:r>
      <w:r>
        <w:rPr>
          <w:rFonts w:eastAsia="仿宋_GB2312"/>
          <w:sz w:val="32"/>
          <w:szCs w:val="28"/>
          <w:highlight w:val="none"/>
        </w:rPr>
        <w:t>机制</w:t>
      </w:r>
      <w:r>
        <w:rPr>
          <w:rFonts w:hint="eastAsia" w:eastAsia="仿宋_GB2312"/>
          <w:sz w:val="32"/>
          <w:szCs w:val="28"/>
          <w:highlight w:val="none"/>
          <w:lang w:eastAsia="zh-CN"/>
        </w:rPr>
        <w:t>、</w:t>
      </w:r>
      <w:r>
        <w:rPr>
          <w:rFonts w:eastAsia="仿宋_GB2312"/>
          <w:sz w:val="32"/>
          <w:szCs w:val="28"/>
          <w:highlight w:val="none"/>
        </w:rPr>
        <w:t>快速响应机制</w:t>
      </w:r>
      <w:r>
        <w:rPr>
          <w:rFonts w:hint="eastAsia" w:eastAsia="仿宋_GB2312"/>
          <w:sz w:val="32"/>
          <w:szCs w:val="28"/>
          <w:highlight w:val="none"/>
          <w:lang w:eastAsia="zh-CN"/>
        </w:rPr>
        <w:t>等内容。</w:t>
      </w:r>
    </w:p>
    <w:p w14:paraId="40CF23F3">
      <w:pPr>
        <w:spacing w:line="58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sz w:val="32"/>
          <w:szCs w:val="28"/>
          <w:highlight w:val="none"/>
        </w:rPr>
        <w:t>2.2.2.4</w:t>
      </w:r>
      <w:r>
        <w:rPr>
          <w:rFonts w:hint="eastAsia" w:eastAsia="仿宋_GB2312"/>
          <w:color w:val="000000" w:themeColor="text1"/>
          <w:sz w:val="32"/>
          <w:szCs w:val="32"/>
          <w:highlight w:val="none"/>
          <w14:textFill>
            <w14:solidFill>
              <w14:schemeClr w14:val="tx1"/>
            </w14:solidFill>
          </w14:textFill>
        </w:rPr>
        <w:t>热交换附件</w:t>
      </w:r>
    </w:p>
    <w:p w14:paraId="11938BB1">
      <w:pPr>
        <w:spacing w:line="58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常见的热交换附件有毯、垫、帽等。控温仪通过热交换附件与患者皮肤的接触，来调节和维持患者体温。申请人需提供热交换附件的图示，并依据图示描述其材质、尺寸等信息。</w:t>
      </w:r>
    </w:p>
    <w:p w14:paraId="4C925604">
      <w:pPr>
        <w:spacing w:line="580" w:lineRule="exact"/>
        <w:ind w:firstLine="640" w:firstLineChars="200"/>
        <w:rPr>
          <w:rFonts w:eastAsia="仿宋_GB2312"/>
          <w:sz w:val="32"/>
          <w:szCs w:val="28"/>
          <w:highlight w:val="none"/>
        </w:rPr>
      </w:pPr>
      <w:r>
        <w:rPr>
          <w:rFonts w:hint="eastAsia" w:eastAsia="仿宋_GB2312"/>
          <w:sz w:val="32"/>
          <w:szCs w:val="28"/>
          <w:highlight w:val="none"/>
        </w:rPr>
        <w:t>2.2.2.5软件组件</w:t>
      </w:r>
    </w:p>
    <w:p w14:paraId="0ED9286B">
      <w:pPr>
        <w:spacing w:line="58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sz w:val="32"/>
          <w:szCs w:val="28"/>
          <w:highlight w:val="none"/>
        </w:rPr>
        <w:t>申请人可以结合用户界面，描述软件组件的信息，列表说明重要的软件功能。</w:t>
      </w:r>
    </w:p>
    <w:p w14:paraId="60541A8E">
      <w:pPr>
        <w:spacing w:line="520" w:lineRule="exact"/>
        <w:ind w:firstLine="640" w:firstLineChars="200"/>
        <w:rPr>
          <w:rFonts w:eastAsia="仿宋_GB2312"/>
          <w:sz w:val="32"/>
          <w:szCs w:val="28"/>
          <w:highlight w:val="none"/>
        </w:rPr>
      </w:pPr>
      <w:r>
        <w:rPr>
          <w:rFonts w:hint="eastAsia" w:eastAsia="仿宋_GB2312"/>
          <w:sz w:val="32"/>
          <w:szCs w:val="28"/>
          <w:highlight w:val="none"/>
        </w:rPr>
        <w:t>2.3型号规格</w:t>
      </w:r>
    </w:p>
    <w:p w14:paraId="6BBC6073">
      <w:pPr>
        <w:spacing w:line="520" w:lineRule="exact"/>
        <w:ind w:firstLine="640" w:firstLineChars="200"/>
        <w:rPr>
          <w:rFonts w:eastAsia="仿宋_GB2312"/>
          <w:sz w:val="32"/>
          <w:szCs w:val="28"/>
          <w:highlight w:val="none"/>
        </w:rPr>
      </w:pPr>
      <w:r>
        <w:rPr>
          <w:rFonts w:hint="eastAsia" w:eastAsia="仿宋_GB2312"/>
          <w:sz w:val="32"/>
          <w:szCs w:val="28"/>
          <w:highlight w:val="none"/>
        </w:rPr>
        <w:t>对于存在多种型号规格的产品，应当明确各型号规格的区别。应当采用对比表或带有说明性文字的图片、图表，描述各种型号规格的结构组成（或配置）、功能、产品特征和运行模式、技术参数等内容。</w:t>
      </w:r>
    </w:p>
    <w:p w14:paraId="60A36AE2">
      <w:pPr>
        <w:spacing w:line="520" w:lineRule="exact"/>
        <w:ind w:firstLine="640" w:firstLineChars="200"/>
        <w:rPr>
          <w:rFonts w:eastAsia="仿宋_GB2312"/>
          <w:sz w:val="32"/>
          <w:szCs w:val="28"/>
          <w:highlight w:val="none"/>
        </w:rPr>
      </w:pPr>
      <w:r>
        <w:rPr>
          <w:rFonts w:hint="eastAsia" w:eastAsia="仿宋_GB2312"/>
          <w:sz w:val="32"/>
          <w:szCs w:val="28"/>
          <w:highlight w:val="none"/>
        </w:rPr>
        <w:t>2.4包装说明</w:t>
      </w:r>
    </w:p>
    <w:p w14:paraId="29D19EF2">
      <w:pPr>
        <w:spacing w:line="520" w:lineRule="exact"/>
        <w:ind w:firstLine="640" w:firstLineChars="200"/>
        <w:rPr>
          <w:rFonts w:eastAsia="仿宋_GB2312"/>
          <w:sz w:val="32"/>
          <w:szCs w:val="28"/>
          <w:highlight w:val="none"/>
        </w:rPr>
      </w:pPr>
      <w:r>
        <w:rPr>
          <w:rFonts w:hint="eastAsia" w:eastAsia="仿宋_GB2312"/>
          <w:sz w:val="32"/>
          <w:szCs w:val="28"/>
          <w:highlight w:val="none"/>
        </w:rPr>
        <w:t>应说明产品的包装信息，如包装材料、用途等，如有多层包装应分别描述，并提供各层包装的图示。说明如何确保最终使用者可清晰地辨识包装的完整性。</w:t>
      </w:r>
    </w:p>
    <w:p w14:paraId="57A1870E">
      <w:pPr>
        <w:spacing w:line="520" w:lineRule="exact"/>
        <w:ind w:firstLine="640" w:firstLineChars="200"/>
        <w:rPr>
          <w:rFonts w:eastAsia="仿宋_GB2312"/>
          <w:sz w:val="32"/>
          <w:szCs w:val="28"/>
          <w:highlight w:val="none"/>
        </w:rPr>
      </w:pPr>
      <w:r>
        <w:rPr>
          <w:rFonts w:hint="eastAsia" w:eastAsia="仿宋_GB2312"/>
          <w:sz w:val="32"/>
          <w:szCs w:val="28"/>
          <w:highlight w:val="none"/>
        </w:rPr>
        <w:t>2.5研发历程、与同类和/或前代产品的参考和比较</w:t>
      </w:r>
    </w:p>
    <w:p w14:paraId="6ECE479C">
      <w:pPr>
        <w:spacing w:line="560" w:lineRule="exact"/>
        <w:ind w:firstLine="640" w:firstLineChars="200"/>
        <w:rPr>
          <w:rFonts w:eastAsia="仿宋_GB2312"/>
          <w:sz w:val="32"/>
          <w:szCs w:val="28"/>
          <w:highlight w:val="none"/>
        </w:rPr>
      </w:pPr>
      <w:r>
        <w:rPr>
          <w:rFonts w:eastAsia="仿宋_GB2312"/>
          <w:bCs/>
          <w:sz w:val="32"/>
          <w:szCs w:val="32"/>
          <w:highlight w:val="none"/>
        </w:rPr>
        <w:t>阐述申请注册产品的研发背景和目的。</w:t>
      </w:r>
      <w:r>
        <w:rPr>
          <w:rFonts w:hint="eastAsia" w:eastAsia="仿宋_GB2312"/>
          <w:sz w:val="32"/>
          <w:szCs w:val="28"/>
          <w:highlight w:val="none"/>
        </w:rPr>
        <w:t>若申报产品有同类产品和/或前代产品，申请人应说明相关的背景情况，提供同类产品和/或前代产品的上市情况说明。列表比较申报产品与同类产品和/或前代产品在工作原理、</w:t>
      </w:r>
      <w:r>
        <w:rPr>
          <w:rFonts w:eastAsia="仿宋_GB2312"/>
          <w:bCs/>
          <w:sz w:val="32"/>
          <w:szCs w:val="32"/>
          <w:highlight w:val="none"/>
        </w:rPr>
        <w:t>结构组成、制造材料、性能指标、作用方式以及适用范围等方面的异同</w:t>
      </w:r>
      <w:r>
        <w:rPr>
          <w:rFonts w:hint="eastAsia" w:eastAsia="仿宋_GB2312"/>
          <w:bCs/>
          <w:sz w:val="32"/>
          <w:szCs w:val="32"/>
          <w:highlight w:val="none"/>
        </w:rPr>
        <w:t>，并重点说明申报产品的新功能、新应用、新特征。</w:t>
      </w:r>
    </w:p>
    <w:p w14:paraId="1984E1CE">
      <w:pPr>
        <w:spacing w:line="520" w:lineRule="exact"/>
        <w:ind w:firstLine="640" w:firstLineChars="200"/>
        <w:outlineLvl w:val="2"/>
        <w:rPr>
          <w:rFonts w:eastAsia="仿宋_GB2312"/>
          <w:sz w:val="32"/>
          <w:szCs w:val="28"/>
          <w:highlight w:val="none"/>
        </w:rPr>
      </w:pPr>
      <w:r>
        <w:rPr>
          <w:rFonts w:hint="eastAsia" w:eastAsia="仿宋_GB2312"/>
          <w:sz w:val="32"/>
          <w:szCs w:val="28"/>
          <w:highlight w:val="none"/>
        </w:rPr>
        <w:t>3.适用范围和禁忌证</w:t>
      </w:r>
      <w:bookmarkEnd w:id="2"/>
    </w:p>
    <w:p w14:paraId="20FE98A9">
      <w:pPr>
        <w:spacing w:line="520" w:lineRule="exact"/>
        <w:ind w:firstLine="640" w:firstLineChars="200"/>
        <w:rPr>
          <w:rFonts w:eastAsia="仿宋_GB2312"/>
          <w:sz w:val="32"/>
          <w:szCs w:val="28"/>
          <w:highlight w:val="none"/>
        </w:rPr>
      </w:pPr>
      <w:r>
        <w:rPr>
          <w:rFonts w:hint="eastAsia" w:eastAsia="仿宋_GB2312"/>
          <w:sz w:val="32"/>
          <w:szCs w:val="28"/>
          <w:highlight w:val="none"/>
        </w:rPr>
        <w:t>应提供申报产品的适用范围、预期使用环境、适用人群、禁忌证，并与说明书等资料中信息保持一致。</w:t>
      </w:r>
    </w:p>
    <w:p w14:paraId="2E062823">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医用控温仪</w:t>
      </w:r>
      <w:r>
        <w:rPr>
          <w:rFonts w:eastAsia="仿宋_GB2312"/>
          <w:color w:val="000000" w:themeColor="text1"/>
          <w:sz w:val="32"/>
          <w:szCs w:val="32"/>
          <w:highlight w:val="none"/>
          <w14:textFill>
            <w14:solidFill>
              <w14:schemeClr w14:val="tx1"/>
            </w14:solidFill>
          </w14:textFill>
        </w:rPr>
        <w:t>（冷热型）适用范围一般为</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适用于医疗机构高热患者物理降温和低温患者物理升温以及需要保持体温的患者。</w:t>
      </w:r>
    </w:p>
    <w:p w14:paraId="2F894C0B">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医用降温</w:t>
      </w:r>
      <w:r>
        <w:rPr>
          <w:rFonts w:hint="eastAsia" w:eastAsia="仿宋_GB2312"/>
          <w:color w:val="000000" w:themeColor="text1"/>
          <w:sz w:val="32"/>
          <w:szCs w:val="32"/>
          <w:highlight w:val="none"/>
          <w14:textFill>
            <w14:solidFill>
              <w14:schemeClr w14:val="tx1"/>
            </w14:solidFill>
          </w14:textFill>
        </w:rPr>
        <w:t>仪</w:t>
      </w:r>
      <w:r>
        <w:rPr>
          <w:rFonts w:eastAsia="仿宋_GB2312"/>
          <w:color w:val="000000" w:themeColor="text1"/>
          <w:sz w:val="32"/>
          <w:szCs w:val="32"/>
          <w:highlight w:val="none"/>
          <w14:textFill>
            <w14:solidFill>
              <w14:schemeClr w14:val="tx1"/>
            </w14:solidFill>
          </w14:textFill>
        </w:rPr>
        <w:t>（单冷型）适用范围一般为</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适用于医疗机构高热患者物理降温以及需要保持体温的患者。</w:t>
      </w:r>
    </w:p>
    <w:p w14:paraId="2A2B14A6">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医用升温</w:t>
      </w:r>
      <w:r>
        <w:rPr>
          <w:rFonts w:hint="eastAsia" w:eastAsia="仿宋_GB2312"/>
          <w:color w:val="000000" w:themeColor="text1"/>
          <w:sz w:val="32"/>
          <w:szCs w:val="32"/>
          <w:highlight w:val="none"/>
          <w14:textFill>
            <w14:solidFill>
              <w14:schemeClr w14:val="tx1"/>
            </w14:solidFill>
          </w14:textFill>
        </w:rPr>
        <w:t>仪</w:t>
      </w:r>
      <w:r>
        <w:rPr>
          <w:rFonts w:eastAsia="仿宋_GB2312"/>
          <w:color w:val="000000" w:themeColor="text1"/>
          <w:sz w:val="32"/>
          <w:szCs w:val="32"/>
          <w:highlight w:val="none"/>
          <w14:textFill>
            <w14:solidFill>
              <w14:schemeClr w14:val="tx1"/>
            </w14:solidFill>
          </w14:textFill>
        </w:rPr>
        <w:t>（单热型）适用范围一般为</w:t>
      </w:r>
      <w:r>
        <w:rPr>
          <w:rFonts w:hint="eastAsia" w:eastAsia="仿宋_GB2312"/>
          <w:color w:val="000000" w:themeColor="text1"/>
          <w:sz w:val="32"/>
          <w:szCs w:val="32"/>
          <w:highlight w:val="none"/>
          <w14:textFill>
            <w14:solidFill>
              <w14:schemeClr w14:val="tx1"/>
            </w14:solidFill>
          </w14:textFill>
        </w:rPr>
        <w:t>：</w:t>
      </w:r>
      <w:r>
        <w:rPr>
          <w:rFonts w:eastAsia="仿宋_GB2312"/>
          <w:color w:val="000000" w:themeColor="text1"/>
          <w:sz w:val="32"/>
          <w:szCs w:val="32"/>
          <w:highlight w:val="none"/>
          <w14:textFill>
            <w14:solidFill>
              <w14:schemeClr w14:val="tx1"/>
            </w14:solidFill>
          </w14:textFill>
        </w:rPr>
        <w:t>适用于医疗机构低温患者物理升温以及需要保持体温的患者。</w:t>
      </w:r>
    </w:p>
    <w:p w14:paraId="7E91268D">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eastAsia="仿宋_GB2312"/>
          <w:color w:val="000000" w:themeColor="text1"/>
          <w:sz w:val="32"/>
          <w:szCs w:val="32"/>
          <w:highlight w:val="none"/>
          <w14:textFill>
            <w14:solidFill>
              <w14:schemeClr w14:val="tx1"/>
            </w14:solidFill>
          </w14:textFill>
        </w:rPr>
        <w:t>禁忌</w:t>
      </w:r>
      <w:r>
        <w:rPr>
          <w:rFonts w:hint="eastAsia" w:eastAsia="仿宋_GB2312"/>
          <w:color w:val="000000" w:themeColor="text1"/>
          <w:sz w:val="32"/>
          <w:szCs w:val="32"/>
          <w:highlight w:val="none"/>
          <w14:textFill>
            <w14:solidFill>
              <w14:schemeClr w14:val="tx1"/>
            </w14:solidFill>
          </w14:textFill>
        </w:rPr>
        <w:t>证</w:t>
      </w:r>
      <w:r>
        <w:rPr>
          <w:rFonts w:eastAsia="仿宋_GB2312"/>
          <w:color w:val="000000" w:themeColor="text1"/>
          <w:sz w:val="32"/>
          <w:szCs w:val="32"/>
          <w:highlight w:val="none"/>
          <w14:textFill>
            <w14:solidFill>
              <w14:schemeClr w14:val="tx1"/>
            </w14:solidFill>
          </w14:textFill>
        </w:rPr>
        <w:t>：暂未发现。</w:t>
      </w:r>
    </w:p>
    <w:p w14:paraId="4F4C9C82">
      <w:pPr>
        <w:spacing w:line="520" w:lineRule="exact"/>
        <w:ind w:firstLine="640" w:firstLineChars="200"/>
        <w:outlineLvl w:val="2"/>
        <w:rPr>
          <w:rFonts w:eastAsia="仿宋_GB2312"/>
          <w:sz w:val="32"/>
          <w:szCs w:val="28"/>
          <w:highlight w:val="none"/>
        </w:rPr>
      </w:pPr>
      <w:bookmarkStart w:id="3" w:name="_Toc1588"/>
      <w:r>
        <w:rPr>
          <w:rFonts w:hint="eastAsia" w:eastAsia="仿宋_GB2312"/>
          <w:sz w:val="32"/>
          <w:szCs w:val="28"/>
          <w:highlight w:val="none"/>
        </w:rPr>
        <w:t>4.申报产品上市历史</w:t>
      </w:r>
      <w:bookmarkEnd w:id="3"/>
    </w:p>
    <w:p w14:paraId="75DBD1CA">
      <w:pPr>
        <w:spacing w:line="520" w:lineRule="exact"/>
        <w:ind w:firstLine="640" w:firstLineChars="200"/>
        <w:rPr>
          <w:rFonts w:eastAsia="仿宋_GB2312"/>
          <w:sz w:val="32"/>
          <w:szCs w:val="32"/>
          <w:highlight w:val="none"/>
        </w:rPr>
      </w:pPr>
      <w:r>
        <w:rPr>
          <w:rFonts w:hint="eastAsia" w:eastAsia="仿宋_GB2312"/>
          <w:sz w:val="32"/>
          <w:szCs w:val="32"/>
          <w:highlight w:val="none"/>
        </w:rPr>
        <w:t>如适用，应提供申报产品在各国家或地区的上市批准时间、销售情况。</w:t>
      </w:r>
    </w:p>
    <w:p w14:paraId="272CA003">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sz w:val="32"/>
          <w:szCs w:val="32"/>
          <w:highlight w:val="none"/>
        </w:rPr>
        <w:t>如适用，应提供申报产品上市后不良事件及召回情况，如不良事件及召回情况描述、原因分析、处理和解决方案、对安全有效性影响的分析评价等。</w:t>
      </w:r>
    </w:p>
    <w:p w14:paraId="38B8B712">
      <w:pPr>
        <w:widowControl/>
        <w:spacing w:line="520" w:lineRule="exact"/>
        <w:ind w:firstLine="640" w:firstLineChars="200"/>
        <w:outlineLvl w:val="0"/>
        <w:rPr>
          <w:rFonts w:eastAsia="楷体_GB2312"/>
          <w:color w:val="000000" w:themeColor="text1"/>
          <w:sz w:val="32"/>
          <w:szCs w:val="32"/>
          <w:highlight w:val="none"/>
          <w14:textFill>
            <w14:solidFill>
              <w14:schemeClr w14:val="tx1"/>
            </w14:solidFill>
          </w14:textFill>
        </w:rPr>
      </w:pPr>
      <w:r>
        <w:rPr>
          <w:rFonts w:eastAsia="楷体_GB2312"/>
          <w:color w:val="000000" w:themeColor="text1"/>
          <w:sz w:val="32"/>
          <w:szCs w:val="32"/>
          <w:highlight w:val="none"/>
          <w14:textFill>
            <w14:solidFill>
              <w14:schemeClr w14:val="tx1"/>
            </w14:solidFill>
          </w14:textFill>
        </w:rPr>
        <w:t>（三）非临床资料</w:t>
      </w:r>
    </w:p>
    <w:p w14:paraId="2D1ED1E8">
      <w:pPr>
        <w:spacing w:line="520" w:lineRule="exact"/>
        <w:ind w:firstLine="640" w:firstLineChars="200"/>
        <w:outlineLvl w:val="2"/>
        <w:rPr>
          <w:rFonts w:eastAsia="仿宋_GB2312"/>
          <w:sz w:val="32"/>
          <w:szCs w:val="32"/>
          <w:highlight w:val="none"/>
        </w:rPr>
      </w:pPr>
      <w:r>
        <w:rPr>
          <w:rFonts w:hint="eastAsia" w:eastAsia="仿宋_GB2312"/>
          <w:sz w:val="32"/>
          <w:szCs w:val="32"/>
          <w:highlight w:val="none"/>
        </w:rPr>
        <w:t>1.产品风险管理资料</w:t>
      </w:r>
    </w:p>
    <w:p w14:paraId="088F5F05">
      <w:pPr>
        <w:spacing w:line="520" w:lineRule="exact"/>
        <w:ind w:firstLine="640" w:firstLineChars="200"/>
        <w:rPr>
          <w:rFonts w:eastAsia="仿宋_GB2312"/>
          <w:sz w:val="32"/>
          <w:szCs w:val="28"/>
          <w:highlight w:val="none"/>
        </w:rPr>
      </w:pPr>
      <w:r>
        <w:rPr>
          <w:rFonts w:hint="eastAsia" w:eastAsia="仿宋_GB2312"/>
          <w:sz w:val="32"/>
          <w:szCs w:val="28"/>
          <w:highlight w:val="none"/>
        </w:rPr>
        <w:t>申请人可参考GB/T 42062及YY/T 1437标准对产品进行全生命周期风险管理，提交风险管理资料。</w:t>
      </w:r>
    </w:p>
    <w:p w14:paraId="563F70F2">
      <w:pPr>
        <w:tabs>
          <w:tab w:val="left" w:pos="8040"/>
        </w:tabs>
        <w:spacing w:line="520" w:lineRule="exact"/>
        <w:ind w:firstLine="640" w:firstLineChars="200"/>
        <w:rPr>
          <w:rFonts w:eastAsia="仿宋_GB2312"/>
          <w:sz w:val="32"/>
          <w:szCs w:val="28"/>
          <w:highlight w:val="none"/>
        </w:rPr>
      </w:pPr>
      <w:r>
        <w:rPr>
          <w:rFonts w:hint="eastAsia" w:eastAsia="仿宋_GB2312"/>
          <w:sz w:val="32"/>
          <w:szCs w:val="28"/>
          <w:highlight w:val="none"/>
        </w:rPr>
        <w:t>建议参考GB/T 42062标准及规范性文件，结合产品自身设计特点、临床用途及使用场景，充分识别与安全有关的特征，进行风险分析、评价及控制。风险控制的方案与实施、综合剩余风险的评价可参考GB/T 42062标准第7、第8章的相关要求。应确保各风险的可追溯性，提供各风险及综合剩余风险的可接受准则，确认各风险及综合剩余风险可接受。</w:t>
      </w:r>
    </w:p>
    <w:p w14:paraId="63AC0921">
      <w:pPr>
        <w:spacing w:line="520" w:lineRule="exact"/>
        <w:ind w:firstLine="640" w:firstLineChars="200"/>
        <w:jc w:val="left"/>
        <w:rPr>
          <w:rFonts w:hint="eastAsia" w:ascii="微软雅黑" w:hAnsi="微软雅黑" w:eastAsia="微软雅黑" w:cs="微软雅黑"/>
          <w:sz w:val="32"/>
          <w:szCs w:val="28"/>
          <w:highlight w:val="none"/>
        </w:rPr>
      </w:pPr>
      <w:r>
        <w:rPr>
          <w:rFonts w:hint="eastAsia" w:eastAsia="仿宋_GB2312"/>
          <w:sz w:val="32"/>
          <w:szCs w:val="28"/>
          <w:highlight w:val="none"/>
        </w:rPr>
        <w:t>控温仪风险要素及示例见附件1。</w:t>
      </w:r>
    </w:p>
    <w:p w14:paraId="2870D1B4">
      <w:pPr>
        <w:spacing w:line="520" w:lineRule="exact"/>
        <w:ind w:firstLine="640" w:firstLineChars="200"/>
        <w:outlineLvl w:val="2"/>
        <w:rPr>
          <w:rFonts w:eastAsia="仿宋_GB2312"/>
          <w:sz w:val="32"/>
          <w:szCs w:val="28"/>
          <w:highlight w:val="none"/>
        </w:rPr>
      </w:pPr>
      <w:bookmarkStart w:id="4" w:name="_Toc15646"/>
      <w:bookmarkStart w:id="5" w:name="_Toc13405"/>
      <w:bookmarkStart w:id="6" w:name="_Toc12980"/>
      <w:bookmarkStart w:id="7" w:name="_Toc25867"/>
      <w:r>
        <w:rPr>
          <w:rFonts w:hint="eastAsia" w:eastAsia="仿宋_GB2312"/>
          <w:sz w:val="32"/>
          <w:szCs w:val="28"/>
          <w:highlight w:val="none"/>
        </w:rPr>
        <w:t>2.医疗器械安全和性能基本原则清单</w:t>
      </w:r>
      <w:bookmarkEnd w:id="4"/>
      <w:bookmarkEnd w:id="5"/>
      <w:bookmarkEnd w:id="6"/>
    </w:p>
    <w:bookmarkEnd w:id="7"/>
    <w:p w14:paraId="7E4926F8">
      <w:pPr>
        <w:spacing w:line="520" w:lineRule="exact"/>
        <w:ind w:firstLine="640" w:firstLineChars="200"/>
        <w:jc w:val="left"/>
        <w:rPr>
          <w:rFonts w:hint="eastAsia" w:eastAsia="仿宋_GB2312"/>
          <w:sz w:val="32"/>
          <w:szCs w:val="28"/>
          <w:highlight w:val="none"/>
        </w:rPr>
      </w:pPr>
      <w:r>
        <w:rPr>
          <w:rFonts w:hint="eastAsia" w:eastAsia="仿宋_GB2312"/>
          <w:sz w:val="32"/>
          <w:szCs w:val="28"/>
          <w:highlight w:val="none"/>
        </w:rPr>
        <w:t>注册申请人可参考《医疗器械安全和性能基本原则符合性技术指南》编写该清单。对于《医疗器械安全和性能基本原则清单》中不适用的各项要求，说明理由。</w:t>
      </w:r>
    </w:p>
    <w:p w14:paraId="716B8FFF">
      <w:pPr>
        <w:spacing w:line="520" w:lineRule="exact"/>
        <w:ind w:firstLine="640" w:firstLineChars="200"/>
        <w:outlineLvl w:val="2"/>
        <w:rPr>
          <w:rFonts w:eastAsia="仿宋_GB2312"/>
          <w:sz w:val="32"/>
          <w:szCs w:val="32"/>
          <w:highlight w:val="none"/>
        </w:rPr>
      </w:pPr>
      <w:r>
        <w:rPr>
          <w:rFonts w:hint="eastAsia" w:eastAsia="仿宋_GB2312"/>
          <w:sz w:val="32"/>
          <w:szCs w:val="32"/>
          <w:highlight w:val="none"/>
        </w:rPr>
        <w:t>3.产品技术要求及检验报告</w:t>
      </w:r>
    </w:p>
    <w:p w14:paraId="62150CF6">
      <w:pPr>
        <w:spacing w:line="520" w:lineRule="exact"/>
        <w:ind w:firstLine="640" w:firstLineChars="200"/>
        <w:rPr>
          <w:rFonts w:eastAsia="仿宋_GB2312"/>
          <w:sz w:val="32"/>
          <w:szCs w:val="28"/>
          <w:highlight w:val="none"/>
        </w:rPr>
      </w:pPr>
      <w:r>
        <w:rPr>
          <w:rFonts w:hint="eastAsia" w:eastAsia="仿宋_GB2312"/>
          <w:sz w:val="32"/>
          <w:szCs w:val="28"/>
          <w:highlight w:val="none"/>
        </w:rPr>
        <w:t>3.1申报产品适用标准情况</w:t>
      </w:r>
    </w:p>
    <w:p w14:paraId="2FACD5DE">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申请人需列表说明申报产品应符合的国家标准和行业标准，可以参考下表示例。</w:t>
      </w:r>
    </w:p>
    <w:p w14:paraId="1C8C2936">
      <w:pPr>
        <w:spacing w:line="520" w:lineRule="exact"/>
        <w:jc w:val="center"/>
        <w:rPr>
          <w:rStyle w:val="25"/>
          <w:rFonts w:ascii="仿宋_GB2312" w:hAnsi="仿宋" w:eastAsia="仿宋_GB2312"/>
          <w:b/>
          <w:bCs/>
          <w:sz w:val="32"/>
          <w:szCs w:val="32"/>
          <w:highlight w:val="none"/>
        </w:rPr>
      </w:pPr>
      <w:r>
        <w:rPr>
          <w:rFonts w:hint="eastAsia" w:ascii="仿宋_GB2312" w:hAnsi="仿宋" w:eastAsia="仿宋_GB2312"/>
          <w:b/>
          <w:bCs/>
          <w:sz w:val="28"/>
          <w:szCs w:val="28"/>
          <w:highlight w:val="none"/>
        </w:rPr>
        <w:t>表2控温仪相关适用标准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4"/>
        <w:gridCol w:w="5785"/>
      </w:tblGrid>
      <w:tr w14:paraId="03AE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2654" w:type="dxa"/>
            <w:vAlign w:val="center"/>
          </w:tcPr>
          <w:p w14:paraId="0C6F127B">
            <w:pPr>
              <w:spacing w:line="400" w:lineRule="exact"/>
              <w:rPr>
                <w:rStyle w:val="25"/>
                <w:rFonts w:ascii="仿宋_GB2312" w:hAnsi="仿宋_GB2312" w:eastAsia="仿宋_GB2312" w:cs="仿宋_GB2312"/>
                <w:sz w:val="28"/>
                <w:szCs w:val="28"/>
                <w:highlight w:val="none"/>
              </w:rPr>
            </w:pPr>
            <w:r>
              <w:rPr>
                <w:rStyle w:val="25"/>
                <w:rFonts w:hint="eastAsia" w:ascii="仿宋_GB2312" w:hAnsi="仿宋_GB2312" w:eastAsia="仿宋_GB2312" w:cs="仿宋_GB2312"/>
                <w:sz w:val="28"/>
                <w:szCs w:val="28"/>
                <w:highlight w:val="none"/>
              </w:rPr>
              <w:t>标准号</w:t>
            </w:r>
          </w:p>
        </w:tc>
        <w:tc>
          <w:tcPr>
            <w:tcW w:w="5785" w:type="dxa"/>
            <w:vAlign w:val="center"/>
          </w:tcPr>
          <w:p w14:paraId="0DB65BFB">
            <w:pPr>
              <w:spacing w:line="400" w:lineRule="exact"/>
              <w:rPr>
                <w:rStyle w:val="25"/>
                <w:rFonts w:ascii="仿宋_GB2312" w:hAnsi="仿宋_GB2312" w:eastAsia="仿宋_GB2312" w:cs="仿宋_GB2312"/>
                <w:sz w:val="28"/>
                <w:szCs w:val="28"/>
                <w:highlight w:val="none"/>
              </w:rPr>
            </w:pPr>
            <w:r>
              <w:rPr>
                <w:rStyle w:val="25"/>
                <w:rFonts w:hint="eastAsia" w:ascii="仿宋_GB2312" w:hAnsi="仿宋_GB2312" w:eastAsia="仿宋_GB2312" w:cs="仿宋_GB2312"/>
                <w:sz w:val="28"/>
                <w:szCs w:val="28"/>
                <w:highlight w:val="none"/>
              </w:rPr>
              <w:t>标准名称</w:t>
            </w:r>
          </w:p>
        </w:tc>
      </w:tr>
      <w:tr w14:paraId="3E405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654" w:type="dxa"/>
            <w:vAlign w:val="center"/>
          </w:tcPr>
          <w:p w14:paraId="2413EAEA">
            <w:pPr>
              <w:spacing w:line="400" w:lineRule="exact"/>
              <w:rPr>
                <w:rStyle w:val="25"/>
                <w:rFonts w:ascii="仿宋_GB2312" w:hAnsi="仿宋_GB2312" w:eastAsia="仿宋_GB2312" w:cs="仿宋_GB2312"/>
                <w:sz w:val="28"/>
                <w:szCs w:val="28"/>
                <w:highlight w:val="none"/>
              </w:rPr>
            </w:pPr>
            <w:r>
              <w:rPr>
                <w:rStyle w:val="25"/>
                <w:rFonts w:hint="eastAsia" w:ascii="仿宋_GB2312" w:hAnsi="仿宋_GB2312" w:eastAsia="仿宋_GB2312" w:cs="仿宋_GB2312"/>
                <w:sz w:val="28"/>
                <w:szCs w:val="28"/>
                <w:highlight w:val="none"/>
              </w:rPr>
              <w:t>YY/T 0952</w:t>
            </w:r>
          </w:p>
        </w:tc>
        <w:tc>
          <w:tcPr>
            <w:tcW w:w="5785" w:type="dxa"/>
            <w:vAlign w:val="center"/>
          </w:tcPr>
          <w:p w14:paraId="59739E42">
            <w:pPr>
              <w:tabs>
                <w:tab w:val="left" w:pos="2628"/>
              </w:tabs>
              <w:spacing w:line="400" w:lineRule="exact"/>
              <w:rPr>
                <w:rStyle w:val="25"/>
                <w:rFonts w:ascii="仿宋_GB2312" w:hAnsi="仿宋_GB2312" w:eastAsia="仿宋_GB2312" w:cs="仿宋_GB2312"/>
                <w:sz w:val="28"/>
                <w:szCs w:val="28"/>
                <w:highlight w:val="none"/>
              </w:rPr>
            </w:pPr>
            <w:r>
              <w:rPr>
                <w:rStyle w:val="25"/>
                <w:rFonts w:hint="eastAsia" w:ascii="仿宋_GB2312" w:hAnsi="仿宋_GB2312" w:eastAsia="仿宋_GB2312" w:cs="仿宋_GB2312"/>
                <w:sz w:val="28"/>
                <w:szCs w:val="28"/>
                <w:highlight w:val="none"/>
              </w:rPr>
              <w:t>医用控温仪</w:t>
            </w:r>
          </w:p>
        </w:tc>
      </w:tr>
      <w:tr w14:paraId="02D2D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654" w:type="dxa"/>
            <w:shd w:val="clear" w:color="auto" w:fill="auto"/>
            <w:vAlign w:val="center"/>
          </w:tcPr>
          <w:p w14:paraId="0C1BF28D">
            <w:pPr>
              <w:spacing w:line="400" w:lineRule="exact"/>
              <w:rPr>
                <w:rFonts w:ascii="仿宋_GB2312" w:hAnsi="仿宋_GB2312" w:eastAsia="仿宋_GB2312" w:cs="仿宋_GB2312"/>
                <w:sz w:val="28"/>
                <w:szCs w:val="28"/>
                <w:highlight w:val="none"/>
              </w:rPr>
            </w:pPr>
            <w:r>
              <w:rPr>
                <w:rStyle w:val="25"/>
                <w:rFonts w:hint="eastAsia" w:ascii="仿宋_GB2312" w:hAnsi="仿宋_GB2312" w:eastAsia="仿宋_GB2312" w:cs="仿宋_GB2312"/>
                <w:sz w:val="28"/>
                <w:szCs w:val="28"/>
                <w:highlight w:val="none"/>
              </w:rPr>
              <w:t>GB 9706.1</w:t>
            </w:r>
          </w:p>
        </w:tc>
        <w:tc>
          <w:tcPr>
            <w:tcW w:w="5785" w:type="dxa"/>
            <w:shd w:val="clear" w:color="auto" w:fill="auto"/>
            <w:vAlign w:val="center"/>
          </w:tcPr>
          <w:p w14:paraId="7D1D1C9C">
            <w:pPr>
              <w:tabs>
                <w:tab w:val="left" w:pos="2628"/>
              </w:tabs>
              <w:spacing w:line="400" w:lineRule="exact"/>
              <w:rPr>
                <w:rFonts w:ascii="仿宋_GB2312" w:hAnsi="仿宋_GB2312" w:eastAsia="仿宋_GB2312" w:cs="仿宋_GB2312"/>
                <w:sz w:val="28"/>
                <w:szCs w:val="28"/>
                <w:highlight w:val="none"/>
              </w:rPr>
            </w:pPr>
            <w:r>
              <w:rPr>
                <w:rStyle w:val="25"/>
                <w:rFonts w:hint="eastAsia" w:ascii="仿宋_GB2312" w:hAnsi="仿宋_GB2312" w:eastAsia="仿宋_GB2312" w:cs="仿宋_GB2312"/>
                <w:sz w:val="28"/>
                <w:szCs w:val="28"/>
                <w:highlight w:val="none"/>
              </w:rPr>
              <w:t>医用电气设备 第1部分：基本安全和基本性能的通用要求</w:t>
            </w:r>
          </w:p>
        </w:tc>
      </w:tr>
      <w:tr w14:paraId="01340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 w:hRule="atLeast"/>
          <w:jc w:val="center"/>
        </w:trPr>
        <w:tc>
          <w:tcPr>
            <w:tcW w:w="2654" w:type="dxa"/>
            <w:vAlign w:val="center"/>
          </w:tcPr>
          <w:p w14:paraId="45F6D175">
            <w:pPr>
              <w:spacing w:line="400" w:lineRule="exact"/>
              <w:rPr>
                <w:rStyle w:val="25"/>
                <w:rFonts w:ascii="仿宋_GB2312" w:hAnsi="仿宋_GB2312" w:eastAsia="仿宋_GB2312" w:cs="仿宋_GB2312"/>
                <w:sz w:val="28"/>
                <w:szCs w:val="28"/>
                <w:highlight w:val="none"/>
              </w:rPr>
            </w:pPr>
            <w:r>
              <w:rPr>
                <w:rStyle w:val="25"/>
                <w:rFonts w:hint="eastAsia" w:ascii="仿宋_GB2312" w:hAnsi="仿宋_GB2312" w:eastAsia="仿宋_GB2312" w:cs="仿宋_GB2312"/>
                <w:sz w:val="28"/>
                <w:szCs w:val="28"/>
                <w:highlight w:val="none"/>
              </w:rPr>
              <w:t>YY 9706.235</w:t>
            </w:r>
          </w:p>
        </w:tc>
        <w:tc>
          <w:tcPr>
            <w:tcW w:w="5785" w:type="dxa"/>
            <w:vAlign w:val="center"/>
          </w:tcPr>
          <w:p w14:paraId="2260D3F6">
            <w:pPr>
              <w:tabs>
                <w:tab w:val="left" w:pos="2628"/>
              </w:tabs>
              <w:spacing w:line="400" w:lineRule="exact"/>
              <w:rPr>
                <w:rStyle w:val="25"/>
                <w:rFonts w:ascii="仿宋_GB2312" w:hAnsi="仿宋_GB2312" w:eastAsia="仿宋_GB2312" w:cs="仿宋_GB2312"/>
                <w:sz w:val="28"/>
                <w:szCs w:val="28"/>
                <w:highlight w:val="none"/>
              </w:rPr>
            </w:pPr>
            <w:r>
              <w:rPr>
                <w:rStyle w:val="25"/>
                <w:rFonts w:ascii="仿宋_GB2312" w:hAnsi="仿宋_GB2312" w:eastAsia="仿宋_GB2312" w:cs="仿宋_GB2312"/>
                <w:sz w:val="28"/>
                <w:szCs w:val="28"/>
                <w:highlight w:val="none"/>
              </w:rPr>
              <w:t>医用电气设备</w:t>
            </w:r>
            <w:r>
              <w:rPr>
                <w:rStyle w:val="25"/>
                <w:rFonts w:hint="eastAsia" w:ascii="仿宋_GB2312" w:hAnsi="仿宋_GB2312" w:eastAsia="仿宋_GB2312" w:cs="仿宋_GB2312"/>
                <w:sz w:val="28"/>
                <w:szCs w:val="28"/>
                <w:highlight w:val="none"/>
              </w:rPr>
              <w:t xml:space="preserve"> </w:t>
            </w:r>
            <w:r>
              <w:rPr>
                <w:rStyle w:val="25"/>
                <w:rFonts w:ascii="仿宋_GB2312" w:hAnsi="仿宋_GB2312" w:eastAsia="仿宋_GB2312" w:cs="仿宋_GB2312"/>
                <w:sz w:val="28"/>
                <w:szCs w:val="28"/>
                <w:highlight w:val="none"/>
              </w:rPr>
              <w:t>第2-35部分：医用毯、垫或床垫式加热设备的基本</w:t>
            </w:r>
            <w:r>
              <w:rPr>
                <w:rStyle w:val="25"/>
                <w:rFonts w:hint="eastAsia" w:ascii="仿宋_GB2312" w:hAnsi="仿宋_GB2312" w:eastAsia="仿宋_GB2312" w:cs="仿宋_GB2312"/>
                <w:sz w:val="28"/>
                <w:szCs w:val="28"/>
                <w:highlight w:val="none"/>
              </w:rPr>
              <w:t>安全和基本性能的专用要求</w:t>
            </w:r>
          </w:p>
        </w:tc>
      </w:tr>
      <w:tr w14:paraId="6461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2" w:hRule="atLeast"/>
          <w:jc w:val="center"/>
        </w:trPr>
        <w:tc>
          <w:tcPr>
            <w:tcW w:w="2654" w:type="dxa"/>
            <w:vAlign w:val="center"/>
          </w:tcPr>
          <w:p w14:paraId="4B4F3EE1">
            <w:pPr>
              <w:spacing w:line="400" w:lineRule="exact"/>
              <w:rPr>
                <w:rStyle w:val="25"/>
                <w:rFonts w:ascii="仿宋_GB2312" w:hAnsi="仿宋_GB2312" w:eastAsia="仿宋_GB2312" w:cs="仿宋_GB2312"/>
                <w:sz w:val="28"/>
                <w:szCs w:val="28"/>
                <w:highlight w:val="none"/>
              </w:rPr>
            </w:pPr>
            <w:r>
              <w:rPr>
                <w:rStyle w:val="25"/>
                <w:rFonts w:hint="eastAsia" w:ascii="仿宋_GB2312" w:hAnsi="仿宋_GB2312" w:eastAsia="仿宋_GB2312" w:cs="仿宋_GB2312"/>
                <w:sz w:val="28"/>
                <w:szCs w:val="28"/>
                <w:highlight w:val="none"/>
              </w:rPr>
              <w:t>YY 9706.102</w:t>
            </w:r>
          </w:p>
        </w:tc>
        <w:tc>
          <w:tcPr>
            <w:tcW w:w="5785" w:type="dxa"/>
            <w:vAlign w:val="center"/>
          </w:tcPr>
          <w:p w14:paraId="7C81AB6F">
            <w:pPr>
              <w:tabs>
                <w:tab w:val="left" w:pos="2628"/>
              </w:tabs>
              <w:spacing w:line="400" w:lineRule="exact"/>
              <w:rPr>
                <w:rStyle w:val="25"/>
                <w:rFonts w:ascii="仿宋_GB2312" w:hAnsi="仿宋_GB2312" w:eastAsia="仿宋_GB2312" w:cs="仿宋_GB2312"/>
                <w:sz w:val="28"/>
                <w:szCs w:val="28"/>
                <w:highlight w:val="none"/>
              </w:rPr>
            </w:pPr>
            <w:r>
              <w:rPr>
                <w:rStyle w:val="25"/>
                <w:rFonts w:hint="eastAsia" w:ascii="仿宋_GB2312" w:hAnsi="仿宋_GB2312" w:eastAsia="仿宋_GB2312" w:cs="仿宋_GB2312"/>
                <w:sz w:val="28"/>
                <w:szCs w:val="28"/>
                <w:highlight w:val="none"/>
              </w:rPr>
              <w:t>医用电气设备 第1-2部分：基本安全和基本性能的通用要求 并列标准：电磁兼容 要求和试验</w:t>
            </w:r>
          </w:p>
        </w:tc>
      </w:tr>
      <w:tr w14:paraId="114E6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2654" w:type="dxa"/>
            <w:vAlign w:val="center"/>
          </w:tcPr>
          <w:p w14:paraId="236F8B60">
            <w:pPr>
              <w:spacing w:line="400" w:lineRule="exact"/>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YY 9706.108（若适用）</w:t>
            </w:r>
          </w:p>
        </w:tc>
        <w:tc>
          <w:tcPr>
            <w:tcW w:w="5785" w:type="dxa"/>
            <w:vAlign w:val="center"/>
          </w:tcPr>
          <w:p w14:paraId="7A13D218">
            <w:pPr>
              <w:tabs>
                <w:tab w:val="left" w:pos="2628"/>
              </w:tabs>
              <w:spacing w:line="400" w:lineRule="exact"/>
              <w:rPr>
                <w:rFonts w:ascii="仿宋_GB2312" w:hAnsi="仿宋_GB2312" w:eastAsia="仿宋_GB2312" w:cs="仿宋_GB2312"/>
                <w:sz w:val="28"/>
                <w:szCs w:val="28"/>
                <w:highlight w:val="none"/>
              </w:rPr>
            </w:pPr>
            <w:r>
              <w:rPr>
                <w:rStyle w:val="25"/>
                <w:rFonts w:hint="eastAsia" w:ascii="仿宋_GB2312" w:hAnsi="仿宋_GB2312" w:eastAsia="仿宋_GB2312" w:cs="仿宋_GB2312"/>
                <w:sz w:val="28"/>
                <w:szCs w:val="28"/>
                <w:highlight w:val="none"/>
              </w:rPr>
              <w:t>医用电气设备 第1-8部分：基本安全和基本性能的通用要求 并列标准：通用要求,医用电气设备和医用电气系统中报警系统的测试和指南</w:t>
            </w:r>
          </w:p>
        </w:tc>
      </w:tr>
      <w:tr w14:paraId="0BC5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2654" w:type="dxa"/>
            <w:vAlign w:val="center"/>
          </w:tcPr>
          <w:p w14:paraId="6E4F3893">
            <w:pPr>
              <w:spacing w:line="400" w:lineRule="exac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YY/T 9706.110（若适用）</w:t>
            </w:r>
          </w:p>
        </w:tc>
        <w:tc>
          <w:tcPr>
            <w:tcW w:w="5785" w:type="dxa"/>
            <w:vAlign w:val="center"/>
          </w:tcPr>
          <w:p w14:paraId="767404F9">
            <w:pPr>
              <w:tabs>
                <w:tab w:val="left" w:pos="2628"/>
              </w:tabs>
              <w:spacing w:line="400" w:lineRule="exact"/>
              <w:rPr>
                <w:rStyle w:val="25"/>
                <w:rFonts w:hint="eastAsia" w:ascii="仿宋_GB2312" w:hAnsi="仿宋_GB2312" w:eastAsia="仿宋_GB2312" w:cs="仿宋_GB2312"/>
                <w:sz w:val="28"/>
                <w:szCs w:val="28"/>
                <w:highlight w:val="none"/>
              </w:rPr>
            </w:pPr>
            <w:r>
              <w:rPr>
                <w:rStyle w:val="25"/>
                <w:rFonts w:hint="eastAsia" w:ascii="仿宋_GB2312" w:hAnsi="仿宋_GB2312" w:eastAsia="仿宋_GB2312" w:cs="仿宋_GB2312"/>
                <w:sz w:val="28"/>
                <w:szCs w:val="28"/>
                <w:highlight w:val="none"/>
              </w:rPr>
              <w:t>医用电气设备 第1-10部分：基本安全和基本性能的通用要求 并列标准：生理闭环控制器开发要求</w:t>
            </w:r>
          </w:p>
        </w:tc>
      </w:tr>
    </w:tbl>
    <w:p w14:paraId="60A8B3B8">
      <w:pPr>
        <w:spacing w:line="520" w:lineRule="exact"/>
        <w:ind w:left="178" w:leftChars="85" w:firstLine="496" w:firstLineChars="155"/>
        <w:jc w:val="left"/>
        <w:rPr>
          <w:rFonts w:eastAsia="仿宋_GB2312"/>
          <w:color w:val="000000" w:themeColor="text1"/>
          <w:sz w:val="32"/>
          <w:szCs w:val="32"/>
          <w:highlight w:val="none"/>
          <w14:textFill>
            <w14:solidFill>
              <w14:schemeClr w14:val="tx1"/>
            </w14:solidFill>
          </w14:textFill>
        </w:rPr>
      </w:pPr>
      <w:r>
        <w:rPr>
          <w:rFonts w:hint="eastAsia" w:eastAsia="仿宋_GB2312"/>
          <w:sz w:val="32"/>
          <w:szCs w:val="32"/>
          <w:highlight w:val="none"/>
        </w:rPr>
        <w:t>上述标准均宜执行适用的国家标准、行业标准的现行有效版本。</w:t>
      </w:r>
    </w:p>
    <w:p w14:paraId="750B621C">
      <w:pPr>
        <w:spacing w:line="520" w:lineRule="exact"/>
        <w:ind w:firstLine="640" w:firstLineChars="200"/>
        <w:rPr>
          <w:rFonts w:eastAsia="仿宋_GB2312"/>
          <w:sz w:val="32"/>
          <w:szCs w:val="28"/>
          <w:highlight w:val="none"/>
        </w:rPr>
      </w:pPr>
      <w:r>
        <w:rPr>
          <w:rFonts w:hint="eastAsia" w:eastAsia="仿宋_GB2312"/>
          <w:sz w:val="32"/>
          <w:szCs w:val="28"/>
          <w:highlight w:val="none"/>
        </w:rPr>
        <w:t>3.2产品技术要求</w:t>
      </w:r>
    </w:p>
    <w:p w14:paraId="40AF35D9">
      <w:pPr>
        <w:spacing w:line="520" w:lineRule="exact"/>
        <w:ind w:firstLine="640" w:firstLineChars="200"/>
        <w:jc w:val="left"/>
        <w:rPr>
          <w:rFonts w:eastAsia="仿宋_GB2312"/>
          <w:color w:val="000000"/>
          <w:sz w:val="32"/>
          <w:szCs w:val="32"/>
          <w:highlight w:val="none"/>
        </w:rPr>
      </w:pPr>
      <w:r>
        <w:rPr>
          <w:rFonts w:hint="eastAsia" w:eastAsia="仿宋_GB2312"/>
          <w:sz w:val="32"/>
          <w:szCs w:val="32"/>
          <w:highlight w:val="none"/>
        </w:rPr>
        <w:t>产品技术要求需按照《医疗器械产品技术要求编写指导原则》进行编写，同时结合产品适用的标准和产品本身的技术特点，明确产品的各项性能指标和检验方法</w:t>
      </w:r>
      <w:r>
        <w:rPr>
          <w:rFonts w:eastAsia="仿宋_GB2312"/>
          <w:color w:val="000000" w:themeColor="text1"/>
          <w:sz w:val="32"/>
          <w:szCs w:val="32"/>
          <w:highlight w:val="none"/>
          <w14:textFill>
            <w14:solidFill>
              <w14:schemeClr w14:val="tx1"/>
            </w14:solidFill>
          </w14:textFill>
        </w:rPr>
        <w:t>。</w:t>
      </w:r>
      <w:r>
        <w:rPr>
          <w:rFonts w:hint="eastAsia" w:eastAsia="仿宋_GB2312"/>
          <w:sz w:val="32"/>
          <w:szCs w:val="32"/>
          <w:highlight w:val="none"/>
        </w:rPr>
        <w:t>本指导原则列出了控温仪可能涉及的主要性能指标，主要性能指标包括但不限于以下内容：</w:t>
      </w:r>
    </w:p>
    <w:p w14:paraId="145933FD">
      <w:pPr>
        <w:spacing w:line="540" w:lineRule="exact"/>
        <w:ind w:firstLine="640" w:firstLineChars="200"/>
        <w:rPr>
          <w:rFonts w:eastAsia="仿宋_GB2312"/>
          <w:sz w:val="32"/>
          <w:szCs w:val="28"/>
          <w:highlight w:val="none"/>
        </w:rPr>
      </w:pPr>
      <w:r>
        <w:rPr>
          <w:rFonts w:hint="eastAsia" w:eastAsia="仿宋_GB2312"/>
          <w:sz w:val="32"/>
          <w:szCs w:val="28"/>
          <w:highlight w:val="none"/>
        </w:rPr>
        <w:t>3.2.1</w:t>
      </w:r>
      <w:r>
        <w:rPr>
          <w:rFonts w:eastAsia="仿宋_GB2312"/>
          <w:sz w:val="32"/>
          <w:szCs w:val="28"/>
          <w:highlight w:val="none"/>
        </w:rPr>
        <w:t>升温</w:t>
      </w:r>
      <w:r>
        <w:rPr>
          <w:rFonts w:hint="eastAsia" w:eastAsia="仿宋_GB2312"/>
          <w:sz w:val="32"/>
          <w:szCs w:val="28"/>
          <w:highlight w:val="none"/>
        </w:rPr>
        <w:t>速率</w:t>
      </w:r>
    </w:p>
    <w:p w14:paraId="6F6AFA86">
      <w:pPr>
        <w:spacing w:line="520" w:lineRule="exact"/>
        <w:ind w:firstLine="640" w:firstLineChars="200"/>
        <w:jc w:val="left"/>
        <w:rPr>
          <w:rFonts w:eastAsia="仿宋_GB2312"/>
          <w:color w:val="000000"/>
          <w:sz w:val="32"/>
          <w:szCs w:val="32"/>
          <w:highlight w:val="none"/>
        </w:rPr>
      </w:pPr>
      <w:r>
        <w:rPr>
          <w:rFonts w:hint="eastAsia" w:eastAsia="仿宋_GB2312"/>
          <w:color w:val="000000"/>
          <w:sz w:val="32"/>
          <w:szCs w:val="32"/>
          <w:highlight w:val="none"/>
        </w:rPr>
        <w:t>对于非充气设备，应符合YY/T 0952中5.1.2的要求。</w:t>
      </w:r>
    </w:p>
    <w:p w14:paraId="7567A7FE">
      <w:pPr>
        <w:spacing w:line="540" w:lineRule="exact"/>
        <w:ind w:firstLine="640" w:firstLineChars="200"/>
        <w:rPr>
          <w:rFonts w:eastAsia="仿宋_GB2312"/>
          <w:sz w:val="32"/>
          <w:szCs w:val="28"/>
          <w:highlight w:val="none"/>
        </w:rPr>
      </w:pPr>
      <w:r>
        <w:rPr>
          <w:rFonts w:hint="eastAsia" w:eastAsia="仿宋_GB2312"/>
          <w:sz w:val="32"/>
          <w:szCs w:val="28"/>
          <w:highlight w:val="none"/>
        </w:rPr>
        <w:t>3.2.</w:t>
      </w:r>
      <w:r>
        <w:rPr>
          <w:rFonts w:eastAsia="仿宋_GB2312"/>
          <w:sz w:val="32"/>
          <w:szCs w:val="28"/>
          <w:highlight w:val="none"/>
        </w:rPr>
        <w:t>2降温性能</w:t>
      </w:r>
    </w:p>
    <w:p w14:paraId="753AC4DC">
      <w:pPr>
        <w:spacing w:line="540" w:lineRule="exact"/>
        <w:ind w:firstLine="640" w:firstLineChars="200"/>
        <w:rPr>
          <w:rFonts w:eastAsia="仿宋_GB2312"/>
          <w:sz w:val="32"/>
          <w:szCs w:val="28"/>
          <w:highlight w:val="none"/>
        </w:rPr>
      </w:pPr>
      <w:r>
        <w:rPr>
          <w:rFonts w:hint="eastAsia" w:eastAsia="仿宋_GB2312"/>
          <w:sz w:val="32"/>
          <w:szCs w:val="28"/>
          <w:highlight w:val="none"/>
        </w:rPr>
        <w:t>3.2</w:t>
      </w:r>
      <w:r>
        <w:rPr>
          <w:rFonts w:eastAsia="仿宋_GB2312"/>
          <w:sz w:val="32"/>
          <w:szCs w:val="28"/>
          <w:highlight w:val="none"/>
        </w:rPr>
        <w:t>.2.1温度</w:t>
      </w:r>
      <w:r>
        <w:rPr>
          <w:rFonts w:hint="eastAsia" w:eastAsia="仿宋_GB2312"/>
          <w:sz w:val="32"/>
          <w:szCs w:val="28"/>
          <w:highlight w:val="none"/>
        </w:rPr>
        <w:t>设定范围及允差</w:t>
      </w:r>
    </w:p>
    <w:p w14:paraId="2A6B5541">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应规定控温仪的温度设定范围和允差，并在随附文件中声明。对于使用液体循环介质的控温仪，应符合YY/T 0952中5.2.1的要求；对于其它热交换/传导介质的控温仪，其设定范围和允差应符合制造商的规定。</w:t>
      </w:r>
    </w:p>
    <w:p w14:paraId="14F09BB3">
      <w:pPr>
        <w:spacing w:line="540" w:lineRule="exact"/>
        <w:ind w:firstLine="640" w:firstLineChars="200"/>
        <w:rPr>
          <w:rFonts w:eastAsia="仿宋_GB2312"/>
          <w:sz w:val="32"/>
          <w:szCs w:val="28"/>
          <w:highlight w:val="none"/>
        </w:rPr>
      </w:pPr>
      <w:r>
        <w:rPr>
          <w:rFonts w:hint="eastAsia" w:eastAsia="仿宋_GB2312"/>
          <w:sz w:val="32"/>
          <w:szCs w:val="28"/>
          <w:highlight w:val="none"/>
        </w:rPr>
        <w:t>3.2</w:t>
      </w:r>
      <w:r>
        <w:rPr>
          <w:rFonts w:eastAsia="仿宋_GB2312"/>
          <w:sz w:val="32"/>
          <w:szCs w:val="28"/>
          <w:highlight w:val="none"/>
        </w:rPr>
        <w:t>.2.2降温速率</w:t>
      </w:r>
      <w:r>
        <w:rPr>
          <w:rFonts w:hint="eastAsia" w:eastAsia="仿宋_GB2312"/>
          <w:sz w:val="32"/>
          <w:szCs w:val="28"/>
          <w:highlight w:val="none"/>
        </w:rPr>
        <w:t>（若适用）</w:t>
      </w:r>
    </w:p>
    <w:p w14:paraId="6DD5D760">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应符合YY/T 0952中5.2.2的要求。</w:t>
      </w:r>
    </w:p>
    <w:p w14:paraId="27B80B90">
      <w:pPr>
        <w:spacing w:line="540" w:lineRule="exact"/>
        <w:ind w:firstLine="640" w:firstLineChars="200"/>
        <w:rPr>
          <w:rFonts w:eastAsia="仿宋_GB2312"/>
          <w:sz w:val="32"/>
          <w:szCs w:val="28"/>
          <w:highlight w:val="none"/>
        </w:rPr>
      </w:pPr>
      <w:r>
        <w:rPr>
          <w:rFonts w:hint="eastAsia" w:eastAsia="仿宋_GB2312"/>
          <w:sz w:val="32"/>
          <w:szCs w:val="28"/>
          <w:highlight w:val="none"/>
        </w:rPr>
        <w:t>3.2</w:t>
      </w:r>
      <w:r>
        <w:rPr>
          <w:rFonts w:eastAsia="仿宋_GB2312"/>
          <w:sz w:val="32"/>
          <w:szCs w:val="28"/>
          <w:highlight w:val="none"/>
        </w:rPr>
        <w:t>.3具有体温传感器的控温仪</w:t>
      </w:r>
    </w:p>
    <w:p w14:paraId="41220079">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应符合YY/T 0952中5.3的要求</w:t>
      </w:r>
    </w:p>
    <w:p w14:paraId="78496855">
      <w:pPr>
        <w:spacing w:line="540" w:lineRule="exact"/>
        <w:ind w:firstLine="640" w:firstLineChars="200"/>
        <w:rPr>
          <w:rFonts w:eastAsia="仿宋_GB2312"/>
          <w:sz w:val="32"/>
          <w:szCs w:val="28"/>
          <w:highlight w:val="none"/>
        </w:rPr>
      </w:pPr>
      <w:r>
        <w:rPr>
          <w:rFonts w:hint="eastAsia" w:eastAsia="仿宋_GB2312"/>
          <w:sz w:val="32"/>
          <w:szCs w:val="28"/>
          <w:highlight w:val="none"/>
        </w:rPr>
        <w:t>3.2</w:t>
      </w:r>
      <w:r>
        <w:rPr>
          <w:rFonts w:eastAsia="仿宋_GB2312"/>
          <w:sz w:val="32"/>
          <w:szCs w:val="28"/>
          <w:highlight w:val="none"/>
        </w:rPr>
        <w:t>.4患者热交换部分</w:t>
      </w:r>
    </w:p>
    <w:p w14:paraId="1161D333">
      <w:pPr>
        <w:spacing w:line="540" w:lineRule="exact"/>
        <w:ind w:firstLine="640" w:firstLineChars="200"/>
        <w:rPr>
          <w:rFonts w:eastAsia="仿宋_GB2312"/>
          <w:sz w:val="32"/>
          <w:szCs w:val="28"/>
          <w:highlight w:val="none"/>
        </w:rPr>
      </w:pPr>
      <w:r>
        <w:rPr>
          <w:rFonts w:hint="eastAsia" w:eastAsia="仿宋_GB2312"/>
          <w:sz w:val="32"/>
          <w:szCs w:val="28"/>
          <w:highlight w:val="none"/>
        </w:rPr>
        <w:t>3.2</w:t>
      </w:r>
      <w:r>
        <w:rPr>
          <w:rFonts w:eastAsia="仿宋_GB2312"/>
          <w:sz w:val="32"/>
          <w:szCs w:val="28"/>
          <w:highlight w:val="none"/>
        </w:rPr>
        <w:t>.4.1患者热交换部分尺寸</w:t>
      </w:r>
    </w:p>
    <w:p w14:paraId="5C76C687">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应符合YY/T 0952中5.4.1的要求。</w:t>
      </w:r>
    </w:p>
    <w:p w14:paraId="54786460">
      <w:pPr>
        <w:spacing w:line="540" w:lineRule="exact"/>
        <w:ind w:firstLine="640" w:firstLineChars="200"/>
        <w:rPr>
          <w:rFonts w:eastAsia="仿宋_GB2312"/>
          <w:sz w:val="32"/>
          <w:szCs w:val="28"/>
          <w:highlight w:val="none"/>
        </w:rPr>
      </w:pPr>
      <w:r>
        <w:rPr>
          <w:rFonts w:hint="eastAsia" w:eastAsia="仿宋_GB2312"/>
          <w:sz w:val="32"/>
          <w:szCs w:val="28"/>
          <w:highlight w:val="none"/>
        </w:rPr>
        <w:t>3.2.4.2承重</w:t>
      </w:r>
    </w:p>
    <w:p w14:paraId="34C628C4">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应符合YY/T 0952中5.4.2的要求</w:t>
      </w:r>
    </w:p>
    <w:p w14:paraId="48DA94C3">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3.2.4.3密封性</w:t>
      </w:r>
    </w:p>
    <w:p w14:paraId="248DA613">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设备连接管路和应用部分的密封应良好，无渗漏现象。</w:t>
      </w:r>
    </w:p>
    <w:p w14:paraId="1D5FF8D0">
      <w:pPr>
        <w:spacing w:line="540" w:lineRule="exact"/>
        <w:ind w:firstLine="640" w:firstLineChars="200"/>
        <w:rPr>
          <w:rFonts w:eastAsia="仿宋_GB2312"/>
          <w:sz w:val="32"/>
          <w:szCs w:val="28"/>
          <w:highlight w:val="none"/>
        </w:rPr>
      </w:pPr>
      <w:r>
        <w:rPr>
          <w:rFonts w:hint="eastAsia" w:eastAsia="仿宋_GB2312"/>
          <w:sz w:val="32"/>
          <w:szCs w:val="28"/>
          <w:highlight w:val="none"/>
        </w:rPr>
        <w:t>3.2</w:t>
      </w:r>
      <w:r>
        <w:rPr>
          <w:rFonts w:eastAsia="仿宋_GB2312"/>
          <w:sz w:val="32"/>
          <w:szCs w:val="28"/>
          <w:highlight w:val="none"/>
        </w:rPr>
        <w:t>.5工作噪声</w:t>
      </w:r>
    </w:p>
    <w:p w14:paraId="48301278">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控温仪正常工作时，在随附文件规定的患者距离控制器最小距离处(但不小于1m)，工作噪声应不大于60dB(A)。</w:t>
      </w:r>
    </w:p>
    <w:p w14:paraId="250CD7C1">
      <w:pPr>
        <w:spacing w:line="540" w:lineRule="exact"/>
        <w:ind w:firstLine="640" w:firstLineChars="200"/>
        <w:rPr>
          <w:rFonts w:eastAsia="仿宋_GB2312"/>
          <w:sz w:val="32"/>
          <w:szCs w:val="28"/>
          <w:highlight w:val="none"/>
        </w:rPr>
      </w:pPr>
      <w:r>
        <w:rPr>
          <w:rFonts w:hint="eastAsia" w:eastAsia="仿宋_GB2312"/>
          <w:sz w:val="32"/>
          <w:szCs w:val="28"/>
          <w:highlight w:val="none"/>
        </w:rPr>
        <w:t>3.2</w:t>
      </w:r>
      <w:r>
        <w:rPr>
          <w:rFonts w:eastAsia="仿宋_GB2312"/>
          <w:sz w:val="32"/>
          <w:szCs w:val="28"/>
          <w:highlight w:val="none"/>
        </w:rPr>
        <w:t>.6</w:t>
      </w:r>
      <w:r>
        <w:rPr>
          <w:rFonts w:hint="eastAsia" w:eastAsia="仿宋_GB2312"/>
          <w:sz w:val="32"/>
          <w:szCs w:val="28"/>
          <w:highlight w:val="none"/>
        </w:rPr>
        <w:t>产品功能</w:t>
      </w:r>
    </w:p>
    <w:p w14:paraId="34B6041C">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设备输出时具有指示功能。</w:t>
      </w:r>
    </w:p>
    <w:p w14:paraId="0C8BF6E8">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当循环液体不足时，设备应停止工作并具有相应的声和/或光提示（若适用）。</w:t>
      </w:r>
    </w:p>
    <w:p w14:paraId="06490A9C">
      <w:pPr>
        <w:spacing w:line="540" w:lineRule="exact"/>
        <w:ind w:firstLine="640" w:firstLineChars="200"/>
        <w:rPr>
          <w:rFonts w:eastAsia="仿宋_GB2312"/>
          <w:sz w:val="32"/>
          <w:szCs w:val="28"/>
          <w:highlight w:val="none"/>
        </w:rPr>
      </w:pPr>
      <w:r>
        <w:rPr>
          <w:rFonts w:hint="eastAsia" w:eastAsia="仿宋_GB2312"/>
          <w:sz w:val="32"/>
          <w:szCs w:val="28"/>
          <w:highlight w:val="none"/>
        </w:rPr>
        <w:t>3.2.7</w:t>
      </w:r>
      <w:r>
        <w:rPr>
          <w:rFonts w:eastAsia="仿宋_GB2312"/>
          <w:sz w:val="32"/>
          <w:szCs w:val="28"/>
          <w:highlight w:val="none"/>
        </w:rPr>
        <w:t>软件</w:t>
      </w:r>
      <w:r>
        <w:rPr>
          <w:rFonts w:hint="eastAsia" w:eastAsia="仿宋_GB2312"/>
          <w:sz w:val="32"/>
          <w:szCs w:val="28"/>
          <w:highlight w:val="none"/>
        </w:rPr>
        <w:t>要求</w:t>
      </w:r>
    </w:p>
    <w:p w14:paraId="5EBB971B">
      <w:pPr>
        <w:spacing w:line="52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应根据产品实际明确软件的功能、使用限制、接口、访问控制、运行环境（若适用）、性能效率（若适用）等要求。</w:t>
      </w:r>
    </w:p>
    <w:p w14:paraId="1F873652">
      <w:pPr>
        <w:spacing w:line="540" w:lineRule="exact"/>
        <w:ind w:firstLine="640" w:firstLineChars="200"/>
        <w:rPr>
          <w:rFonts w:eastAsia="仿宋_GB2312"/>
          <w:sz w:val="32"/>
          <w:szCs w:val="28"/>
          <w:highlight w:val="none"/>
        </w:rPr>
      </w:pPr>
      <w:r>
        <w:rPr>
          <w:rFonts w:hint="eastAsia" w:eastAsia="仿宋_GB2312"/>
          <w:sz w:val="32"/>
          <w:szCs w:val="28"/>
          <w:highlight w:val="none"/>
        </w:rPr>
        <w:t>3.2.8其它</w:t>
      </w:r>
    </w:p>
    <w:p w14:paraId="01FB8C65">
      <w:pPr>
        <w:spacing w:line="520" w:lineRule="exact"/>
        <w:ind w:firstLine="640" w:firstLineChars="200"/>
        <w:rPr>
          <w:rFonts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若存在以无菌状态交付的附件，还应明确相应附件的无菌要求。若灭菌工艺可能产生残留物质,还应当明确相应物质的残留量要求。</w:t>
      </w:r>
    </w:p>
    <w:p w14:paraId="312F52F1">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hint="eastAsia" w:eastAsia="仿宋_GB2312"/>
          <w:color w:val="000000" w:themeColor="text1"/>
          <w:sz w:val="32"/>
          <w:szCs w:val="32"/>
          <w:highlight w:val="none"/>
          <w14:textFill>
            <w14:solidFill>
              <w14:schemeClr w14:val="tx1"/>
            </w14:solidFill>
          </w14:textFill>
        </w:rPr>
        <w:t>含体温传感器的产品，若未明确“本产品显示的体温不可用于临床诊断和监护目的”，则应符合</w:t>
      </w:r>
      <w:bookmarkStart w:id="8" w:name="OLE_LINK2"/>
      <w:r>
        <w:rPr>
          <w:rFonts w:hint="eastAsia" w:eastAsia="仿宋_GB2312"/>
          <w:color w:val="000000" w:themeColor="text1"/>
          <w:sz w:val="32"/>
          <w:szCs w:val="32"/>
          <w:highlight w:val="none"/>
          <w14:textFill>
            <w14:solidFill>
              <w14:schemeClr w14:val="tx1"/>
            </w14:solidFill>
          </w14:textFill>
        </w:rPr>
        <w:t>GB 9706.256</w:t>
      </w:r>
      <w:bookmarkEnd w:id="8"/>
      <w:r>
        <w:rPr>
          <w:rFonts w:hint="eastAsia" w:eastAsia="仿宋_GB2312"/>
          <w:color w:val="000000" w:themeColor="text1"/>
          <w:sz w:val="32"/>
          <w:szCs w:val="32"/>
          <w:highlight w:val="none"/>
          <w14:textFill>
            <w14:solidFill>
              <w14:schemeClr w14:val="tx1"/>
            </w14:solidFill>
          </w14:textFill>
        </w:rPr>
        <w:t>的相应要求。</w:t>
      </w:r>
    </w:p>
    <w:p w14:paraId="5EC40302">
      <w:pPr>
        <w:spacing w:line="540" w:lineRule="exact"/>
        <w:ind w:firstLine="640" w:firstLineChars="200"/>
        <w:rPr>
          <w:rFonts w:eastAsia="仿宋_GB2312"/>
          <w:sz w:val="32"/>
          <w:szCs w:val="28"/>
          <w:highlight w:val="none"/>
        </w:rPr>
      </w:pPr>
      <w:r>
        <w:rPr>
          <w:rFonts w:hint="eastAsia" w:eastAsia="仿宋_GB2312"/>
          <w:sz w:val="32"/>
          <w:szCs w:val="28"/>
          <w:highlight w:val="none"/>
        </w:rPr>
        <w:t>3.2.9</w:t>
      </w:r>
      <w:r>
        <w:rPr>
          <w:rFonts w:eastAsia="仿宋_GB2312"/>
          <w:sz w:val="32"/>
          <w:szCs w:val="28"/>
          <w:highlight w:val="none"/>
        </w:rPr>
        <w:t>电气安全</w:t>
      </w:r>
    </w:p>
    <w:p w14:paraId="1E02664A">
      <w:pPr>
        <w:spacing w:line="520" w:lineRule="exact"/>
        <w:ind w:firstLine="640" w:firstLineChars="200"/>
        <w:rPr>
          <w:rFonts w:hint="eastAsia" w:eastAsia="仿宋_GB2312"/>
          <w:color w:val="000000" w:themeColor="text1"/>
          <w:sz w:val="32"/>
          <w:szCs w:val="32"/>
          <w:highlight w:val="none"/>
          <w14:textFill>
            <w14:solidFill>
              <w14:schemeClr w14:val="tx1"/>
            </w14:solidFill>
          </w14:textFill>
        </w:rPr>
      </w:pPr>
      <w:r>
        <w:rPr>
          <w:rFonts w:eastAsia="仿宋_GB2312"/>
          <w:color w:val="000000"/>
          <w:sz w:val="32"/>
          <w:szCs w:val="32"/>
          <w:highlight w:val="none"/>
        </w:rPr>
        <w:t>应符合GB 9706.1的要求；</w:t>
      </w:r>
      <w:r>
        <w:rPr>
          <w:rFonts w:hint="eastAsia" w:eastAsia="仿宋_GB2312"/>
          <w:color w:val="000000" w:themeColor="text1"/>
          <w:sz w:val="32"/>
          <w:szCs w:val="32"/>
          <w:highlight w:val="none"/>
          <w14:textFill>
            <w14:solidFill>
              <w14:schemeClr w14:val="tx1"/>
            </w14:solidFill>
          </w14:textFill>
        </w:rPr>
        <w:t>具有制热功能的控温毯，应符合YY 9706.235的要求；具有报警功能的控温仪应符合YY 9706.108的要求；具有生理闭环控制功能的控温仪应符合YY/T 9706.110的要求。</w:t>
      </w:r>
    </w:p>
    <w:p w14:paraId="3D1DEDE7">
      <w:pPr>
        <w:spacing w:line="540" w:lineRule="exact"/>
        <w:ind w:firstLine="640" w:firstLineChars="200"/>
        <w:rPr>
          <w:rFonts w:eastAsia="仿宋_GB2312"/>
          <w:sz w:val="32"/>
          <w:szCs w:val="28"/>
          <w:highlight w:val="none"/>
        </w:rPr>
      </w:pPr>
      <w:r>
        <w:rPr>
          <w:rFonts w:hint="eastAsia" w:eastAsia="仿宋_GB2312"/>
          <w:sz w:val="32"/>
          <w:szCs w:val="28"/>
          <w:highlight w:val="none"/>
        </w:rPr>
        <w:t>3.2.10</w:t>
      </w:r>
      <w:r>
        <w:rPr>
          <w:rFonts w:eastAsia="仿宋_GB2312"/>
          <w:sz w:val="32"/>
          <w:szCs w:val="28"/>
          <w:highlight w:val="none"/>
        </w:rPr>
        <w:t>电磁兼容</w:t>
      </w:r>
    </w:p>
    <w:p w14:paraId="0F704F7C">
      <w:pPr>
        <w:spacing w:line="520" w:lineRule="exact"/>
        <w:ind w:firstLine="640" w:firstLineChars="200"/>
        <w:jc w:val="left"/>
        <w:rPr>
          <w:rFonts w:eastAsia="仿宋_GB2312"/>
          <w:color w:val="000000"/>
          <w:sz w:val="32"/>
          <w:szCs w:val="32"/>
          <w:highlight w:val="none"/>
        </w:rPr>
      </w:pPr>
      <w:r>
        <w:rPr>
          <w:rFonts w:eastAsia="仿宋_GB2312"/>
          <w:color w:val="000000"/>
          <w:sz w:val="32"/>
          <w:szCs w:val="32"/>
          <w:highlight w:val="none"/>
        </w:rPr>
        <w:t>应符合YY</w:t>
      </w:r>
      <w:r>
        <w:rPr>
          <w:rFonts w:hint="eastAsia" w:eastAsia="仿宋_GB2312"/>
          <w:color w:val="000000"/>
          <w:sz w:val="32"/>
          <w:szCs w:val="32"/>
          <w:highlight w:val="none"/>
        </w:rPr>
        <w:t xml:space="preserve"> </w:t>
      </w:r>
      <w:r>
        <w:rPr>
          <w:rFonts w:eastAsia="仿宋_GB2312"/>
          <w:color w:val="000000"/>
          <w:sz w:val="32"/>
          <w:szCs w:val="32"/>
          <w:highlight w:val="none"/>
        </w:rPr>
        <w:t>9706.102的要求。</w:t>
      </w:r>
    </w:p>
    <w:p w14:paraId="3A70EF9C">
      <w:pPr>
        <w:spacing w:line="520" w:lineRule="exact"/>
        <w:ind w:firstLine="640" w:firstLineChars="200"/>
        <w:rPr>
          <w:rStyle w:val="25"/>
          <w:rFonts w:eastAsia="仿宋_GB2312"/>
          <w:sz w:val="32"/>
          <w:szCs w:val="28"/>
          <w:highlight w:val="none"/>
        </w:rPr>
      </w:pPr>
      <w:r>
        <w:rPr>
          <w:rFonts w:hint="eastAsia" w:eastAsia="仿宋_GB2312"/>
          <w:sz w:val="32"/>
          <w:szCs w:val="28"/>
          <w:highlight w:val="none"/>
        </w:rPr>
        <w:t>3.3</w:t>
      </w:r>
      <w:r>
        <w:rPr>
          <w:rStyle w:val="25"/>
          <w:rFonts w:hint="eastAsia" w:eastAsia="仿宋_GB2312"/>
          <w:sz w:val="32"/>
          <w:szCs w:val="28"/>
          <w:highlight w:val="none"/>
        </w:rPr>
        <w:t>检验报告</w:t>
      </w:r>
    </w:p>
    <w:p w14:paraId="7AACAD92">
      <w:pPr>
        <w:pStyle w:val="26"/>
        <w:overflowPunct w:val="0"/>
        <w:autoSpaceDE w:val="0"/>
        <w:autoSpaceDN w:val="0"/>
        <w:spacing w:line="520" w:lineRule="exact"/>
        <w:ind w:right="210" w:firstLine="640"/>
        <w:rPr>
          <w:rFonts w:eastAsia="仿宋_GB2312"/>
          <w:snapToGrid w:val="0"/>
          <w:color w:val="000000"/>
          <w:kern w:val="0"/>
          <w:sz w:val="32"/>
          <w:szCs w:val="32"/>
          <w:highlight w:val="none"/>
        </w:rPr>
      </w:pPr>
      <w:r>
        <w:rPr>
          <w:rFonts w:eastAsia="仿宋_GB2312"/>
          <w:snapToGrid w:val="0"/>
          <w:color w:val="000000"/>
          <w:kern w:val="0"/>
          <w:sz w:val="32"/>
          <w:szCs w:val="32"/>
          <w:highlight w:val="none"/>
        </w:rPr>
        <w:t>注册申请人应提供产品检验报告，产品检验报告可以是医疗器械注册申请人的自检报告，也可以是委托具有</w:t>
      </w:r>
      <w:r>
        <w:rPr>
          <w:rFonts w:hint="eastAsia" w:eastAsia="仿宋_GB2312"/>
          <w:snapToGrid w:val="0"/>
          <w:color w:val="000000"/>
          <w:kern w:val="0"/>
          <w:sz w:val="32"/>
          <w:szCs w:val="32"/>
          <w:highlight w:val="none"/>
        </w:rPr>
        <w:t>相应</w:t>
      </w:r>
      <w:r>
        <w:rPr>
          <w:rFonts w:eastAsia="仿宋_GB2312"/>
          <w:snapToGrid w:val="0"/>
          <w:color w:val="000000"/>
          <w:kern w:val="0"/>
          <w:sz w:val="32"/>
          <w:szCs w:val="32"/>
          <w:highlight w:val="none"/>
        </w:rPr>
        <w:t>检验资质的医疗器械检验机构出具的检验报告。以自检报告形式提交注册的应符合《医疗器械注册自检管理规定》的要求。</w:t>
      </w:r>
    </w:p>
    <w:p w14:paraId="0898F33F">
      <w:pPr>
        <w:spacing w:line="520" w:lineRule="exact"/>
        <w:ind w:firstLine="640"/>
        <w:rPr>
          <w:rFonts w:eastAsia="仿宋_GB2312"/>
          <w:sz w:val="32"/>
          <w:szCs w:val="32"/>
          <w:highlight w:val="none"/>
        </w:rPr>
      </w:pPr>
      <w:r>
        <w:rPr>
          <w:rFonts w:hint="eastAsia" w:eastAsia="仿宋_GB2312"/>
          <w:sz w:val="32"/>
          <w:szCs w:val="32"/>
          <w:highlight w:val="none"/>
        </w:rPr>
        <w:t>依据《医疗器械注册与备案管理办法》第三十一条：“检验用产品应当能够代表申请注册或者进行备案产品的安全性和有效性”，典型性型号的选取，应依据注册单元内所有型号的差异和检验项目来决定。</w:t>
      </w:r>
    </w:p>
    <w:p w14:paraId="284F7269">
      <w:pPr>
        <w:spacing w:line="520" w:lineRule="exact"/>
        <w:ind w:firstLine="640"/>
        <w:rPr>
          <w:rStyle w:val="25"/>
          <w:rFonts w:eastAsia="仿宋_GB2312"/>
          <w:sz w:val="32"/>
          <w:szCs w:val="32"/>
          <w:highlight w:val="none"/>
        </w:rPr>
      </w:pPr>
      <w:r>
        <w:rPr>
          <w:rStyle w:val="25"/>
          <w:rFonts w:hint="eastAsia" w:eastAsia="仿宋_GB2312"/>
          <w:sz w:val="32"/>
          <w:szCs w:val="32"/>
          <w:highlight w:val="none"/>
        </w:rPr>
        <w:t>典型产品应是同一注册单元内能够代表本单元内其他产品安全性和有效性的产品。考虑功能最齐全、结构最复杂、风险最高的产品。</w:t>
      </w:r>
    </w:p>
    <w:p w14:paraId="02E24BB3">
      <w:pPr>
        <w:spacing w:line="520" w:lineRule="exact"/>
        <w:ind w:firstLine="640" w:firstLineChars="200"/>
        <w:rPr>
          <w:rFonts w:eastAsia="仿宋_GB2312"/>
          <w:sz w:val="32"/>
          <w:szCs w:val="32"/>
          <w:highlight w:val="none"/>
        </w:rPr>
      </w:pPr>
      <w:r>
        <w:rPr>
          <w:rFonts w:hint="eastAsia" w:eastAsia="仿宋_GB2312"/>
          <w:sz w:val="32"/>
          <w:szCs w:val="32"/>
          <w:highlight w:val="none"/>
        </w:rPr>
        <w:t>注册单元内各种产品的主要结构及组成、性能指标不能被某一产品全部涵盖时，则应选择涵盖结构及组成、性能指标最多的产品作为典型产品，同时还应考虑其他产品中未被典型产品所涵盖的性能指标，并应对差异部分及由差异部分引起的其他相关安全性和有效性变化的部分进行注册补充检验。</w:t>
      </w:r>
    </w:p>
    <w:p w14:paraId="0A8D9602">
      <w:pPr>
        <w:spacing w:line="520" w:lineRule="exact"/>
        <w:ind w:firstLine="640" w:firstLineChars="200"/>
        <w:outlineLvl w:val="2"/>
        <w:rPr>
          <w:rFonts w:eastAsia="仿宋_GB2312"/>
          <w:sz w:val="32"/>
          <w:szCs w:val="32"/>
          <w:highlight w:val="none"/>
        </w:rPr>
      </w:pPr>
      <w:bookmarkStart w:id="9" w:name="_Toc9427"/>
      <w:bookmarkStart w:id="10" w:name="_Toc230"/>
      <w:bookmarkStart w:id="11" w:name="_Toc28144"/>
      <w:bookmarkStart w:id="12" w:name="_Toc28465"/>
      <w:r>
        <w:rPr>
          <w:rFonts w:hint="eastAsia" w:eastAsia="仿宋_GB2312"/>
          <w:sz w:val="32"/>
          <w:szCs w:val="32"/>
          <w:highlight w:val="none"/>
        </w:rPr>
        <w:t>4.研究资料</w:t>
      </w:r>
      <w:bookmarkEnd w:id="9"/>
      <w:bookmarkEnd w:id="10"/>
      <w:bookmarkEnd w:id="11"/>
      <w:bookmarkEnd w:id="12"/>
    </w:p>
    <w:p w14:paraId="5F36FDC4">
      <w:pPr>
        <w:spacing w:line="520" w:lineRule="exact"/>
        <w:ind w:firstLine="640" w:firstLineChars="200"/>
        <w:outlineLvl w:val="2"/>
        <w:rPr>
          <w:rFonts w:eastAsia="仿宋_GB2312"/>
          <w:sz w:val="32"/>
          <w:szCs w:val="32"/>
          <w:highlight w:val="none"/>
        </w:rPr>
      </w:pPr>
      <w:r>
        <w:rPr>
          <w:rFonts w:hint="eastAsia" w:eastAsia="仿宋_GB2312"/>
          <w:sz w:val="32"/>
          <w:szCs w:val="32"/>
          <w:highlight w:val="none"/>
        </w:rPr>
        <w:t>申请人需提供产品非临床研究综述，逐项描述所开展的研究，概述研究方法和研究结论。列表逐项说明产品性能指标条款的来源和制定依据。</w:t>
      </w:r>
    </w:p>
    <w:p w14:paraId="6A18044D">
      <w:pPr>
        <w:spacing w:line="520" w:lineRule="exact"/>
        <w:ind w:firstLine="640" w:firstLineChars="200"/>
        <w:rPr>
          <w:rFonts w:eastAsia="仿宋_GB2312"/>
          <w:sz w:val="32"/>
          <w:szCs w:val="32"/>
          <w:highlight w:val="none"/>
        </w:rPr>
      </w:pPr>
      <w:bookmarkStart w:id="13" w:name="_Toc22479"/>
      <w:bookmarkStart w:id="14" w:name="_Toc27148"/>
      <w:bookmarkStart w:id="15" w:name="_Toc11514"/>
      <w:r>
        <w:rPr>
          <w:rFonts w:hint="eastAsia" w:eastAsia="仿宋_GB2312"/>
          <w:sz w:val="32"/>
          <w:szCs w:val="32"/>
          <w:highlight w:val="none"/>
        </w:rPr>
        <w:t>4.1物理和化学性能研究</w:t>
      </w:r>
      <w:bookmarkEnd w:id="13"/>
      <w:bookmarkEnd w:id="14"/>
      <w:bookmarkEnd w:id="15"/>
      <w:r>
        <w:rPr>
          <w:rFonts w:hint="eastAsia" w:eastAsia="仿宋_GB2312"/>
          <w:sz w:val="32"/>
          <w:szCs w:val="32"/>
          <w:highlight w:val="none"/>
        </w:rPr>
        <w:tab/>
      </w:r>
    </w:p>
    <w:p w14:paraId="3595FC08">
      <w:pPr>
        <w:spacing w:line="520" w:lineRule="exact"/>
        <w:ind w:firstLine="640" w:firstLineChars="200"/>
        <w:rPr>
          <w:rFonts w:hint="eastAsia" w:eastAsia="仿宋_GB2312"/>
          <w:sz w:val="32"/>
          <w:szCs w:val="32"/>
          <w:highlight w:val="none"/>
        </w:rPr>
      </w:pPr>
      <w:r>
        <w:rPr>
          <w:rFonts w:hint="eastAsia" w:eastAsia="仿宋_GB2312"/>
          <w:color w:val="000000"/>
          <w:sz w:val="32"/>
          <w:szCs w:val="32"/>
          <w:highlight w:val="none"/>
        </w:rPr>
        <w:t>应当提供产品化学/材料表征、物理和/或机械性能指标的确定依据、设计输入来源以及临床意义，所采用的标准或方法、采用的原因及理论基础。</w:t>
      </w:r>
      <w:r>
        <w:rPr>
          <w:rFonts w:hint="eastAsia" w:eastAsia="仿宋_GB2312"/>
          <w:color w:val="000000"/>
          <w:sz w:val="32"/>
          <w:szCs w:val="32"/>
          <w:highlight w:val="none"/>
          <w:lang w:eastAsia="zh-CN"/>
        </w:rPr>
        <w:t>提供</w:t>
      </w:r>
      <w:r>
        <w:rPr>
          <w:rFonts w:hint="eastAsia" w:eastAsia="仿宋_GB2312"/>
          <w:color w:val="000000"/>
          <w:sz w:val="32"/>
          <w:szCs w:val="32"/>
          <w:highlight w:val="none"/>
        </w:rPr>
        <w:t>控温</w:t>
      </w:r>
      <w:r>
        <w:rPr>
          <w:rFonts w:eastAsia="仿宋_GB2312"/>
          <w:color w:val="000000"/>
          <w:sz w:val="32"/>
          <w:szCs w:val="32"/>
          <w:highlight w:val="none"/>
        </w:rPr>
        <w:t>准确性研究、升降温曲线研究</w:t>
      </w:r>
      <w:r>
        <w:rPr>
          <w:rFonts w:hint="eastAsia" w:eastAsia="仿宋_GB2312"/>
          <w:color w:val="000000"/>
          <w:sz w:val="32"/>
          <w:szCs w:val="32"/>
          <w:highlight w:val="none"/>
        </w:rPr>
        <w:t>、动态</w:t>
      </w:r>
      <w:r>
        <w:rPr>
          <w:rFonts w:eastAsia="仿宋_GB2312"/>
          <w:color w:val="000000"/>
          <w:sz w:val="32"/>
          <w:szCs w:val="32"/>
          <w:highlight w:val="none"/>
        </w:rPr>
        <w:t>控温研究</w:t>
      </w:r>
      <w:r>
        <w:rPr>
          <w:rFonts w:hint="eastAsia" w:eastAsia="仿宋_GB2312"/>
          <w:color w:val="000000"/>
          <w:sz w:val="32"/>
          <w:szCs w:val="32"/>
          <w:highlight w:val="none"/>
          <w:lang w:eastAsia="zh-CN"/>
        </w:rPr>
        <w:t>资料</w:t>
      </w:r>
      <w:r>
        <w:rPr>
          <w:rFonts w:hint="eastAsia" w:eastAsia="仿宋_GB2312"/>
          <w:color w:val="000000"/>
          <w:sz w:val="32"/>
          <w:szCs w:val="32"/>
          <w:highlight w:val="none"/>
        </w:rPr>
        <w:t>。</w:t>
      </w:r>
    </w:p>
    <w:p w14:paraId="56E5A667">
      <w:pPr>
        <w:spacing w:line="520" w:lineRule="exact"/>
        <w:ind w:firstLine="640" w:firstLineChars="200"/>
        <w:rPr>
          <w:rFonts w:eastAsia="仿宋_GB2312"/>
          <w:sz w:val="32"/>
          <w:szCs w:val="32"/>
          <w:highlight w:val="none"/>
        </w:rPr>
      </w:pPr>
      <w:r>
        <w:rPr>
          <w:rFonts w:hint="eastAsia" w:eastAsia="仿宋_GB2312"/>
          <w:sz w:val="32"/>
          <w:szCs w:val="32"/>
          <w:highlight w:val="none"/>
        </w:rPr>
        <w:t>4.2电气系统安全性研究</w:t>
      </w:r>
    </w:p>
    <w:p w14:paraId="61E3400F">
      <w:pPr>
        <w:spacing w:line="520" w:lineRule="exact"/>
        <w:ind w:firstLine="640" w:firstLineChars="200"/>
        <w:rPr>
          <w:rFonts w:eastAsia="仿宋_GB2312"/>
          <w:sz w:val="32"/>
          <w:szCs w:val="32"/>
          <w:highlight w:val="none"/>
        </w:rPr>
      </w:pPr>
      <w:r>
        <w:rPr>
          <w:rFonts w:hint="eastAsia" w:eastAsia="仿宋_GB2312"/>
          <w:sz w:val="32"/>
          <w:szCs w:val="32"/>
          <w:highlight w:val="none"/>
        </w:rPr>
        <w:t>应提供电气安全性及电磁兼容性的研究资料。</w:t>
      </w:r>
    </w:p>
    <w:p w14:paraId="1DAB27BE">
      <w:pPr>
        <w:spacing w:line="520" w:lineRule="exact"/>
        <w:ind w:firstLine="640" w:firstLineChars="200"/>
        <w:rPr>
          <w:rStyle w:val="25"/>
          <w:rFonts w:eastAsia="仿宋_GB2312"/>
          <w:sz w:val="32"/>
          <w:szCs w:val="32"/>
          <w:highlight w:val="none"/>
        </w:rPr>
      </w:pPr>
      <w:r>
        <w:rPr>
          <w:rFonts w:hint="eastAsia" w:eastAsia="仿宋_GB2312"/>
          <w:sz w:val="32"/>
          <w:szCs w:val="32"/>
          <w:highlight w:val="none"/>
        </w:rPr>
        <w:t>目前与医用控温仪相关的常用标准为GB 9706.1、YY 9706.102、YY 9706.235（若适用）、YY 9706.108（若适用）</w:t>
      </w:r>
      <w:r>
        <w:rPr>
          <w:rStyle w:val="25"/>
          <w:rFonts w:hint="eastAsia" w:eastAsia="仿宋_GB2312"/>
          <w:sz w:val="32"/>
          <w:szCs w:val="32"/>
          <w:highlight w:val="none"/>
        </w:rPr>
        <w:t>。申请人还可根据产品自身特点引用其他相关的标准（国际标准、行业标准等）。若适用的强制性标准中有不适用的条款，还应说明不适用理由。</w:t>
      </w:r>
    </w:p>
    <w:p w14:paraId="247DF032">
      <w:pPr>
        <w:spacing w:line="520" w:lineRule="exact"/>
        <w:ind w:firstLine="640" w:firstLineChars="200"/>
        <w:rPr>
          <w:rFonts w:eastAsia="仿宋_GB2312"/>
          <w:sz w:val="32"/>
          <w:szCs w:val="32"/>
          <w:highlight w:val="none"/>
        </w:rPr>
      </w:pPr>
      <w:bookmarkStart w:id="16" w:name="_Toc9366"/>
      <w:bookmarkStart w:id="17" w:name="_Toc2951"/>
      <w:r>
        <w:rPr>
          <w:rFonts w:hint="eastAsia" w:eastAsia="仿宋_GB2312"/>
          <w:sz w:val="32"/>
          <w:szCs w:val="32"/>
          <w:highlight w:val="none"/>
        </w:rPr>
        <w:t>4.3联合使用</w:t>
      </w:r>
      <w:bookmarkEnd w:id="16"/>
      <w:bookmarkEnd w:id="17"/>
    </w:p>
    <w:p w14:paraId="07F86AF0">
      <w:pPr>
        <w:spacing w:line="520" w:lineRule="exact"/>
        <w:ind w:firstLine="640" w:firstLineChars="200"/>
        <w:rPr>
          <w:rFonts w:eastAsia="仿宋_GB2312"/>
          <w:sz w:val="32"/>
          <w:szCs w:val="32"/>
          <w:highlight w:val="none"/>
        </w:rPr>
      </w:pPr>
      <w:r>
        <w:rPr>
          <w:rFonts w:hint="eastAsia" w:eastAsia="仿宋_GB2312"/>
          <w:sz w:val="32"/>
          <w:szCs w:val="32"/>
          <w:highlight w:val="none"/>
        </w:rPr>
        <w:t>如申报产品预期与</w:t>
      </w:r>
      <w:r>
        <w:rPr>
          <w:rFonts w:hint="eastAsia" w:eastAsia="仿宋_GB2312"/>
          <w:sz w:val="32"/>
          <w:szCs w:val="32"/>
          <w:highlight w:val="none"/>
          <w:lang w:eastAsia="zh-CN"/>
        </w:rPr>
        <w:t>体温传感器、脉搏血氧传感器等</w:t>
      </w:r>
      <w:r>
        <w:rPr>
          <w:rFonts w:hint="eastAsia" w:eastAsia="仿宋_GB2312"/>
          <w:sz w:val="32"/>
          <w:szCs w:val="32"/>
          <w:highlight w:val="none"/>
        </w:rPr>
        <w:t>联合使用，应当提供证明联合使用安全有效的研究资料，包括互联基本信息（连接类型、接口、协议、最低性能）、联合使用风险及控制措施、联合使用上的限制，兼容性研究等。</w:t>
      </w:r>
    </w:p>
    <w:p w14:paraId="45C8578E">
      <w:pPr>
        <w:spacing w:line="520" w:lineRule="exact"/>
        <w:ind w:firstLine="640" w:firstLineChars="200"/>
        <w:rPr>
          <w:rFonts w:eastAsia="仿宋_GB2312"/>
          <w:sz w:val="32"/>
          <w:szCs w:val="32"/>
          <w:highlight w:val="none"/>
        </w:rPr>
      </w:pPr>
      <w:bookmarkStart w:id="18" w:name="_Toc1114"/>
      <w:bookmarkStart w:id="19" w:name="_Toc27195"/>
      <w:bookmarkStart w:id="20" w:name="_Toc26429"/>
      <w:r>
        <w:rPr>
          <w:rFonts w:hint="eastAsia" w:eastAsia="仿宋_GB2312"/>
          <w:sz w:val="32"/>
          <w:szCs w:val="32"/>
          <w:highlight w:val="none"/>
        </w:rPr>
        <w:t>4.4软件研究</w:t>
      </w:r>
      <w:bookmarkEnd w:id="18"/>
      <w:bookmarkEnd w:id="19"/>
      <w:bookmarkEnd w:id="20"/>
      <w:r>
        <w:rPr>
          <w:rFonts w:hint="eastAsia" w:eastAsia="仿宋_GB2312"/>
          <w:sz w:val="32"/>
          <w:szCs w:val="32"/>
          <w:highlight w:val="none"/>
        </w:rPr>
        <w:tab/>
      </w:r>
    </w:p>
    <w:p w14:paraId="61C4E159">
      <w:pPr>
        <w:spacing w:line="520" w:lineRule="exact"/>
        <w:ind w:firstLine="640" w:firstLineChars="200"/>
        <w:rPr>
          <w:rFonts w:eastAsia="仿宋_GB2312"/>
          <w:strike/>
          <w:sz w:val="32"/>
          <w:szCs w:val="32"/>
          <w:highlight w:val="none"/>
        </w:rPr>
      </w:pPr>
      <w:r>
        <w:rPr>
          <w:rFonts w:hint="eastAsia" w:eastAsia="仿宋_GB2312"/>
          <w:sz w:val="32"/>
          <w:szCs w:val="32"/>
          <w:highlight w:val="none"/>
        </w:rPr>
        <w:t>该类产品软件安全性级别至少为中等级别，申请人需依据《医疗器械软件注册审查指导原则（2022年修订版）》，提供软件研究资料（含现成软件研究资料、互操作性研究资料、GB/T 25000.51报告等）。软件研究报告需覆盖全部软件组件，并建议关联综述资料描述的产品功能。</w:t>
      </w:r>
    </w:p>
    <w:p w14:paraId="71FD93B7">
      <w:pPr>
        <w:spacing w:line="520" w:lineRule="exact"/>
        <w:ind w:firstLine="640" w:firstLineChars="200"/>
        <w:rPr>
          <w:rFonts w:eastAsia="仿宋_GB2312"/>
          <w:sz w:val="32"/>
          <w:szCs w:val="32"/>
          <w:highlight w:val="none"/>
        </w:rPr>
      </w:pPr>
      <w:r>
        <w:rPr>
          <w:rFonts w:hint="eastAsia" w:eastAsia="仿宋_GB2312"/>
          <w:sz w:val="32"/>
          <w:szCs w:val="32"/>
          <w:highlight w:val="none"/>
        </w:rPr>
        <w:t>产品若具备电子数据交换、远程访问与控制、用户访问三种功能当中一种及以上功能的，应按照《医疗器械网络安全注册审查指导原则》提供网络安全相关研究资料。</w:t>
      </w:r>
    </w:p>
    <w:p w14:paraId="69DE3633">
      <w:pPr>
        <w:spacing w:line="520" w:lineRule="exact"/>
        <w:ind w:firstLine="640" w:firstLineChars="200"/>
        <w:rPr>
          <w:rFonts w:eastAsia="仿宋_GB2312"/>
          <w:sz w:val="32"/>
          <w:szCs w:val="32"/>
          <w:highlight w:val="none"/>
        </w:rPr>
      </w:pPr>
      <w:r>
        <w:rPr>
          <w:rFonts w:hint="eastAsia" w:eastAsia="仿宋_GB2312"/>
          <w:sz w:val="32"/>
          <w:szCs w:val="32"/>
          <w:highlight w:val="none"/>
        </w:rPr>
        <w:t>4.</w:t>
      </w:r>
      <w:r>
        <w:rPr>
          <w:rFonts w:hint="eastAsia" w:eastAsia="仿宋_GB2312"/>
          <w:sz w:val="32"/>
          <w:szCs w:val="32"/>
          <w:highlight w:val="none"/>
          <w:lang w:val="en-US" w:eastAsia="zh-CN"/>
        </w:rPr>
        <w:t>5</w:t>
      </w:r>
      <w:r>
        <w:rPr>
          <w:rFonts w:hint="eastAsia" w:eastAsia="仿宋_GB2312"/>
          <w:sz w:val="32"/>
          <w:szCs w:val="32"/>
          <w:highlight w:val="none"/>
        </w:rPr>
        <w:t>可用性研究</w:t>
      </w:r>
    </w:p>
    <w:p w14:paraId="43F31884">
      <w:pPr>
        <w:spacing w:line="520" w:lineRule="exact"/>
        <w:ind w:firstLine="640" w:firstLineChars="200"/>
        <w:rPr>
          <w:rFonts w:eastAsia="仿宋_GB2312"/>
          <w:sz w:val="32"/>
          <w:szCs w:val="32"/>
          <w:highlight w:val="none"/>
        </w:rPr>
      </w:pPr>
      <w:r>
        <w:rPr>
          <w:rFonts w:hint="eastAsia" w:eastAsia="仿宋_GB2312"/>
          <w:sz w:val="32"/>
          <w:szCs w:val="32"/>
          <w:highlight w:val="none"/>
        </w:rPr>
        <w:t>应参照《医疗器械可用性工程注册审查指导原则》，按照中使用风险医疗器械要求提交使用错误评估报告。</w:t>
      </w:r>
    </w:p>
    <w:p w14:paraId="1580A66C">
      <w:pPr>
        <w:spacing w:line="520" w:lineRule="exact"/>
        <w:ind w:firstLine="640" w:firstLineChars="200"/>
        <w:rPr>
          <w:rFonts w:eastAsia="仿宋_GB2312"/>
          <w:sz w:val="32"/>
          <w:szCs w:val="32"/>
          <w:highlight w:val="none"/>
        </w:rPr>
      </w:pPr>
      <w:bookmarkStart w:id="21" w:name="_Toc26768"/>
      <w:bookmarkStart w:id="22" w:name="_Toc6223"/>
      <w:bookmarkStart w:id="23" w:name="_Toc29275"/>
      <w:r>
        <w:rPr>
          <w:rFonts w:hint="eastAsia" w:eastAsia="仿宋_GB2312"/>
          <w:sz w:val="32"/>
          <w:szCs w:val="32"/>
          <w:highlight w:val="none"/>
        </w:rPr>
        <w:t>4.</w:t>
      </w:r>
      <w:r>
        <w:rPr>
          <w:rFonts w:hint="eastAsia" w:eastAsia="仿宋_GB2312"/>
          <w:sz w:val="32"/>
          <w:szCs w:val="32"/>
          <w:highlight w:val="none"/>
          <w:lang w:val="en-US" w:eastAsia="zh-CN"/>
        </w:rPr>
        <w:t>6</w:t>
      </w:r>
      <w:r>
        <w:rPr>
          <w:rFonts w:hint="eastAsia" w:eastAsia="仿宋_GB2312"/>
          <w:sz w:val="32"/>
          <w:szCs w:val="32"/>
          <w:highlight w:val="none"/>
        </w:rPr>
        <w:t>生物学特性研究</w:t>
      </w:r>
      <w:bookmarkEnd w:id="21"/>
      <w:bookmarkEnd w:id="22"/>
      <w:bookmarkEnd w:id="23"/>
    </w:p>
    <w:p w14:paraId="21CE98A3">
      <w:pPr>
        <w:spacing w:line="520" w:lineRule="exact"/>
        <w:ind w:firstLine="640" w:firstLineChars="200"/>
        <w:rPr>
          <w:rFonts w:hint="eastAsia" w:eastAsia="仿宋_GB2312"/>
          <w:sz w:val="32"/>
          <w:szCs w:val="32"/>
          <w:highlight w:val="none"/>
          <w:lang w:eastAsia="zh-CN"/>
        </w:rPr>
      </w:pPr>
      <w:r>
        <w:rPr>
          <w:rFonts w:hint="eastAsia" w:eastAsia="仿宋_GB2312"/>
          <w:sz w:val="32"/>
          <w:szCs w:val="32"/>
          <w:highlight w:val="none"/>
          <w:lang w:eastAsia="zh-CN"/>
        </w:rPr>
        <w:t>对于成品中与患者直接或间接接触的部件，如毯、垫、体温传感器（若有）等，应当进行生物学评价。若通过生物相容性试验开展生物学评价，应依据GB/T 16886.1，根据与患者接触部位和接触时间确定生物学试验项目。</w:t>
      </w:r>
    </w:p>
    <w:p w14:paraId="68B0A3B4">
      <w:pPr>
        <w:spacing w:line="520" w:lineRule="exact"/>
        <w:ind w:firstLine="640" w:firstLineChars="200"/>
        <w:rPr>
          <w:rStyle w:val="25"/>
          <w:rFonts w:hint="eastAsia" w:eastAsia="仿宋_GB2312"/>
          <w:sz w:val="32"/>
          <w:szCs w:val="32"/>
          <w:highlight w:val="none"/>
          <w:lang w:eastAsia="zh-CN"/>
        </w:rPr>
      </w:pPr>
      <w:r>
        <w:rPr>
          <w:rFonts w:hint="eastAsia" w:eastAsia="仿宋_GB2312"/>
          <w:sz w:val="32"/>
          <w:szCs w:val="32"/>
          <w:highlight w:val="none"/>
          <w:lang w:eastAsia="zh-CN"/>
        </w:rPr>
        <w:t>医用控温仪的控温毯或控温垫是否与患者接触与产品使用方法和使用场景有关。产品若在手术室内使用，其可能直接与患者皮肤接触，应开展生物学评价；若在护理病房使用，</w:t>
      </w:r>
      <w:r>
        <w:rPr>
          <w:rStyle w:val="25"/>
          <w:rFonts w:hint="eastAsia" w:eastAsia="仿宋_GB2312"/>
          <w:sz w:val="32"/>
          <w:szCs w:val="32"/>
          <w:highlight w:val="none"/>
          <w:lang w:eastAsia="zh-CN"/>
        </w:rPr>
        <w:t>通常通过患者衣物及医用床单与</w:t>
      </w:r>
      <w:r>
        <w:rPr>
          <w:rFonts w:hint="eastAsia" w:eastAsia="仿宋_GB2312"/>
          <w:sz w:val="32"/>
          <w:szCs w:val="32"/>
          <w:highlight w:val="none"/>
          <w:lang w:eastAsia="zh-CN"/>
        </w:rPr>
        <w:t>控温毯或控温垫</w:t>
      </w:r>
      <w:r>
        <w:rPr>
          <w:rStyle w:val="25"/>
          <w:rFonts w:hint="eastAsia" w:eastAsia="仿宋_GB2312"/>
          <w:sz w:val="32"/>
          <w:szCs w:val="32"/>
          <w:highlight w:val="none"/>
          <w:lang w:eastAsia="zh-CN"/>
        </w:rPr>
        <w:t>接触面物理隔离。产品不与患者接触，生物学特性研究不适用。</w:t>
      </w:r>
    </w:p>
    <w:p w14:paraId="0A3503AF">
      <w:pPr>
        <w:spacing w:line="560" w:lineRule="exact"/>
        <w:ind w:firstLine="640" w:firstLineChars="200"/>
        <w:rPr>
          <w:rFonts w:eastAsia="仿宋_GB2312"/>
          <w:color w:val="000000"/>
          <w:sz w:val="32"/>
          <w:szCs w:val="32"/>
          <w:highlight w:val="none"/>
        </w:rPr>
      </w:pPr>
      <w:r>
        <w:rPr>
          <w:rFonts w:hint="eastAsia" w:eastAsia="仿宋_GB2312"/>
          <w:color w:val="000000" w:themeColor="text1"/>
          <w:sz w:val="32"/>
          <w:szCs w:val="32"/>
          <w:highlight w:val="none"/>
          <w14:textFill>
            <w14:solidFill>
              <w14:schemeClr w14:val="tx1"/>
            </w14:solidFill>
          </w14:textFill>
        </w:rPr>
        <w:t>4.</w:t>
      </w:r>
      <w:r>
        <w:rPr>
          <w:rFonts w:hint="eastAsia" w:eastAsia="仿宋_GB2312"/>
          <w:color w:val="000000" w:themeColor="text1"/>
          <w:sz w:val="32"/>
          <w:szCs w:val="32"/>
          <w:highlight w:val="none"/>
          <w:lang w:val="en-US" w:eastAsia="zh-CN"/>
          <w14:textFill>
            <w14:solidFill>
              <w14:schemeClr w14:val="tx1"/>
            </w14:solidFill>
          </w14:textFill>
        </w:rPr>
        <w:t>7</w:t>
      </w:r>
      <w:r>
        <w:rPr>
          <w:rFonts w:eastAsia="仿宋_GB2312"/>
          <w:color w:val="000000"/>
          <w:sz w:val="32"/>
          <w:szCs w:val="32"/>
          <w:highlight w:val="none"/>
        </w:rPr>
        <w:t>清洁、消毒、灭菌研究</w:t>
      </w:r>
    </w:p>
    <w:p w14:paraId="34375849">
      <w:pPr>
        <w:spacing w:line="560" w:lineRule="exact"/>
        <w:ind w:firstLine="640" w:firstLineChars="200"/>
        <w:rPr>
          <w:rFonts w:eastAsia="仿宋_GB2312"/>
          <w:color w:val="000000"/>
          <w:sz w:val="32"/>
          <w:szCs w:val="32"/>
          <w:highlight w:val="none"/>
        </w:rPr>
      </w:pPr>
      <w:r>
        <w:rPr>
          <w:rFonts w:hint="eastAsia" w:eastAsia="仿宋_GB2312"/>
          <w:color w:val="000000"/>
          <w:sz w:val="32"/>
          <w:szCs w:val="32"/>
          <w:highlight w:val="none"/>
        </w:rPr>
        <w:t>医用控温仪与患者接触的毯、垫等部件，可能以无菌或非无菌状态交付，应按下述要求提供</w:t>
      </w:r>
      <w:r>
        <w:rPr>
          <w:rFonts w:eastAsia="仿宋_GB2312"/>
          <w:color w:val="000000"/>
          <w:sz w:val="32"/>
          <w:szCs w:val="32"/>
          <w:highlight w:val="none"/>
        </w:rPr>
        <w:t>清洁、消毒、灭菌研究</w:t>
      </w:r>
      <w:r>
        <w:rPr>
          <w:rFonts w:hint="eastAsia" w:eastAsia="仿宋_GB2312"/>
          <w:color w:val="000000"/>
          <w:sz w:val="32"/>
          <w:szCs w:val="32"/>
          <w:highlight w:val="none"/>
        </w:rPr>
        <w:t>资料。</w:t>
      </w:r>
    </w:p>
    <w:p w14:paraId="4478D421">
      <w:pPr>
        <w:spacing w:line="560" w:lineRule="exact"/>
        <w:ind w:firstLine="640" w:firstLineChars="200"/>
        <w:rPr>
          <w:rFonts w:eastAsia="仿宋_GB2312"/>
          <w:bCs/>
          <w:color w:val="000000"/>
          <w:sz w:val="32"/>
          <w:szCs w:val="32"/>
          <w:highlight w:val="none"/>
        </w:rPr>
      </w:pPr>
      <w:r>
        <w:rPr>
          <w:rFonts w:eastAsia="仿宋_GB2312"/>
          <w:bCs/>
          <w:color w:val="000000"/>
          <w:sz w:val="32"/>
          <w:szCs w:val="32"/>
          <w:highlight w:val="none"/>
        </w:rPr>
        <w:t>（1）生产企业灭菌：应当明确灭菌工艺（方法和参数）和无菌保证水平（SAL），并提供灭菌验证及确认的相关研究资料。</w:t>
      </w:r>
    </w:p>
    <w:p w14:paraId="62720B0F">
      <w:pPr>
        <w:spacing w:line="560" w:lineRule="exact"/>
        <w:ind w:firstLine="640" w:firstLineChars="200"/>
        <w:rPr>
          <w:rFonts w:eastAsia="仿宋_GB2312"/>
          <w:bCs/>
          <w:color w:val="000000"/>
          <w:sz w:val="32"/>
          <w:szCs w:val="32"/>
          <w:highlight w:val="none"/>
        </w:rPr>
      </w:pPr>
      <w:r>
        <w:rPr>
          <w:rFonts w:eastAsia="仿宋_GB2312"/>
          <w:bCs/>
          <w:color w:val="000000"/>
          <w:sz w:val="32"/>
          <w:szCs w:val="32"/>
          <w:highlight w:val="none"/>
        </w:rPr>
        <w:t>（2）使用者灭菌：应当明确推荐的灭菌工艺（方法和参数）、所推荐灭菌工艺的确定依据以及验证的相关研究资料；对可耐受两次或多次灭菌的产品，应当提供产品所推荐灭菌工艺耐受性的研究资料。</w:t>
      </w:r>
    </w:p>
    <w:p w14:paraId="1757C239">
      <w:pPr>
        <w:spacing w:line="520" w:lineRule="exact"/>
        <w:ind w:firstLine="640" w:firstLineChars="200"/>
        <w:rPr>
          <w:rFonts w:eastAsia="仿宋_GB2312"/>
          <w:color w:val="000000"/>
          <w:sz w:val="32"/>
          <w:szCs w:val="32"/>
          <w:highlight w:val="none"/>
        </w:rPr>
      </w:pPr>
      <w:r>
        <w:rPr>
          <w:rFonts w:eastAsia="仿宋_GB2312"/>
          <w:bCs/>
          <w:color w:val="000000"/>
          <w:sz w:val="32"/>
          <w:szCs w:val="32"/>
          <w:highlight w:val="none"/>
        </w:rPr>
        <w:t>（3）使用者清洁和消毒：应当明确推荐的清洗和消毒工艺（方法和参数）、工艺的确定依据以及验证的相关研究资料。</w:t>
      </w:r>
      <w:r>
        <w:rPr>
          <w:rFonts w:hint="eastAsia" w:eastAsia="仿宋_GB2312"/>
          <w:bCs/>
          <w:color w:val="000000"/>
          <w:sz w:val="32"/>
          <w:szCs w:val="32"/>
          <w:highlight w:val="none"/>
        </w:rPr>
        <w:t>对于含水箱的产品，其清洗工艺研究，应明确加热/制冷介质更换周期，应提供液路除垢等相关研究资料，说明推荐的除垢方法、除垢效果、除垢周期等。</w:t>
      </w:r>
    </w:p>
    <w:p w14:paraId="33996C66">
      <w:pPr>
        <w:pStyle w:val="21"/>
        <w:spacing w:line="560" w:lineRule="exact"/>
        <w:ind w:firstLine="640"/>
        <w:rPr>
          <w:rFonts w:eastAsia="仿宋_GB2312"/>
          <w:color w:val="000000" w:themeColor="text1"/>
          <w:sz w:val="32"/>
          <w:szCs w:val="32"/>
          <w:highlight w:val="none"/>
          <w14:textFill>
            <w14:solidFill>
              <w14:schemeClr w14:val="tx1"/>
            </w14:solidFill>
          </w14:textFill>
        </w:rPr>
      </w:pPr>
      <w:r>
        <w:rPr>
          <w:rFonts w:eastAsia="仿宋_GB2312"/>
          <w:bCs/>
          <w:color w:val="000000"/>
          <w:sz w:val="32"/>
          <w:szCs w:val="32"/>
          <w:highlight w:val="none"/>
        </w:rPr>
        <w:t>（4）残留毒性：若产品经灭菌或消毒后可能产生残留物质,应当对灭菌或消毒后的产品进行残留毒性的研究，明确残留物信息及采取的处理方法，并提供相关研究资料。</w:t>
      </w:r>
    </w:p>
    <w:p w14:paraId="242EFAB5">
      <w:pPr>
        <w:spacing w:line="520" w:lineRule="exact"/>
        <w:ind w:firstLine="640" w:firstLineChars="200"/>
        <w:outlineLvl w:val="2"/>
        <w:rPr>
          <w:rFonts w:eastAsia="仿宋_GB2312"/>
          <w:sz w:val="32"/>
          <w:szCs w:val="32"/>
          <w:highlight w:val="none"/>
        </w:rPr>
      </w:pPr>
      <w:bookmarkStart w:id="24" w:name="_Toc30945"/>
      <w:r>
        <w:rPr>
          <w:rFonts w:hint="eastAsia" w:eastAsia="仿宋_GB2312"/>
          <w:sz w:val="32"/>
          <w:szCs w:val="32"/>
          <w:highlight w:val="none"/>
        </w:rPr>
        <w:t>5.稳定性研究</w:t>
      </w:r>
      <w:bookmarkEnd w:id="24"/>
      <w:r>
        <w:rPr>
          <w:rFonts w:hint="eastAsia" w:eastAsia="仿宋_GB2312"/>
          <w:sz w:val="32"/>
          <w:szCs w:val="32"/>
          <w:highlight w:val="none"/>
        </w:rPr>
        <w:tab/>
      </w:r>
    </w:p>
    <w:p w14:paraId="12DE4B3B">
      <w:pPr>
        <w:spacing w:line="520" w:lineRule="exact"/>
        <w:ind w:firstLine="640" w:firstLineChars="200"/>
        <w:rPr>
          <w:rFonts w:eastAsia="仿宋_GB2312"/>
          <w:sz w:val="32"/>
          <w:szCs w:val="32"/>
          <w:highlight w:val="none"/>
        </w:rPr>
      </w:pPr>
      <w:bookmarkStart w:id="25" w:name="_Toc21669"/>
      <w:bookmarkStart w:id="26" w:name="_Toc12708"/>
      <w:bookmarkStart w:id="27" w:name="_Toc28459"/>
      <w:r>
        <w:rPr>
          <w:rFonts w:hint="eastAsia" w:eastAsia="仿宋_GB2312"/>
          <w:sz w:val="32"/>
          <w:szCs w:val="32"/>
          <w:highlight w:val="none"/>
        </w:rPr>
        <w:t>5.1使用稳定性</w:t>
      </w:r>
      <w:bookmarkEnd w:id="25"/>
      <w:bookmarkEnd w:id="26"/>
      <w:bookmarkEnd w:id="27"/>
      <w:r>
        <w:rPr>
          <w:rFonts w:hint="eastAsia" w:eastAsia="仿宋_GB2312"/>
          <w:sz w:val="32"/>
          <w:szCs w:val="32"/>
          <w:highlight w:val="none"/>
        </w:rPr>
        <w:tab/>
      </w:r>
    </w:p>
    <w:p w14:paraId="79F81796">
      <w:pPr>
        <w:spacing w:line="520" w:lineRule="exact"/>
        <w:ind w:firstLine="640" w:firstLineChars="200"/>
        <w:rPr>
          <w:rFonts w:eastAsia="仿宋_GB2312"/>
          <w:sz w:val="32"/>
          <w:szCs w:val="32"/>
          <w:highlight w:val="none"/>
        </w:rPr>
      </w:pPr>
      <w:r>
        <w:rPr>
          <w:rFonts w:hint="eastAsia" w:eastAsia="仿宋_GB2312"/>
          <w:sz w:val="32"/>
          <w:szCs w:val="32"/>
          <w:highlight w:val="none"/>
        </w:rPr>
        <w:t>应当提供使用稳定性/可靠性研究资料，证明在规定的使用期限/使用次数内，在正常使用、维护保养情况下，产品的性能功能满足使用要求。</w:t>
      </w:r>
    </w:p>
    <w:p w14:paraId="440491E0">
      <w:pPr>
        <w:spacing w:line="520" w:lineRule="exact"/>
        <w:ind w:firstLine="640" w:firstLineChars="200"/>
        <w:rPr>
          <w:rStyle w:val="25"/>
          <w:rFonts w:hint="eastAsia" w:eastAsia="仿宋_GB2312"/>
          <w:sz w:val="32"/>
          <w:szCs w:val="32"/>
          <w:highlight w:val="none"/>
        </w:rPr>
      </w:pPr>
      <w:r>
        <w:rPr>
          <w:rFonts w:hint="eastAsia" w:eastAsia="仿宋_GB2312"/>
          <w:sz w:val="32"/>
          <w:szCs w:val="32"/>
          <w:highlight w:val="none"/>
        </w:rPr>
        <w:t>可参考《有源医疗器械</w:t>
      </w:r>
      <w:bookmarkStart w:id="38" w:name="_GoBack"/>
      <w:bookmarkEnd w:id="38"/>
      <w:r>
        <w:rPr>
          <w:rFonts w:hint="eastAsia" w:eastAsia="仿宋_GB2312"/>
          <w:sz w:val="32"/>
          <w:szCs w:val="32"/>
          <w:highlight w:val="none"/>
        </w:rPr>
        <w:t>使用期限指导原则》</w:t>
      </w:r>
      <w:r>
        <w:rPr>
          <w:rStyle w:val="25"/>
          <w:rFonts w:hint="eastAsia" w:eastAsia="仿宋_GB2312"/>
          <w:sz w:val="32"/>
          <w:szCs w:val="32"/>
          <w:highlight w:val="none"/>
        </w:rPr>
        <w:t>中推荐的方法，如采用加速老化和/或实时老化的方式进行，老化后对产品的</w:t>
      </w:r>
      <w:bookmarkStart w:id="28" w:name="OLE_LINK16"/>
      <w:r>
        <w:rPr>
          <w:rStyle w:val="25"/>
          <w:rFonts w:hint="eastAsia" w:eastAsia="仿宋_GB2312"/>
          <w:sz w:val="32"/>
          <w:szCs w:val="32"/>
          <w:highlight w:val="none"/>
        </w:rPr>
        <w:t>关键功能性</w:t>
      </w:r>
      <w:bookmarkEnd w:id="28"/>
      <w:r>
        <w:rPr>
          <w:rStyle w:val="25"/>
          <w:rFonts w:hint="eastAsia" w:eastAsia="仿宋_GB2312"/>
          <w:sz w:val="32"/>
          <w:szCs w:val="32"/>
          <w:highlight w:val="none"/>
        </w:rPr>
        <w:t>能及电气安全进行检验，例如</w:t>
      </w:r>
      <w:r>
        <w:rPr>
          <w:rFonts w:hint="eastAsia" w:eastAsia="仿宋_GB2312"/>
          <w:sz w:val="32"/>
          <w:szCs w:val="28"/>
          <w:highlight w:val="none"/>
          <w:lang w:eastAsia="zh-CN"/>
        </w:rPr>
        <w:t>升温</w:t>
      </w:r>
      <w:r>
        <w:rPr>
          <w:rFonts w:eastAsia="仿宋_GB2312"/>
          <w:sz w:val="32"/>
          <w:szCs w:val="28"/>
          <w:highlight w:val="none"/>
        </w:rPr>
        <w:t>性能</w:t>
      </w:r>
      <w:r>
        <w:rPr>
          <w:rFonts w:hint="eastAsia" w:eastAsia="仿宋_GB2312"/>
          <w:sz w:val="32"/>
          <w:szCs w:val="28"/>
          <w:highlight w:val="none"/>
          <w:lang w:eastAsia="zh-CN"/>
        </w:rPr>
        <w:t>、降温性能</w:t>
      </w:r>
      <w:r>
        <w:rPr>
          <w:rStyle w:val="25"/>
          <w:rFonts w:hint="eastAsia" w:eastAsia="仿宋_GB2312"/>
          <w:sz w:val="32"/>
          <w:szCs w:val="32"/>
          <w:highlight w:val="none"/>
        </w:rPr>
        <w:t>等，以证明产品的功能性能满足使用要求。应给出老化后测试的性能指标的确定依据，对于未测试的性能指标，应给出合理解释。</w:t>
      </w:r>
    </w:p>
    <w:p w14:paraId="6BFC8878">
      <w:pPr>
        <w:spacing w:line="520" w:lineRule="exact"/>
        <w:ind w:firstLine="640" w:firstLineChars="200"/>
        <w:rPr>
          <w:rFonts w:eastAsia="仿宋_GB2312"/>
          <w:sz w:val="32"/>
          <w:szCs w:val="32"/>
          <w:highlight w:val="none"/>
        </w:rPr>
      </w:pPr>
      <w:bookmarkStart w:id="29" w:name="_Toc18877"/>
      <w:bookmarkStart w:id="30" w:name="_Toc11962"/>
      <w:r>
        <w:rPr>
          <w:rFonts w:hint="eastAsia" w:eastAsia="仿宋_GB2312"/>
          <w:sz w:val="32"/>
          <w:szCs w:val="32"/>
          <w:highlight w:val="none"/>
        </w:rPr>
        <w:t>5.2运输稳定性</w:t>
      </w:r>
      <w:bookmarkEnd w:id="29"/>
      <w:bookmarkEnd w:id="30"/>
      <w:r>
        <w:rPr>
          <w:rFonts w:hint="eastAsia" w:eastAsia="仿宋_GB2312"/>
          <w:sz w:val="32"/>
          <w:szCs w:val="32"/>
          <w:highlight w:val="none"/>
        </w:rPr>
        <w:tab/>
      </w:r>
    </w:p>
    <w:p w14:paraId="187A51C0">
      <w:pPr>
        <w:spacing w:line="520" w:lineRule="exact"/>
        <w:ind w:firstLine="640" w:firstLineChars="200"/>
        <w:rPr>
          <w:rFonts w:eastAsia="仿宋_GB2312"/>
          <w:sz w:val="32"/>
          <w:szCs w:val="32"/>
          <w:highlight w:val="none"/>
        </w:rPr>
      </w:pPr>
      <w:r>
        <w:rPr>
          <w:rFonts w:hint="eastAsia" w:eastAsia="仿宋_GB2312"/>
          <w:sz w:val="32"/>
          <w:szCs w:val="32"/>
          <w:highlight w:val="none"/>
        </w:rPr>
        <w:t>应提供运输稳定性和包装研究资料，证明生产企业规定的运输条件不会对产品的特性和性能造成不利影响。</w:t>
      </w:r>
    </w:p>
    <w:p w14:paraId="64345E83">
      <w:pPr>
        <w:spacing w:line="520" w:lineRule="exact"/>
        <w:ind w:firstLine="640" w:firstLineChars="200"/>
        <w:rPr>
          <w:rFonts w:hint="eastAsia" w:eastAsia="仿宋_GB2312"/>
          <w:sz w:val="32"/>
          <w:szCs w:val="32"/>
          <w:highlight w:val="none"/>
        </w:rPr>
      </w:pPr>
      <w:r>
        <w:rPr>
          <w:rFonts w:hint="eastAsia" w:eastAsia="仿宋_GB2312"/>
          <w:sz w:val="32"/>
          <w:szCs w:val="32"/>
          <w:highlight w:val="none"/>
        </w:rPr>
        <w:t>运输稳定性研究通常提供模拟运输试验进行，通过模拟规定的运输贮存条件，验证包装对性能及安全的保护能力。运输试验开始前及结束后，应对产品关键功能性能及电气安全进行验证，</w:t>
      </w:r>
      <w:r>
        <w:rPr>
          <w:rStyle w:val="25"/>
          <w:rFonts w:hint="eastAsia" w:eastAsia="仿宋_GB2312"/>
          <w:sz w:val="32"/>
          <w:szCs w:val="32"/>
          <w:highlight w:val="none"/>
        </w:rPr>
        <w:t>例如</w:t>
      </w:r>
      <w:r>
        <w:rPr>
          <w:rFonts w:hint="eastAsia" w:eastAsia="仿宋_GB2312"/>
          <w:sz w:val="32"/>
          <w:szCs w:val="28"/>
          <w:highlight w:val="none"/>
          <w:lang w:eastAsia="zh-CN"/>
        </w:rPr>
        <w:t>升温</w:t>
      </w:r>
      <w:r>
        <w:rPr>
          <w:rFonts w:eastAsia="仿宋_GB2312"/>
          <w:sz w:val="32"/>
          <w:szCs w:val="28"/>
          <w:highlight w:val="none"/>
        </w:rPr>
        <w:t>性能</w:t>
      </w:r>
      <w:r>
        <w:rPr>
          <w:rFonts w:hint="eastAsia" w:eastAsia="仿宋_GB2312"/>
          <w:sz w:val="32"/>
          <w:szCs w:val="28"/>
          <w:highlight w:val="none"/>
          <w:lang w:eastAsia="zh-CN"/>
        </w:rPr>
        <w:t>、降温性能</w:t>
      </w:r>
      <w:r>
        <w:rPr>
          <w:rStyle w:val="25"/>
          <w:rFonts w:hint="eastAsia" w:eastAsia="仿宋_GB2312"/>
          <w:sz w:val="32"/>
          <w:szCs w:val="32"/>
          <w:highlight w:val="none"/>
        </w:rPr>
        <w:t>等</w:t>
      </w:r>
      <w:r>
        <w:rPr>
          <w:rStyle w:val="25"/>
          <w:rFonts w:hint="eastAsia" w:eastAsia="仿宋_GB2312"/>
          <w:sz w:val="32"/>
          <w:szCs w:val="32"/>
          <w:highlight w:val="none"/>
          <w:lang w:eastAsia="zh-CN"/>
        </w:rPr>
        <w:t>，</w:t>
      </w:r>
      <w:r>
        <w:rPr>
          <w:rFonts w:hint="eastAsia" w:eastAsia="仿宋_GB2312"/>
          <w:sz w:val="32"/>
          <w:szCs w:val="32"/>
          <w:highlight w:val="none"/>
        </w:rPr>
        <w:t>应提供验证项目的选择依据。模拟运输试验可参考GB/T 4857系列标准的要求进行，也可参考相应的国际标准，如ASTM D4169等。运输贮存条件应与说明书中规定的条件一致。</w:t>
      </w:r>
    </w:p>
    <w:p w14:paraId="5D5A8324">
      <w:pPr>
        <w:spacing w:line="520" w:lineRule="exact"/>
        <w:ind w:firstLine="640" w:firstLineChars="200"/>
        <w:rPr>
          <w:rFonts w:hint="eastAsia" w:eastAsia="仿宋_GB2312"/>
          <w:sz w:val="32"/>
          <w:szCs w:val="32"/>
          <w:highlight w:val="none"/>
        </w:rPr>
      </w:pPr>
      <w:r>
        <w:rPr>
          <w:rFonts w:hint="eastAsia" w:eastAsia="仿宋_GB2312"/>
          <w:sz w:val="32"/>
          <w:szCs w:val="32"/>
          <w:highlight w:val="none"/>
          <w:lang w:val="en-US" w:eastAsia="zh-CN"/>
        </w:rPr>
        <w:t>5.3医用电器环境试验研究</w:t>
      </w:r>
    </w:p>
    <w:p w14:paraId="57FC2E47">
      <w:pPr>
        <w:spacing w:line="520" w:lineRule="exact"/>
        <w:ind w:firstLine="640" w:firstLineChars="200"/>
        <w:rPr>
          <w:rFonts w:hint="eastAsia" w:eastAsia="仿宋_GB2312"/>
          <w:sz w:val="32"/>
          <w:szCs w:val="32"/>
          <w:highlight w:val="none"/>
        </w:rPr>
      </w:pPr>
      <w:r>
        <w:rPr>
          <w:rFonts w:hint="eastAsia" w:eastAsia="仿宋_GB2312"/>
          <w:sz w:val="32"/>
          <w:szCs w:val="32"/>
          <w:highlight w:val="none"/>
        </w:rPr>
        <w:t>主要包括气候环境条件、机械环境条件，可参考GB/T 14710《医用电器环境要求及试验方法》及其他适用的国家标准和行业标准</w:t>
      </w:r>
      <w:r>
        <w:rPr>
          <w:rFonts w:hint="eastAsia" w:eastAsia="仿宋_GB2312"/>
          <w:sz w:val="32"/>
          <w:szCs w:val="32"/>
          <w:highlight w:val="none"/>
          <w:lang w:eastAsia="zh-CN"/>
        </w:rPr>
        <w:t>开展环境试验研究</w:t>
      </w:r>
      <w:r>
        <w:rPr>
          <w:rFonts w:hint="eastAsia" w:eastAsia="仿宋_GB2312"/>
          <w:sz w:val="32"/>
          <w:szCs w:val="32"/>
          <w:highlight w:val="none"/>
        </w:rPr>
        <w:t>。</w:t>
      </w:r>
    </w:p>
    <w:p w14:paraId="70AA45E5">
      <w:pPr>
        <w:spacing w:line="520" w:lineRule="exact"/>
        <w:ind w:firstLine="640" w:firstLineChars="200"/>
        <w:rPr>
          <w:rFonts w:hint="eastAsia" w:eastAsia="仿宋_GB2312"/>
          <w:sz w:val="32"/>
          <w:szCs w:val="32"/>
          <w:highlight w:val="none"/>
        </w:rPr>
      </w:pPr>
      <w:r>
        <w:rPr>
          <w:rFonts w:hint="eastAsia" w:eastAsia="仿宋_GB2312"/>
          <w:sz w:val="32"/>
          <w:szCs w:val="32"/>
          <w:highlight w:val="none"/>
        </w:rPr>
        <w:t>正常工作环境以产品标称为准，但需经相应环境试验验证。明确标识供电类型、电压。</w:t>
      </w:r>
    </w:p>
    <w:p w14:paraId="7E0A3511">
      <w:pPr>
        <w:spacing w:line="520" w:lineRule="exact"/>
        <w:ind w:firstLine="640" w:firstLineChars="200"/>
        <w:outlineLvl w:val="2"/>
        <w:rPr>
          <w:rFonts w:eastAsia="仿宋_GB2312"/>
          <w:sz w:val="32"/>
          <w:szCs w:val="32"/>
          <w:highlight w:val="none"/>
        </w:rPr>
      </w:pPr>
      <w:r>
        <w:rPr>
          <w:rFonts w:hint="eastAsia" w:eastAsia="仿宋_GB2312"/>
          <w:sz w:val="32"/>
          <w:szCs w:val="32"/>
          <w:highlight w:val="none"/>
        </w:rPr>
        <w:t>6.其它</w:t>
      </w:r>
    </w:p>
    <w:p w14:paraId="08E2C38D">
      <w:pPr>
        <w:spacing w:line="520" w:lineRule="exact"/>
        <w:ind w:firstLine="640" w:firstLineChars="200"/>
        <w:rPr>
          <w:rFonts w:eastAsia="仿宋_GB2312"/>
          <w:bCs/>
          <w:sz w:val="32"/>
          <w:szCs w:val="32"/>
          <w:highlight w:val="none"/>
        </w:rPr>
      </w:pPr>
      <w:r>
        <w:rPr>
          <w:rFonts w:hint="eastAsia" w:eastAsia="仿宋_GB2312"/>
          <w:color w:val="000000"/>
          <w:sz w:val="32"/>
          <w:szCs w:val="32"/>
          <w:highlight w:val="none"/>
        </w:rPr>
        <w:t>该产品已列入《免于临床评价医疗器械目录》（以下简称“目录”），应按照《列入免于临床评价医疗器械目录产品对比说明技术指导原则》，</w:t>
      </w:r>
      <w:r>
        <w:rPr>
          <w:rFonts w:eastAsia="仿宋_GB2312"/>
          <w:color w:val="000000"/>
          <w:sz w:val="32"/>
          <w:szCs w:val="32"/>
          <w:highlight w:val="none"/>
        </w:rPr>
        <w:t>提交申报产品相关信息与《目录》所述内容的对比资料和申报产品与已获准境内注册的《目录》中医疗器械的对比说明</w:t>
      </w:r>
      <w:r>
        <w:rPr>
          <w:rFonts w:hint="eastAsia" w:eastAsia="仿宋_GB2312"/>
          <w:color w:val="000000"/>
          <w:sz w:val="32"/>
          <w:szCs w:val="32"/>
          <w:highlight w:val="none"/>
        </w:rPr>
        <w:t>资料，</w:t>
      </w:r>
      <w:r>
        <w:rPr>
          <w:rFonts w:eastAsia="仿宋_GB2312"/>
          <w:color w:val="000000"/>
          <w:sz w:val="32"/>
          <w:szCs w:val="32"/>
          <w:highlight w:val="none"/>
        </w:rPr>
        <w:t>应能证明申报产品与《目录》所述的产品具有基本等同性。</w:t>
      </w:r>
    </w:p>
    <w:p w14:paraId="207E9BB3">
      <w:pPr>
        <w:widowControl/>
        <w:spacing w:line="520" w:lineRule="exact"/>
        <w:ind w:firstLine="425" w:firstLineChars="133"/>
        <w:outlineLvl w:val="0"/>
        <w:rPr>
          <w:rFonts w:eastAsia="楷体_GB2312"/>
          <w:sz w:val="32"/>
          <w:szCs w:val="32"/>
          <w:highlight w:val="none"/>
        </w:rPr>
      </w:pPr>
      <w:r>
        <w:rPr>
          <w:rFonts w:eastAsia="楷体_GB2312"/>
          <w:sz w:val="32"/>
          <w:szCs w:val="32"/>
          <w:highlight w:val="none"/>
        </w:rPr>
        <w:t>（</w:t>
      </w:r>
      <w:r>
        <w:rPr>
          <w:rFonts w:hint="eastAsia" w:eastAsia="楷体_GB2312"/>
          <w:sz w:val="32"/>
          <w:szCs w:val="32"/>
          <w:highlight w:val="none"/>
          <w:lang w:eastAsia="zh-CN"/>
        </w:rPr>
        <w:t>四</w:t>
      </w:r>
      <w:r>
        <w:rPr>
          <w:rFonts w:eastAsia="楷体_GB2312"/>
          <w:sz w:val="32"/>
          <w:szCs w:val="32"/>
          <w:highlight w:val="none"/>
        </w:rPr>
        <w:t>）产品说明书和标签样稿</w:t>
      </w:r>
    </w:p>
    <w:p w14:paraId="29B30DE4">
      <w:pPr>
        <w:spacing w:line="520" w:lineRule="exact"/>
        <w:ind w:firstLine="640" w:firstLineChars="200"/>
        <w:rPr>
          <w:rFonts w:eastAsia="仿宋_GB2312"/>
          <w:sz w:val="32"/>
          <w:szCs w:val="32"/>
          <w:highlight w:val="none"/>
        </w:rPr>
      </w:pPr>
      <w:r>
        <w:rPr>
          <w:rFonts w:hint="eastAsia" w:eastAsia="仿宋_GB2312"/>
          <w:sz w:val="32"/>
          <w:szCs w:val="32"/>
          <w:highlight w:val="none"/>
        </w:rPr>
        <w:t>医用控温仪</w:t>
      </w:r>
      <w:r>
        <w:rPr>
          <w:rFonts w:eastAsia="仿宋_GB2312"/>
          <w:sz w:val="32"/>
          <w:szCs w:val="32"/>
          <w:highlight w:val="none"/>
        </w:rPr>
        <w:t>产品的说明书、标签应符合《医疗器械说明书和标签管理规定》和GB 9706.1、YY 9706.235</w:t>
      </w:r>
      <w:r>
        <w:rPr>
          <w:rFonts w:hint="eastAsia" w:eastAsia="仿宋_GB2312"/>
          <w:sz w:val="32"/>
          <w:szCs w:val="32"/>
          <w:highlight w:val="none"/>
        </w:rPr>
        <w:t>(若适用)、YY 9706.102、YY 9706.108(若适用)、YY/T 0952</w:t>
      </w:r>
      <w:r>
        <w:rPr>
          <w:rFonts w:eastAsia="仿宋_GB2312"/>
          <w:sz w:val="32"/>
          <w:szCs w:val="32"/>
          <w:highlight w:val="none"/>
        </w:rPr>
        <w:t>等标准中的相关要求。</w:t>
      </w:r>
    </w:p>
    <w:p w14:paraId="28572765">
      <w:pPr>
        <w:spacing w:line="520" w:lineRule="exact"/>
        <w:ind w:firstLine="640" w:firstLineChars="200"/>
        <w:rPr>
          <w:rFonts w:eastAsia="仿宋_GB2312"/>
          <w:sz w:val="32"/>
          <w:szCs w:val="32"/>
          <w:highlight w:val="none"/>
        </w:rPr>
      </w:pPr>
      <w:r>
        <w:rPr>
          <w:rFonts w:hint="eastAsia" w:eastAsia="仿宋_GB2312"/>
          <w:sz w:val="32"/>
          <w:szCs w:val="32"/>
          <w:highlight w:val="none"/>
          <w:lang w:val="en-US" w:eastAsia="zh-CN"/>
        </w:rPr>
        <w:t>1.</w:t>
      </w:r>
      <w:r>
        <w:rPr>
          <w:rFonts w:hint="eastAsia" w:eastAsia="仿宋_GB2312"/>
          <w:sz w:val="32"/>
          <w:szCs w:val="32"/>
          <w:highlight w:val="none"/>
        </w:rPr>
        <w:t>产品名称、型号规格、结构组成、功能性能应与产品技术要求内容一致。</w:t>
      </w:r>
    </w:p>
    <w:p w14:paraId="7DEE89DA">
      <w:pPr>
        <w:spacing w:line="520" w:lineRule="exact"/>
        <w:ind w:firstLine="640" w:firstLineChars="200"/>
        <w:rPr>
          <w:rFonts w:eastAsia="仿宋_GB2312"/>
          <w:sz w:val="32"/>
          <w:szCs w:val="32"/>
          <w:highlight w:val="none"/>
        </w:rPr>
      </w:pPr>
      <w:r>
        <w:rPr>
          <w:rFonts w:hint="eastAsia" w:eastAsia="仿宋_GB2312"/>
          <w:sz w:val="32"/>
          <w:szCs w:val="32"/>
          <w:highlight w:val="none"/>
        </w:rPr>
        <w:t>2.冷凝器定期维护或清洁的方法和频次（适用时）。</w:t>
      </w:r>
    </w:p>
    <w:p w14:paraId="28E78F9E">
      <w:pPr>
        <w:spacing w:line="520" w:lineRule="exact"/>
        <w:ind w:firstLine="640" w:firstLineChars="200"/>
        <w:rPr>
          <w:rFonts w:eastAsia="仿宋_GB2312"/>
          <w:sz w:val="32"/>
          <w:szCs w:val="32"/>
          <w:highlight w:val="none"/>
        </w:rPr>
      </w:pPr>
      <w:r>
        <w:rPr>
          <w:rFonts w:hint="eastAsia" w:eastAsia="仿宋_GB2312"/>
          <w:sz w:val="32"/>
          <w:szCs w:val="32"/>
          <w:highlight w:val="none"/>
          <w:lang w:val="en-US" w:eastAsia="zh-CN"/>
        </w:rPr>
        <w:t>3</w:t>
      </w:r>
      <w:r>
        <w:rPr>
          <w:rFonts w:hint="eastAsia" w:eastAsia="仿宋_GB2312"/>
          <w:sz w:val="32"/>
          <w:szCs w:val="32"/>
          <w:highlight w:val="none"/>
        </w:rPr>
        <w:t>.控温仪温度达到稳态输出所需的时间。</w:t>
      </w:r>
    </w:p>
    <w:p w14:paraId="0C4B67CC">
      <w:pPr>
        <w:spacing w:line="520" w:lineRule="exact"/>
        <w:ind w:firstLine="640" w:firstLineChars="200"/>
        <w:rPr>
          <w:rFonts w:eastAsia="仿宋_GB2312"/>
          <w:sz w:val="32"/>
          <w:szCs w:val="32"/>
          <w:highlight w:val="none"/>
        </w:rPr>
      </w:pPr>
      <w:r>
        <w:rPr>
          <w:rFonts w:hint="eastAsia" w:eastAsia="仿宋_GB2312"/>
          <w:sz w:val="32"/>
          <w:szCs w:val="32"/>
          <w:highlight w:val="none"/>
          <w:lang w:val="en-US" w:eastAsia="zh-CN"/>
        </w:rPr>
        <w:t>4.</w:t>
      </w:r>
      <w:r>
        <w:rPr>
          <w:rFonts w:hint="eastAsia" w:eastAsia="仿宋_GB2312"/>
          <w:sz w:val="32"/>
          <w:szCs w:val="32"/>
          <w:highlight w:val="none"/>
        </w:rPr>
        <w:t>防止循环液体结冰的说明（适用时）。</w:t>
      </w:r>
    </w:p>
    <w:p w14:paraId="791F7DBB">
      <w:pPr>
        <w:spacing w:line="520" w:lineRule="exact"/>
        <w:ind w:firstLine="640" w:firstLineChars="200"/>
        <w:rPr>
          <w:rFonts w:eastAsia="仿宋_GB2312"/>
          <w:sz w:val="32"/>
          <w:szCs w:val="32"/>
          <w:highlight w:val="none"/>
        </w:rPr>
      </w:pPr>
      <w:r>
        <w:rPr>
          <w:rFonts w:hint="eastAsia" w:eastAsia="仿宋_GB2312"/>
          <w:sz w:val="32"/>
          <w:szCs w:val="32"/>
          <w:highlight w:val="none"/>
          <w:lang w:val="en-US" w:eastAsia="zh-CN"/>
        </w:rPr>
        <w:t>5.</w:t>
      </w:r>
      <w:r>
        <w:rPr>
          <w:rFonts w:hint="eastAsia" w:eastAsia="仿宋_GB2312"/>
          <w:sz w:val="32"/>
          <w:szCs w:val="32"/>
          <w:highlight w:val="none"/>
        </w:rPr>
        <w:t>检查、补充或更换循环液体的方法和频次。</w:t>
      </w:r>
    </w:p>
    <w:p w14:paraId="4E908D31">
      <w:pPr>
        <w:spacing w:line="520" w:lineRule="exact"/>
        <w:ind w:firstLine="640" w:firstLineChars="200"/>
        <w:rPr>
          <w:rFonts w:eastAsia="仿宋_GB2312"/>
          <w:sz w:val="32"/>
          <w:szCs w:val="32"/>
          <w:highlight w:val="none"/>
        </w:rPr>
      </w:pPr>
      <w:r>
        <w:rPr>
          <w:rFonts w:hint="eastAsia" w:eastAsia="仿宋_GB2312"/>
          <w:sz w:val="32"/>
          <w:szCs w:val="32"/>
          <w:highlight w:val="none"/>
        </w:rPr>
        <w:t>注：应明确“补充、更换循环液体应在停机状态下完成”。</w:t>
      </w:r>
    </w:p>
    <w:p w14:paraId="699C63AA">
      <w:pPr>
        <w:spacing w:line="520" w:lineRule="exact"/>
        <w:ind w:firstLine="640" w:firstLineChars="200"/>
        <w:rPr>
          <w:rFonts w:eastAsia="仿宋_GB2312"/>
          <w:sz w:val="32"/>
          <w:szCs w:val="32"/>
          <w:highlight w:val="none"/>
        </w:rPr>
      </w:pPr>
      <w:r>
        <w:rPr>
          <w:rFonts w:hint="eastAsia" w:eastAsia="仿宋_GB2312"/>
          <w:sz w:val="32"/>
          <w:szCs w:val="32"/>
          <w:highlight w:val="none"/>
          <w:lang w:val="en-US" w:eastAsia="zh-CN"/>
        </w:rPr>
        <w:t>6.</w:t>
      </w:r>
      <w:r>
        <w:rPr>
          <w:rFonts w:hint="eastAsia" w:eastAsia="仿宋_GB2312"/>
          <w:sz w:val="32"/>
          <w:szCs w:val="32"/>
          <w:highlight w:val="none"/>
        </w:rPr>
        <w:t>应用部分尺寸或有效面积的说明。</w:t>
      </w:r>
    </w:p>
    <w:p w14:paraId="6E399495">
      <w:pPr>
        <w:spacing w:line="520" w:lineRule="exact"/>
        <w:ind w:firstLine="640" w:firstLineChars="200"/>
        <w:rPr>
          <w:rFonts w:eastAsia="仿宋_GB2312"/>
          <w:sz w:val="32"/>
          <w:szCs w:val="32"/>
          <w:highlight w:val="none"/>
        </w:rPr>
      </w:pPr>
      <w:r>
        <w:rPr>
          <w:rFonts w:hint="eastAsia" w:eastAsia="仿宋_GB2312"/>
          <w:sz w:val="32"/>
          <w:szCs w:val="32"/>
          <w:highlight w:val="none"/>
          <w:lang w:val="en-US" w:eastAsia="zh-CN"/>
        </w:rPr>
        <w:t>7.</w:t>
      </w:r>
      <w:r>
        <w:rPr>
          <w:rFonts w:hint="eastAsia" w:eastAsia="仿宋_GB2312"/>
          <w:sz w:val="32"/>
          <w:szCs w:val="32"/>
          <w:highlight w:val="none"/>
        </w:rPr>
        <w:t>应提示使用者，应避免应用部分在高温治疗时较长时间接触体表以免灼伤的警告性建议。</w:t>
      </w:r>
    </w:p>
    <w:p w14:paraId="287BD1FF">
      <w:pPr>
        <w:spacing w:line="520" w:lineRule="exact"/>
        <w:ind w:firstLine="640" w:firstLineChars="200"/>
        <w:rPr>
          <w:rFonts w:eastAsia="仿宋_GB2312"/>
          <w:sz w:val="32"/>
          <w:szCs w:val="32"/>
          <w:highlight w:val="none"/>
        </w:rPr>
      </w:pPr>
      <w:r>
        <w:rPr>
          <w:rFonts w:hint="eastAsia" w:eastAsia="仿宋_GB2312"/>
          <w:sz w:val="32"/>
          <w:szCs w:val="32"/>
          <w:highlight w:val="none"/>
          <w:lang w:val="en-US" w:eastAsia="zh-CN"/>
        </w:rPr>
        <w:t>8.</w:t>
      </w:r>
      <w:r>
        <w:rPr>
          <w:rFonts w:hint="eastAsia" w:eastAsia="仿宋_GB2312"/>
          <w:sz w:val="32"/>
          <w:szCs w:val="32"/>
          <w:highlight w:val="none"/>
        </w:rPr>
        <w:t>应提示使用者，应避免应用部分在低温治疗时较长时间接触体表以免冻伤的警告性建议。</w:t>
      </w:r>
    </w:p>
    <w:p w14:paraId="554A711D">
      <w:pPr>
        <w:spacing w:line="520" w:lineRule="exact"/>
        <w:ind w:firstLine="640" w:firstLineChars="200"/>
        <w:rPr>
          <w:rFonts w:eastAsia="仿宋_GB2312"/>
          <w:sz w:val="32"/>
          <w:szCs w:val="32"/>
          <w:highlight w:val="none"/>
        </w:rPr>
      </w:pPr>
      <w:r>
        <w:rPr>
          <w:rFonts w:hint="eastAsia" w:eastAsia="仿宋_GB2312"/>
          <w:sz w:val="32"/>
          <w:szCs w:val="32"/>
          <w:highlight w:val="none"/>
          <w:lang w:val="en-US" w:eastAsia="zh-CN"/>
        </w:rPr>
        <w:t>9.</w:t>
      </w:r>
      <w:r>
        <w:rPr>
          <w:rFonts w:hint="eastAsia" w:eastAsia="仿宋_GB2312"/>
          <w:sz w:val="32"/>
          <w:szCs w:val="32"/>
          <w:highlight w:val="none"/>
        </w:rPr>
        <w:t>热敏感度差的患者慎用的提示。</w:t>
      </w:r>
    </w:p>
    <w:p w14:paraId="619EC394">
      <w:pPr>
        <w:widowControl/>
        <w:spacing w:line="520" w:lineRule="exact"/>
        <w:ind w:firstLine="425" w:firstLineChars="133"/>
        <w:outlineLvl w:val="0"/>
        <w:rPr>
          <w:rFonts w:eastAsia="楷体_GB2312"/>
          <w:sz w:val="32"/>
          <w:szCs w:val="32"/>
          <w:highlight w:val="none"/>
        </w:rPr>
      </w:pPr>
      <w:bookmarkStart w:id="31" w:name="_Toc9494"/>
      <w:bookmarkStart w:id="32" w:name="_Toc306265297"/>
      <w:r>
        <w:rPr>
          <w:rFonts w:hint="eastAsia" w:eastAsia="楷体_GB2312"/>
          <w:sz w:val="32"/>
          <w:szCs w:val="32"/>
          <w:highlight w:val="none"/>
        </w:rPr>
        <w:t>（六）质量管理体系文件</w:t>
      </w:r>
      <w:bookmarkEnd w:id="31"/>
    </w:p>
    <w:p w14:paraId="2602F602">
      <w:pPr>
        <w:spacing w:line="520" w:lineRule="exact"/>
        <w:ind w:firstLine="640" w:firstLineChars="200"/>
        <w:rPr>
          <w:rFonts w:eastAsia="仿宋_GB2312"/>
          <w:sz w:val="32"/>
          <w:szCs w:val="32"/>
          <w:highlight w:val="none"/>
        </w:rPr>
      </w:pPr>
      <w:r>
        <w:rPr>
          <w:rStyle w:val="25"/>
          <w:rFonts w:hint="eastAsia" w:eastAsia="仿宋_GB2312"/>
          <w:sz w:val="32"/>
          <w:szCs w:val="32"/>
          <w:highlight w:val="none"/>
        </w:rPr>
        <w:t>1</w:t>
      </w:r>
      <w:r>
        <w:rPr>
          <w:rFonts w:hint="eastAsia" w:eastAsia="仿宋_GB2312"/>
          <w:sz w:val="32"/>
          <w:szCs w:val="32"/>
          <w:highlight w:val="none"/>
        </w:rPr>
        <w:t>.应依据</w:t>
      </w:r>
      <w:r>
        <w:rPr>
          <w:rFonts w:hint="eastAsia" w:eastAsia="仿宋"/>
          <w:sz w:val="32"/>
          <w:szCs w:val="32"/>
          <w:highlight w:val="none"/>
        </w:rPr>
        <w:t>《关于公布医疗器械注册申报资料要求和批准证明文件格式的公告》</w:t>
      </w:r>
      <w:r>
        <w:rPr>
          <w:rFonts w:hint="eastAsia" w:eastAsia="仿宋_GB2312"/>
          <w:sz w:val="32"/>
          <w:szCs w:val="32"/>
          <w:highlight w:val="none"/>
        </w:rPr>
        <w:t>（2021年第121号）要求提供质量管理体系核查文件。</w:t>
      </w:r>
    </w:p>
    <w:p w14:paraId="2D042276">
      <w:pPr>
        <w:spacing w:line="520" w:lineRule="exact"/>
        <w:ind w:firstLine="640" w:firstLineChars="200"/>
        <w:rPr>
          <w:rFonts w:eastAsia="仿宋_GB2312"/>
          <w:sz w:val="32"/>
          <w:szCs w:val="32"/>
          <w:highlight w:val="none"/>
        </w:rPr>
      </w:pPr>
      <w:r>
        <w:rPr>
          <w:rStyle w:val="25"/>
          <w:rFonts w:hint="eastAsia" w:eastAsia="仿宋_GB2312"/>
          <w:sz w:val="32"/>
          <w:szCs w:val="32"/>
          <w:highlight w:val="none"/>
        </w:rPr>
        <w:t>2</w:t>
      </w:r>
      <w:r>
        <w:rPr>
          <w:rFonts w:hint="eastAsia" w:eastAsia="仿宋_GB2312"/>
          <w:sz w:val="32"/>
          <w:szCs w:val="32"/>
          <w:highlight w:val="none"/>
        </w:rPr>
        <w:t>.若产品有多个研制、生产场地，应概述每个研制、生产场地的实际情况。</w:t>
      </w:r>
      <w:bookmarkEnd w:id="32"/>
    </w:p>
    <w:p w14:paraId="5781A234">
      <w:pPr>
        <w:widowControl/>
        <w:spacing w:line="520" w:lineRule="exact"/>
        <w:ind w:firstLine="640" w:firstLineChars="200"/>
        <w:outlineLvl w:val="0"/>
        <w:rPr>
          <w:rFonts w:eastAsia="黑体"/>
          <w:kern w:val="0"/>
          <w:sz w:val="32"/>
          <w:szCs w:val="32"/>
          <w:highlight w:val="none"/>
        </w:rPr>
      </w:pPr>
      <w:r>
        <w:rPr>
          <w:rFonts w:hint="eastAsia" w:eastAsia="黑体"/>
          <w:kern w:val="0"/>
          <w:sz w:val="32"/>
          <w:szCs w:val="32"/>
          <w:highlight w:val="none"/>
        </w:rPr>
        <w:t>三</w:t>
      </w:r>
      <w:r>
        <w:rPr>
          <w:rFonts w:eastAsia="黑体"/>
          <w:kern w:val="0"/>
          <w:sz w:val="32"/>
          <w:szCs w:val="32"/>
          <w:highlight w:val="none"/>
        </w:rPr>
        <w:t>、参考文献</w:t>
      </w:r>
    </w:p>
    <w:p w14:paraId="587135A7">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1</w:t>
      </w:r>
      <w:r>
        <w:rPr>
          <w:rFonts w:eastAsia="仿宋_GB2312"/>
          <w:sz w:val="32"/>
          <w:szCs w:val="32"/>
          <w:highlight w:val="none"/>
        </w:rPr>
        <w:t>]国家食品药品监督管理总局.医疗器械分类目录:国家食品药品监督管理总局公告2017年第104号[Z].</w:t>
      </w:r>
    </w:p>
    <w:p w14:paraId="0E92454E">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2</w:t>
      </w:r>
      <w:r>
        <w:rPr>
          <w:rFonts w:eastAsia="仿宋_GB2312"/>
          <w:sz w:val="32"/>
          <w:szCs w:val="32"/>
          <w:highlight w:val="none"/>
        </w:rPr>
        <w:t>]国家市场监督管理总局.医疗器械注册与备案管理办法:国家市场监督管理总局令第47号[Z].</w:t>
      </w:r>
    </w:p>
    <w:p w14:paraId="2AA2307A">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3</w:t>
      </w:r>
      <w:r>
        <w:rPr>
          <w:rFonts w:eastAsia="仿宋_GB2312"/>
          <w:sz w:val="32"/>
          <w:szCs w:val="32"/>
          <w:highlight w:val="none"/>
        </w:rPr>
        <w:t>]国家药品监督管理局.医疗器械产品技术要求编写指导原则:国家药监局通告2022年第8号[Z].</w:t>
      </w:r>
    </w:p>
    <w:p w14:paraId="6B585CEC">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4</w:t>
      </w:r>
      <w:r>
        <w:rPr>
          <w:rFonts w:eastAsia="仿宋_GB2312"/>
          <w:sz w:val="32"/>
          <w:szCs w:val="32"/>
          <w:highlight w:val="none"/>
        </w:rPr>
        <w:t>]国家药品监督管理局医疗器械审评中心.医疗器械软件注册审查指导原则（2022年修订版）:国家药监局器审中心通告2022年第9号[Z].</w:t>
      </w:r>
    </w:p>
    <w:p w14:paraId="595EEAE9">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5</w:t>
      </w:r>
      <w:r>
        <w:rPr>
          <w:rFonts w:eastAsia="仿宋_GB2312"/>
          <w:sz w:val="32"/>
          <w:szCs w:val="32"/>
          <w:highlight w:val="none"/>
        </w:rPr>
        <w:t>]国家药品监督管理局医疗器械审评中心.医疗器械网络安全注册审查指导原则（2022年修订版）:国家药监局器审中心通告2022年第7号[Z].</w:t>
      </w:r>
    </w:p>
    <w:p w14:paraId="2AD59D26">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6</w:t>
      </w:r>
      <w:r>
        <w:rPr>
          <w:rFonts w:eastAsia="仿宋_GB2312"/>
          <w:sz w:val="32"/>
          <w:szCs w:val="32"/>
          <w:highlight w:val="none"/>
        </w:rPr>
        <w:t>]国家药品监督管理局.关于发布免于</w:t>
      </w:r>
      <w:r>
        <w:rPr>
          <w:rFonts w:hint="eastAsia" w:eastAsia="仿宋_GB2312"/>
          <w:sz w:val="32"/>
          <w:szCs w:val="32"/>
          <w:highlight w:val="none"/>
        </w:rPr>
        <w:t>进行</w:t>
      </w:r>
      <w:r>
        <w:rPr>
          <w:rFonts w:eastAsia="仿宋_GB2312"/>
          <w:sz w:val="32"/>
          <w:szCs w:val="32"/>
          <w:highlight w:val="none"/>
        </w:rPr>
        <w:t>临床评价医疗器械目录的通告:国家药监局通告202</w:t>
      </w:r>
      <w:r>
        <w:rPr>
          <w:rFonts w:hint="eastAsia" w:eastAsia="仿宋_GB2312"/>
          <w:sz w:val="32"/>
          <w:szCs w:val="32"/>
          <w:highlight w:val="none"/>
        </w:rPr>
        <w:t>5</w:t>
      </w:r>
      <w:r>
        <w:rPr>
          <w:rFonts w:eastAsia="仿宋_GB2312"/>
          <w:sz w:val="32"/>
          <w:szCs w:val="32"/>
          <w:highlight w:val="none"/>
        </w:rPr>
        <w:t>年第</w:t>
      </w:r>
      <w:r>
        <w:rPr>
          <w:rFonts w:hint="eastAsia" w:eastAsia="仿宋_GB2312"/>
          <w:sz w:val="32"/>
          <w:szCs w:val="32"/>
          <w:highlight w:val="none"/>
        </w:rPr>
        <w:t>19</w:t>
      </w:r>
      <w:r>
        <w:rPr>
          <w:rFonts w:eastAsia="仿宋_GB2312"/>
          <w:sz w:val="32"/>
          <w:szCs w:val="32"/>
          <w:highlight w:val="none"/>
        </w:rPr>
        <w:t>号[Z].</w:t>
      </w:r>
    </w:p>
    <w:p w14:paraId="2A009173">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7</w:t>
      </w:r>
      <w:r>
        <w:rPr>
          <w:rFonts w:eastAsia="仿宋_GB2312"/>
          <w:sz w:val="32"/>
          <w:szCs w:val="32"/>
          <w:highlight w:val="none"/>
        </w:rPr>
        <w:t>]国家药品监督管理局.</w:t>
      </w:r>
      <w:r>
        <w:rPr>
          <w:rFonts w:hint="eastAsia" w:eastAsia="仿宋_GB2312"/>
          <w:sz w:val="32"/>
          <w:szCs w:val="32"/>
          <w:highlight w:val="none"/>
        </w:rPr>
        <w:t>关于发布医疗器械临床评价技术指导原则等5项技术指导原则的通告</w:t>
      </w:r>
      <w:r>
        <w:rPr>
          <w:rFonts w:eastAsia="仿宋_GB2312"/>
          <w:sz w:val="32"/>
          <w:szCs w:val="32"/>
          <w:highlight w:val="none"/>
        </w:rPr>
        <w:t>:</w:t>
      </w:r>
      <w:r>
        <w:rPr>
          <w:rFonts w:eastAsia="仿宋_GB2312"/>
          <w:color w:val="000000"/>
          <w:sz w:val="32"/>
          <w:szCs w:val="32"/>
          <w:highlight w:val="none"/>
        </w:rPr>
        <w:t>国家药监局通告</w:t>
      </w:r>
      <w:r>
        <w:rPr>
          <w:rFonts w:eastAsia="仿宋_GB2312"/>
          <w:sz w:val="32"/>
          <w:szCs w:val="32"/>
          <w:highlight w:val="none"/>
        </w:rPr>
        <w:t>2021年第73号[Z].</w:t>
      </w:r>
    </w:p>
    <w:p w14:paraId="5688FDBD">
      <w:pPr>
        <w:spacing w:line="540" w:lineRule="exact"/>
        <w:ind w:firstLine="640" w:firstLineChars="200"/>
        <w:rPr>
          <w:rStyle w:val="25"/>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8</w:t>
      </w:r>
      <w:r>
        <w:rPr>
          <w:rFonts w:eastAsia="仿宋_GB2312"/>
          <w:sz w:val="32"/>
          <w:szCs w:val="32"/>
          <w:highlight w:val="none"/>
        </w:rPr>
        <w:t>]国家食品药品监督管理总局.</w:t>
      </w:r>
      <w:r>
        <w:rPr>
          <w:rStyle w:val="25"/>
          <w:rFonts w:eastAsia="仿宋_GB2312"/>
          <w:sz w:val="32"/>
          <w:szCs w:val="32"/>
          <w:highlight w:val="none"/>
        </w:rPr>
        <w:t>医疗器械说明书和标签管理规定</w:t>
      </w:r>
      <w:r>
        <w:rPr>
          <w:rFonts w:eastAsia="仿宋_GB2312"/>
          <w:sz w:val="32"/>
          <w:szCs w:val="32"/>
          <w:highlight w:val="none"/>
        </w:rPr>
        <w:t>:国家食品药品监督管理总局令第6号[Z].</w:t>
      </w:r>
    </w:p>
    <w:p w14:paraId="33BACF50">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9</w:t>
      </w:r>
      <w:r>
        <w:rPr>
          <w:rFonts w:eastAsia="仿宋_GB2312"/>
          <w:sz w:val="32"/>
          <w:szCs w:val="32"/>
          <w:highlight w:val="none"/>
        </w:rPr>
        <w:t>]国家药品监督管理局.医疗器械注册申报资料要求和批准证明文件格式:国家药监局公告2021年第121号[Z].</w:t>
      </w:r>
    </w:p>
    <w:p w14:paraId="6C6A2A59">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10</w:t>
      </w:r>
      <w:r>
        <w:rPr>
          <w:rFonts w:eastAsia="仿宋_GB2312"/>
          <w:sz w:val="32"/>
          <w:szCs w:val="32"/>
          <w:highlight w:val="none"/>
        </w:rPr>
        <w:t>]GB/T 42062-2022,医疗器械风险管理对医疗器械的应用[S].</w:t>
      </w:r>
    </w:p>
    <w:p w14:paraId="15956C67">
      <w:pPr>
        <w:spacing w:line="540" w:lineRule="exact"/>
        <w:ind w:firstLine="640" w:firstLineChars="200"/>
        <w:rPr>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1</w:t>
      </w:r>
      <w:r>
        <w:rPr>
          <w:rFonts w:eastAsia="仿宋_GB2312"/>
          <w:sz w:val="32"/>
          <w:szCs w:val="32"/>
          <w:highlight w:val="none"/>
        </w:rPr>
        <w:t>]GB 9706.1-2020,医用电气设备 第1部分：基本安全和基本性能的通用要求[S].</w:t>
      </w:r>
    </w:p>
    <w:p w14:paraId="572F79AC">
      <w:pPr>
        <w:spacing w:line="540" w:lineRule="exact"/>
        <w:ind w:firstLine="640" w:firstLineChars="200"/>
        <w:rPr>
          <w:rStyle w:val="25"/>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2</w:t>
      </w:r>
      <w:r>
        <w:rPr>
          <w:rFonts w:eastAsia="仿宋_GB2312"/>
          <w:sz w:val="32"/>
          <w:szCs w:val="32"/>
          <w:highlight w:val="none"/>
        </w:rPr>
        <w:t>]</w:t>
      </w:r>
      <w:r>
        <w:rPr>
          <w:rStyle w:val="25"/>
          <w:rFonts w:hint="eastAsia" w:eastAsia="仿宋_GB2312"/>
          <w:sz w:val="32"/>
          <w:szCs w:val="32"/>
          <w:highlight w:val="none"/>
        </w:rPr>
        <w:t>YY</w:t>
      </w:r>
      <w:r>
        <w:rPr>
          <w:rStyle w:val="25"/>
          <w:rFonts w:eastAsia="仿宋_GB2312"/>
          <w:sz w:val="32"/>
          <w:szCs w:val="32"/>
          <w:highlight w:val="none"/>
        </w:rPr>
        <w:t xml:space="preserve"> 9706.111-2021</w:t>
      </w:r>
      <w:r>
        <w:rPr>
          <w:rFonts w:hint="eastAsia" w:eastAsia="仿宋_GB2312"/>
          <w:sz w:val="32"/>
          <w:szCs w:val="32"/>
          <w:highlight w:val="none"/>
        </w:rPr>
        <w:t>，</w:t>
      </w:r>
      <w:r>
        <w:rPr>
          <w:rStyle w:val="25"/>
          <w:rFonts w:eastAsia="仿宋_GB2312"/>
          <w:sz w:val="32"/>
          <w:szCs w:val="32"/>
          <w:highlight w:val="none"/>
        </w:rPr>
        <w:t>医用电气设备 第1-11部分：基本安全和基本性能的通用要求 并列标准：在家庭护理环境中使用的医用电气设备和医用电气系统的要求</w:t>
      </w:r>
      <w:r>
        <w:rPr>
          <w:rFonts w:eastAsia="仿宋_GB2312"/>
          <w:sz w:val="32"/>
          <w:szCs w:val="32"/>
          <w:highlight w:val="none"/>
        </w:rPr>
        <w:t>[S].</w:t>
      </w:r>
    </w:p>
    <w:p w14:paraId="4AC6FAE6">
      <w:pPr>
        <w:spacing w:line="540" w:lineRule="exact"/>
        <w:ind w:firstLine="640" w:firstLineChars="200"/>
        <w:rPr>
          <w:rFonts w:eastAsia="仿宋_GB2312"/>
          <w:sz w:val="32"/>
          <w:szCs w:val="32"/>
          <w:highlight w:val="none"/>
        </w:rPr>
      </w:pPr>
      <w:r>
        <w:rPr>
          <w:rFonts w:eastAsia="仿宋_GB2312"/>
          <w:sz w:val="32"/>
          <w:szCs w:val="32"/>
          <w:highlight w:val="none"/>
        </w:rPr>
        <w:t>[1</w:t>
      </w:r>
      <w:r>
        <w:rPr>
          <w:rFonts w:hint="eastAsia" w:eastAsia="仿宋_GB2312"/>
          <w:sz w:val="32"/>
          <w:szCs w:val="32"/>
          <w:highlight w:val="none"/>
        </w:rPr>
        <w:t>3</w:t>
      </w:r>
      <w:r>
        <w:rPr>
          <w:rFonts w:eastAsia="仿宋_GB2312"/>
          <w:sz w:val="32"/>
          <w:szCs w:val="32"/>
          <w:highlight w:val="none"/>
        </w:rPr>
        <w:t>]GB/T 4857,包装 运输包装件系列标准[S].</w:t>
      </w:r>
    </w:p>
    <w:p w14:paraId="64310D1F">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14</w:t>
      </w:r>
      <w:r>
        <w:rPr>
          <w:rFonts w:eastAsia="仿宋_GB2312"/>
          <w:sz w:val="32"/>
          <w:szCs w:val="32"/>
          <w:highlight w:val="none"/>
        </w:rPr>
        <w:t>]GB/T 14710</w:t>
      </w:r>
      <w:r>
        <w:rPr>
          <w:rStyle w:val="25"/>
          <w:rFonts w:eastAsia="仿宋_GB2312"/>
          <w:sz w:val="32"/>
          <w:szCs w:val="32"/>
          <w:highlight w:val="none"/>
        </w:rPr>
        <w:t>-</w:t>
      </w:r>
      <w:r>
        <w:rPr>
          <w:rFonts w:eastAsia="仿宋_GB2312"/>
          <w:sz w:val="32"/>
          <w:szCs w:val="32"/>
          <w:highlight w:val="none"/>
        </w:rPr>
        <w:t>2009,医用电器环境要求及试验方法[S].</w:t>
      </w:r>
    </w:p>
    <w:p w14:paraId="07F13138">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15</w:t>
      </w:r>
      <w:r>
        <w:rPr>
          <w:rFonts w:eastAsia="仿宋_GB2312"/>
          <w:sz w:val="32"/>
          <w:szCs w:val="32"/>
          <w:highlight w:val="none"/>
        </w:rPr>
        <w:t>]GB/T 16886,医疗器械生物学评价系列标准[S].</w:t>
      </w:r>
    </w:p>
    <w:p w14:paraId="1C9FA706">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16</w:t>
      </w:r>
      <w:r>
        <w:rPr>
          <w:rFonts w:eastAsia="仿宋_GB2312"/>
          <w:sz w:val="32"/>
          <w:szCs w:val="32"/>
          <w:highlight w:val="none"/>
        </w:rPr>
        <w:t>]YY 9706.102-2021,医用电气设备 第1-2部分：基本安全和基本性能的通用要求 并列标准：电磁兼容 要求和试验[S].</w:t>
      </w:r>
    </w:p>
    <w:p w14:paraId="422CE472">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17</w:t>
      </w:r>
      <w:r>
        <w:rPr>
          <w:rFonts w:eastAsia="仿宋_GB2312"/>
          <w:sz w:val="32"/>
          <w:szCs w:val="32"/>
          <w:highlight w:val="none"/>
        </w:rPr>
        <w:t>]YY 9706.108-2021,医用电气设备 第1-8部分：基本安全和基本性能的通用要求 并列标准：通用要求，医用电气设备和医用电气系统中报警系统的测试和指南[S].</w:t>
      </w:r>
    </w:p>
    <w:p w14:paraId="2BA68B64">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18</w:t>
      </w:r>
      <w:r>
        <w:rPr>
          <w:rFonts w:eastAsia="仿宋_GB2312"/>
          <w:sz w:val="32"/>
          <w:szCs w:val="32"/>
          <w:highlight w:val="none"/>
        </w:rPr>
        <w:t>]YY/T 1437-2023,医疗器械 GB/T 42062医用指南[S].</w:t>
      </w:r>
    </w:p>
    <w:p w14:paraId="6BB7BBE8">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19</w:t>
      </w:r>
      <w:r>
        <w:rPr>
          <w:rFonts w:eastAsia="仿宋_GB2312"/>
          <w:sz w:val="32"/>
          <w:szCs w:val="32"/>
          <w:highlight w:val="none"/>
        </w:rPr>
        <w:t>]</w:t>
      </w:r>
      <w:r>
        <w:rPr>
          <w:rFonts w:hint="eastAsia" w:eastAsia="仿宋_GB2312"/>
          <w:sz w:val="32"/>
          <w:szCs w:val="32"/>
          <w:highlight w:val="none"/>
        </w:rPr>
        <w:t>YY/T 0952-2022</w:t>
      </w:r>
      <w:r>
        <w:rPr>
          <w:rFonts w:eastAsia="仿宋_GB2312"/>
          <w:sz w:val="32"/>
          <w:szCs w:val="32"/>
          <w:highlight w:val="none"/>
        </w:rPr>
        <w:t>,</w:t>
      </w:r>
      <w:r>
        <w:rPr>
          <w:rFonts w:hint="eastAsia" w:eastAsia="仿宋_GB2312"/>
          <w:sz w:val="32"/>
          <w:szCs w:val="32"/>
          <w:highlight w:val="none"/>
        </w:rPr>
        <w:t>医用控温仪</w:t>
      </w:r>
      <w:r>
        <w:rPr>
          <w:rFonts w:eastAsia="仿宋_GB2312"/>
          <w:sz w:val="32"/>
          <w:szCs w:val="32"/>
          <w:highlight w:val="none"/>
        </w:rPr>
        <w:t>[S].</w:t>
      </w:r>
    </w:p>
    <w:p w14:paraId="0C6D79A7">
      <w:pPr>
        <w:spacing w:line="54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20</w:t>
      </w:r>
      <w:r>
        <w:rPr>
          <w:rFonts w:eastAsia="仿宋_GB2312"/>
          <w:sz w:val="32"/>
          <w:szCs w:val="32"/>
          <w:highlight w:val="none"/>
        </w:rPr>
        <w:t>]ASTM D4169,Standard Practice for Performance Testing of Shipping Containers and Systems[S].</w:t>
      </w:r>
    </w:p>
    <w:p w14:paraId="591335D7">
      <w:pPr>
        <w:spacing w:line="520" w:lineRule="exact"/>
        <w:ind w:firstLine="640" w:firstLineChars="200"/>
        <w:rPr>
          <w:rFonts w:eastAsia="仿宋_GB2312"/>
          <w:sz w:val="32"/>
          <w:szCs w:val="32"/>
          <w:highlight w:val="none"/>
        </w:rPr>
      </w:pPr>
      <w:r>
        <w:rPr>
          <w:rFonts w:eastAsia="仿宋_GB2312"/>
          <w:sz w:val="32"/>
          <w:szCs w:val="32"/>
          <w:highlight w:val="none"/>
        </w:rPr>
        <w:t>[</w:t>
      </w:r>
      <w:r>
        <w:rPr>
          <w:rFonts w:hint="eastAsia" w:eastAsia="仿宋_GB2312"/>
          <w:sz w:val="32"/>
          <w:szCs w:val="32"/>
          <w:highlight w:val="none"/>
        </w:rPr>
        <w:t>21</w:t>
      </w:r>
      <w:r>
        <w:rPr>
          <w:rFonts w:eastAsia="仿宋_GB2312"/>
          <w:sz w:val="32"/>
          <w:szCs w:val="32"/>
          <w:highlight w:val="none"/>
        </w:rPr>
        <w:t>]国家药品监督管理局,</w:t>
      </w:r>
      <w:r>
        <w:rPr>
          <w:rStyle w:val="25"/>
          <w:rFonts w:eastAsia="仿宋_GB2312"/>
          <w:sz w:val="32"/>
          <w:szCs w:val="32"/>
          <w:highlight w:val="none"/>
        </w:rPr>
        <w:t>有源医疗器械使用期限注册技术审查指导原则</w:t>
      </w:r>
      <w:r>
        <w:rPr>
          <w:rFonts w:eastAsia="仿宋_GB2312"/>
          <w:sz w:val="32"/>
          <w:szCs w:val="32"/>
          <w:highlight w:val="none"/>
        </w:rPr>
        <w:t>:国家药监局通告2019年第23号[Z].</w:t>
      </w:r>
    </w:p>
    <w:p w14:paraId="3EA1FBFD">
      <w:pPr>
        <w:pStyle w:val="10"/>
        <w:rPr>
          <w:highlight w:val="none"/>
        </w:rPr>
      </w:pPr>
    </w:p>
    <w:p w14:paraId="6BB683A2">
      <w:pPr>
        <w:widowControl/>
        <w:spacing w:line="520" w:lineRule="exact"/>
        <w:ind w:firstLine="640" w:firstLineChars="200"/>
        <w:jc w:val="left"/>
        <w:rPr>
          <w:rFonts w:ascii="仿宋_GB2312" w:hAnsi="仿宋" w:eastAsia="仿宋_GB2312"/>
          <w:sz w:val="32"/>
          <w:szCs w:val="28"/>
          <w:highlight w:val="none"/>
        </w:rPr>
      </w:pPr>
      <w:bookmarkStart w:id="33" w:name="_Toc17462"/>
      <w:r>
        <w:rPr>
          <w:rFonts w:hint="eastAsia" w:ascii="仿宋_GB2312" w:hAnsi="仿宋" w:eastAsia="仿宋_GB2312"/>
          <w:sz w:val="32"/>
          <w:szCs w:val="28"/>
          <w:highlight w:val="none"/>
        </w:rPr>
        <w:t>附件1：控温仪产品风险要素及示例</w:t>
      </w:r>
      <w:bookmarkEnd w:id="33"/>
    </w:p>
    <w:p w14:paraId="68836533">
      <w:pPr>
        <w:widowControl/>
        <w:spacing w:line="520" w:lineRule="exact"/>
        <w:ind w:firstLine="640" w:firstLineChars="200"/>
        <w:jc w:val="left"/>
        <w:rPr>
          <w:rFonts w:eastAsia="仿宋_GB2312"/>
          <w:sz w:val="32"/>
          <w:szCs w:val="32"/>
          <w:highlight w:val="none"/>
        </w:rPr>
        <w:sectPr>
          <w:footerReference r:id="rId3" w:type="default"/>
          <w:footerReference r:id="rId4" w:type="even"/>
          <w:pgSz w:w="11906" w:h="16838"/>
          <w:pgMar w:top="2098" w:right="1588" w:bottom="2098" w:left="1588" w:header="851" w:footer="992" w:gutter="0"/>
          <w:cols w:space="425" w:num="1"/>
          <w:docGrid w:type="lines" w:linePitch="312" w:charSpace="0"/>
        </w:sectPr>
      </w:pPr>
    </w:p>
    <w:p w14:paraId="4FAA5D63">
      <w:pPr>
        <w:widowControl/>
        <w:spacing w:line="520" w:lineRule="exact"/>
        <w:outlineLvl w:val="0"/>
        <w:rPr>
          <w:rFonts w:eastAsia="黑体"/>
          <w:kern w:val="0"/>
          <w:sz w:val="32"/>
          <w:szCs w:val="32"/>
          <w:highlight w:val="none"/>
        </w:rPr>
      </w:pPr>
      <w:r>
        <w:rPr>
          <w:rFonts w:hint="eastAsia" w:eastAsia="黑体"/>
          <w:kern w:val="0"/>
          <w:sz w:val="32"/>
          <w:szCs w:val="32"/>
          <w:highlight w:val="none"/>
        </w:rPr>
        <w:t>附件1</w:t>
      </w:r>
    </w:p>
    <w:p w14:paraId="706AAA0E">
      <w:pPr>
        <w:spacing w:line="520" w:lineRule="exact"/>
        <w:ind w:right="-67" w:rightChars="-32"/>
        <w:jc w:val="center"/>
        <w:rPr>
          <w:rFonts w:ascii="仿宋_GB2312" w:hAnsi="仿宋_GB2312" w:eastAsia="仿宋_GB2312" w:cs="仿宋_GB2312"/>
          <w:b/>
          <w:sz w:val="32"/>
          <w:szCs w:val="32"/>
          <w:highlight w:val="none"/>
        </w:rPr>
      </w:pPr>
      <w:bookmarkStart w:id="34" w:name="_Toc27564"/>
      <w:bookmarkStart w:id="35" w:name="_Toc29269"/>
      <w:r>
        <w:rPr>
          <w:rFonts w:hint="eastAsia" w:ascii="仿宋_GB2312" w:hAnsi="仿宋_GB2312" w:eastAsia="仿宋_GB2312" w:cs="仿宋_GB2312"/>
          <w:b/>
          <w:sz w:val="32"/>
          <w:szCs w:val="32"/>
          <w:highlight w:val="none"/>
        </w:rPr>
        <w:t>控温仪产品风险要素及示例</w:t>
      </w:r>
      <w:bookmarkEnd w:id="34"/>
      <w:bookmarkEnd w:id="35"/>
    </w:p>
    <w:p w14:paraId="3AF56D09">
      <w:pPr>
        <w:spacing w:before="156" w:beforeLines="50" w:after="156" w:afterLines="50" w:line="520" w:lineRule="exact"/>
        <w:jc w:val="center"/>
        <w:rPr>
          <w:rStyle w:val="25"/>
          <w:rFonts w:ascii="仿宋_GB2312" w:hAnsi="仿宋_GB2312" w:eastAsia="仿宋_GB2312" w:cs="仿宋_GB2312"/>
          <w:sz w:val="28"/>
          <w:szCs w:val="28"/>
          <w:highlight w:val="none"/>
        </w:rPr>
      </w:pPr>
      <w:bookmarkStart w:id="36" w:name="_Toc31855"/>
      <w:bookmarkStart w:id="37" w:name="_Toc12314"/>
      <w:r>
        <w:rPr>
          <w:rStyle w:val="25"/>
          <w:rFonts w:hint="eastAsia" w:ascii="仿宋_GB2312" w:hAnsi="仿宋_GB2312" w:eastAsia="仿宋_GB2312" w:cs="仿宋_GB2312"/>
          <w:sz w:val="28"/>
          <w:szCs w:val="28"/>
          <w:highlight w:val="none"/>
        </w:rPr>
        <w:t xml:space="preserve">表1 </w:t>
      </w:r>
      <w:bookmarkEnd w:id="36"/>
      <w:bookmarkEnd w:id="37"/>
      <w:r>
        <w:rPr>
          <w:rStyle w:val="25"/>
          <w:rFonts w:hint="eastAsia" w:ascii="仿宋_GB2312" w:hAnsi="仿宋_GB2312" w:eastAsia="仿宋_GB2312" w:cs="仿宋_GB2312"/>
          <w:sz w:val="28"/>
          <w:szCs w:val="28"/>
          <w:highlight w:val="none"/>
        </w:rPr>
        <w:t>危险、可预见的事件序列、危险情况和可发生的伤害之间的关系</w:t>
      </w:r>
    </w:p>
    <w:tbl>
      <w:tblPr>
        <w:tblStyle w:val="12"/>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326"/>
        <w:gridCol w:w="2832"/>
        <w:gridCol w:w="1773"/>
      </w:tblGrid>
      <w:tr w14:paraId="0F929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blHeader/>
        </w:trPr>
        <w:tc>
          <w:tcPr>
            <w:tcW w:w="1129" w:type="dxa"/>
            <w:vAlign w:val="center"/>
          </w:tcPr>
          <w:p w14:paraId="376FC2C5">
            <w:pPr>
              <w:spacing w:line="400" w:lineRule="exact"/>
              <w:jc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危害</w:t>
            </w:r>
          </w:p>
        </w:tc>
        <w:tc>
          <w:tcPr>
            <w:tcW w:w="3326" w:type="dxa"/>
            <w:vAlign w:val="center"/>
          </w:tcPr>
          <w:p w14:paraId="4BC73263">
            <w:pPr>
              <w:spacing w:line="400" w:lineRule="exact"/>
              <w:jc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可预见的事件序列</w:t>
            </w:r>
          </w:p>
        </w:tc>
        <w:tc>
          <w:tcPr>
            <w:tcW w:w="2832" w:type="dxa"/>
            <w:vAlign w:val="center"/>
          </w:tcPr>
          <w:p w14:paraId="1CAD1EF9">
            <w:pPr>
              <w:spacing w:line="400" w:lineRule="exact"/>
              <w:jc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危害处境</w:t>
            </w:r>
          </w:p>
        </w:tc>
        <w:tc>
          <w:tcPr>
            <w:tcW w:w="1773" w:type="dxa"/>
            <w:vAlign w:val="center"/>
          </w:tcPr>
          <w:p w14:paraId="687A41AC">
            <w:pPr>
              <w:spacing w:line="400" w:lineRule="exact"/>
              <w:jc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损害</w:t>
            </w:r>
          </w:p>
        </w:tc>
      </w:tr>
      <w:tr w14:paraId="026E1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77D448D0">
            <w:pPr>
              <w:spacing w:line="400" w:lineRule="exact"/>
              <w:jc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电能</w:t>
            </w:r>
          </w:p>
        </w:tc>
        <w:tc>
          <w:tcPr>
            <w:tcW w:w="3326" w:type="dxa"/>
            <w:vAlign w:val="center"/>
          </w:tcPr>
          <w:p w14:paraId="3E03E753">
            <w:pPr>
              <w:adjustRightInd w:val="0"/>
              <w:spacing w:line="400" w:lineRule="exact"/>
              <w:jc w:val="left"/>
              <w:rPr>
                <w:rFonts w:ascii="仿宋_GB2312" w:hAnsi="仿宋_GB2312" w:eastAsia="仿宋_GB2312" w:cs="仿宋_GB2312"/>
                <w:sz w:val="28"/>
                <w:szCs w:val="28"/>
                <w:highlight w:val="none"/>
              </w:rPr>
            </w:pPr>
            <w:r>
              <w:rPr>
                <w:rFonts w:eastAsia="仿宋_GB2312"/>
                <w:color w:val="000000" w:themeColor="text1"/>
                <w:sz w:val="28"/>
                <w:szCs w:val="28"/>
                <w:highlight w:val="none"/>
                <w14:textFill>
                  <w14:solidFill>
                    <w14:schemeClr w14:val="tx1"/>
                  </w14:solidFill>
                </w14:textFill>
              </w:rPr>
              <w:t>绝缘/隔离效果不符合要求</w:t>
            </w:r>
          </w:p>
        </w:tc>
        <w:tc>
          <w:tcPr>
            <w:tcW w:w="2832" w:type="dxa"/>
            <w:vAlign w:val="center"/>
          </w:tcPr>
          <w:p w14:paraId="5BC45902">
            <w:pPr>
              <w:adjustRightInd w:val="0"/>
              <w:spacing w:line="400" w:lineRule="exact"/>
              <w:jc w:val="left"/>
              <w:rPr>
                <w:rFonts w:ascii="仿宋_GB2312" w:hAnsi="仿宋_GB2312" w:eastAsia="仿宋_GB2312" w:cs="仿宋_GB2312"/>
                <w:sz w:val="28"/>
                <w:szCs w:val="28"/>
                <w:highlight w:val="none"/>
              </w:rPr>
            </w:pPr>
            <w:r>
              <w:rPr>
                <w:rFonts w:eastAsia="仿宋_GB2312"/>
                <w:color w:val="000000" w:themeColor="text1"/>
                <w:sz w:val="28"/>
                <w:szCs w:val="28"/>
                <w:highlight w:val="none"/>
                <w14:textFill>
                  <w14:solidFill>
                    <w14:schemeClr w14:val="tx1"/>
                  </w14:solidFill>
                </w14:textFill>
              </w:rPr>
              <w:t>过量的漏电流</w:t>
            </w:r>
          </w:p>
        </w:tc>
        <w:tc>
          <w:tcPr>
            <w:tcW w:w="1773" w:type="dxa"/>
            <w:vAlign w:val="center"/>
          </w:tcPr>
          <w:p w14:paraId="77C50EC5">
            <w:pPr>
              <w:spacing w:line="400" w:lineRule="exact"/>
              <w:jc w:val="left"/>
              <w:rPr>
                <w:rFonts w:ascii="仿宋_GB2312" w:hAnsi="仿宋_GB2312" w:eastAsia="仿宋_GB2312" w:cs="仿宋_GB2312"/>
                <w:sz w:val="28"/>
                <w:szCs w:val="28"/>
                <w:highlight w:val="none"/>
              </w:rPr>
            </w:pPr>
            <w:r>
              <w:rPr>
                <w:rFonts w:eastAsia="仿宋_GB2312"/>
                <w:color w:val="000000" w:themeColor="text1"/>
                <w:sz w:val="28"/>
                <w:szCs w:val="28"/>
                <w:highlight w:val="none"/>
                <w14:textFill>
                  <w14:solidFill>
                    <w14:schemeClr w14:val="tx1"/>
                  </w14:solidFill>
                </w14:textFill>
              </w:rPr>
              <w:t>导致对人身电击伤害</w:t>
            </w:r>
          </w:p>
        </w:tc>
      </w:tr>
      <w:tr w14:paraId="125E7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54C1D117">
            <w:pPr>
              <w:spacing w:line="400" w:lineRule="exact"/>
              <w:jc w:val="center"/>
              <w:rPr>
                <w:rFonts w:hint="eastAsia" w:ascii="仿宋_GB2312" w:hAnsi="仿宋_GB2312" w:eastAsia="仿宋_GB2312" w:cs="仿宋_GB2312"/>
                <w:sz w:val="28"/>
                <w:szCs w:val="28"/>
                <w:highlight w:val="none"/>
              </w:rPr>
            </w:pPr>
            <w:r>
              <w:rPr>
                <w:rFonts w:eastAsia="仿宋_GB2312"/>
                <w:color w:val="000000"/>
                <w:sz w:val="28"/>
                <w:szCs w:val="28"/>
                <w:highlight w:val="none"/>
              </w:rPr>
              <w:t>电磁场</w:t>
            </w:r>
          </w:p>
        </w:tc>
        <w:tc>
          <w:tcPr>
            <w:tcW w:w="3326" w:type="dxa"/>
            <w:vAlign w:val="center"/>
          </w:tcPr>
          <w:p w14:paraId="6209A0AC">
            <w:pPr>
              <w:adjustRightInd w:val="0"/>
              <w:spacing w:line="400" w:lineRule="exact"/>
              <w:jc w:val="left"/>
              <w:rPr>
                <w:rFonts w:eastAsia="仿宋_GB2312"/>
                <w:color w:val="000000" w:themeColor="text1"/>
                <w:sz w:val="28"/>
                <w:szCs w:val="28"/>
                <w:highlight w:val="none"/>
                <w14:textFill>
                  <w14:solidFill>
                    <w14:schemeClr w14:val="tx1"/>
                  </w14:solidFill>
                </w14:textFill>
              </w:rPr>
            </w:pPr>
            <w:r>
              <w:rPr>
                <w:rFonts w:eastAsia="仿宋_GB2312"/>
                <w:color w:val="000000"/>
                <w:sz w:val="28"/>
                <w:szCs w:val="28"/>
                <w:highlight w:val="none"/>
              </w:rPr>
              <w:t>电磁场抗干扰能力不足；电磁辐射发射过大等。</w:t>
            </w:r>
          </w:p>
        </w:tc>
        <w:tc>
          <w:tcPr>
            <w:tcW w:w="2832" w:type="dxa"/>
            <w:vAlign w:val="center"/>
          </w:tcPr>
          <w:p w14:paraId="42F8FCB6">
            <w:pPr>
              <w:pStyle w:val="21"/>
              <w:numPr>
                <w:ilvl w:val="0"/>
                <w:numId w:val="0"/>
              </w:numPr>
              <w:spacing w:line="400" w:lineRule="exact"/>
              <w:rPr>
                <w:rFonts w:hint="eastAsia" w:eastAsia="仿宋_GB2312"/>
                <w:sz w:val="28"/>
                <w:szCs w:val="28"/>
                <w:highlight w:val="none"/>
                <w:lang w:eastAsia="zh-CN"/>
              </w:rPr>
            </w:pPr>
            <w:r>
              <w:rPr>
                <w:rFonts w:hint="eastAsia" w:eastAsia="仿宋_GB2312"/>
                <w:sz w:val="28"/>
                <w:szCs w:val="28"/>
                <w:highlight w:val="none"/>
                <w:lang w:eastAsia="zh-CN"/>
              </w:rPr>
              <w:t>产品不能正常工作；</w:t>
            </w:r>
          </w:p>
          <w:p w14:paraId="7D798019">
            <w:pPr>
              <w:pStyle w:val="21"/>
              <w:numPr>
                <w:ilvl w:val="0"/>
                <w:numId w:val="0"/>
              </w:numPr>
              <w:spacing w:line="400" w:lineRule="exact"/>
              <w:rPr>
                <w:rFonts w:eastAsia="仿宋_GB2312"/>
                <w:color w:val="000000" w:themeColor="text1"/>
                <w:sz w:val="28"/>
                <w:szCs w:val="28"/>
                <w:highlight w:val="none"/>
                <w14:textFill>
                  <w14:solidFill>
                    <w14:schemeClr w14:val="tx1"/>
                  </w14:solidFill>
                </w14:textFill>
              </w:rPr>
            </w:pPr>
            <w:r>
              <w:rPr>
                <w:rFonts w:eastAsia="仿宋_GB2312"/>
                <w:sz w:val="28"/>
                <w:szCs w:val="28"/>
                <w:highlight w:val="none"/>
              </w:rPr>
              <w:t>增加非预期辐射发射风险</w:t>
            </w:r>
          </w:p>
        </w:tc>
        <w:tc>
          <w:tcPr>
            <w:tcW w:w="1773" w:type="dxa"/>
            <w:vAlign w:val="center"/>
          </w:tcPr>
          <w:p w14:paraId="6663B093">
            <w:pPr>
              <w:spacing w:line="400" w:lineRule="exact"/>
              <w:jc w:val="left"/>
              <w:rPr>
                <w:rFonts w:hint="eastAsia" w:eastAsia="仿宋_GB2312"/>
                <w:color w:val="000000" w:themeColor="text1"/>
                <w:sz w:val="28"/>
                <w:szCs w:val="28"/>
                <w:highlight w:val="none"/>
                <w:lang w:eastAsia="zh-CN"/>
                <w14:textFill>
                  <w14:solidFill>
                    <w14:schemeClr w14:val="tx1"/>
                  </w14:solidFill>
                </w14:textFill>
              </w:rPr>
            </w:pPr>
            <w:r>
              <w:rPr>
                <w:rFonts w:hint="eastAsia" w:eastAsia="仿宋_GB2312"/>
                <w:color w:val="000000" w:themeColor="text1"/>
                <w:sz w:val="28"/>
                <w:szCs w:val="28"/>
                <w:highlight w:val="none"/>
                <w:lang w:eastAsia="zh-CN"/>
                <w14:textFill>
                  <w14:solidFill>
                    <w14:schemeClr w14:val="tx1"/>
                  </w14:solidFill>
                </w14:textFill>
              </w:rPr>
              <w:t>延误使用</w:t>
            </w:r>
          </w:p>
        </w:tc>
      </w:tr>
      <w:tr w14:paraId="12DEF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1129" w:type="dxa"/>
            <w:vAlign w:val="center"/>
          </w:tcPr>
          <w:p w14:paraId="16CE888E">
            <w:pPr>
              <w:spacing w:line="400" w:lineRule="exact"/>
              <w:jc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热能</w:t>
            </w:r>
          </w:p>
        </w:tc>
        <w:tc>
          <w:tcPr>
            <w:tcW w:w="3326" w:type="dxa"/>
            <w:vAlign w:val="center"/>
          </w:tcPr>
          <w:p w14:paraId="47CF9027">
            <w:pPr>
              <w:adjustRightInd w:val="0"/>
              <w:spacing w:line="400" w:lineRule="exact"/>
              <w:jc w:val="left"/>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未安装超温保护、传感器故障保护提示等装置</w:t>
            </w:r>
            <w:r>
              <w:rPr>
                <w:rFonts w:hint="eastAsia" w:eastAsia="仿宋_GB2312"/>
                <w:color w:val="000000" w:themeColor="text1"/>
                <w:sz w:val="28"/>
                <w:szCs w:val="28"/>
                <w:highlight w:val="none"/>
                <w14:textFill>
                  <w14:solidFill>
                    <w14:schemeClr w14:val="tx1"/>
                  </w14:solidFill>
                </w14:textFill>
              </w:rPr>
              <w:t>，设备加热或制冷功能失常</w:t>
            </w:r>
          </w:p>
        </w:tc>
        <w:tc>
          <w:tcPr>
            <w:tcW w:w="2832" w:type="dxa"/>
            <w:vAlign w:val="center"/>
          </w:tcPr>
          <w:p w14:paraId="315A6847">
            <w:pPr>
              <w:adjustRightInd w:val="0"/>
              <w:spacing w:line="400" w:lineRule="exact"/>
              <w:jc w:val="left"/>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导致过高或过低温度输出</w:t>
            </w:r>
          </w:p>
        </w:tc>
        <w:tc>
          <w:tcPr>
            <w:tcW w:w="1773" w:type="dxa"/>
            <w:vAlign w:val="center"/>
          </w:tcPr>
          <w:p w14:paraId="5F697EC7">
            <w:pPr>
              <w:adjustRightInd w:val="0"/>
              <w:spacing w:line="400" w:lineRule="exact"/>
              <w:jc w:val="left"/>
              <w:rPr>
                <w:rFonts w:eastAsia="仿宋_GB2312"/>
                <w:color w:val="000000" w:themeColor="text1"/>
                <w:sz w:val="28"/>
                <w:szCs w:val="28"/>
                <w:highlight w:val="none"/>
                <w14:textFill>
                  <w14:solidFill>
                    <w14:schemeClr w14:val="tx1"/>
                  </w14:solidFill>
                </w14:textFill>
              </w:rPr>
            </w:pPr>
            <w:r>
              <w:rPr>
                <w:rFonts w:eastAsia="仿宋_GB2312"/>
                <w:color w:val="000000" w:themeColor="text1"/>
                <w:sz w:val="28"/>
                <w:szCs w:val="28"/>
                <w:highlight w:val="none"/>
                <w14:textFill>
                  <w14:solidFill>
                    <w14:schemeClr w14:val="tx1"/>
                  </w14:solidFill>
                </w14:textFill>
              </w:rPr>
              <w:t>患者烫伤或冻伤</w:t>
            </w:r>
          </w:p>
        </w:tc>
      </w:tr>
      <w:tr w14:paraId="75095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129" w:type="dxa"/>
            <w:vMerge w:val="restart"/>
            <w:shd w:val="clear" w:color="auto" w:fill="auto"/>
            <w:vAlign w:val="center"/>
          </w:tcPr>
          <w:p w14:paraId="698F3370">
            <w:pPr>
              <w:spacing w:line="400" w:lineRule="exact"/>
              <w:jc w:val="center"/>
              <w:rPr>
                <w:rFonts w:eastAsia="仿宋_GB2312"/>
                <w:sz w:val="28"/>
                <w:szCs w:val="28"/>
                <w:highlight w:val="none"/>
              </w:rPr>
            </w:pPr>
            <w:r>
              <w:rPr>
                <w:rFonts w:eastAsia="仿宋_GB2312"/>
                <w:sz w:val="28"/>
                <w:szCs w:val="28"/>
                <w:highlight w:val="none"/>
              </w:rPr>
              <w:t>生物学危害</w:t>
            </w:r>
          </w:p>
          <w:p w14:paraId="3EEF22A7">
            <w:pPr>
              <w:spacing w:line="400" w:lineRule="exact"/>
              <w:rPr>
                <w:rFonts w:ascii="仿宋_GB2312" w:hAnsi="仿宋_GB2312" w:eastAsia="仿宋_GB2312" w:cs="仿宋_GB2312"/>
                <w:sz w:val="28"/>
                <w:szCs w:val="28"/>
                <w:highlight w:val="none"/>
              </w:rPr>
            </w:pPr>
          </w:p>
        </w:tc>
        <w:tc>
          <w:tcPr>
            <w:tcW w:w="3326" w:type="dxa"/>
            <w:shd w:val="clear" w:color="auto" w:fill="auto"/>
            <w:vAlign w:val="center"/>
          </w:tcPr>
          <w:p w14:paraId="76D32B43">
            <w:pPr>
              <w:spacing w:line="400" w:lineRule="exact"/>
              <w:jc w:val="left"/>
              <w:rPr>
                <w:rFonts w:eastAsia="仿宋_GB2312"/>
                <w:sz w:val="28"/>
                <w:szCs w:val="28"/>
                <w:highlight w:val="none"/>
              </w:rPr>
            </w:pPr>
            <w:r>
              <w:rPr>
                <w:rFonts w:eastAsia="仿宋_GB2312"/>
                <w:sz w:val="28"/>
                <w:szCs w:val="28"/>
                <w:highlight w:val="none"/>
              </w:rPr>
              <w:t>生物污染</w:t>
            </w:r>
          </w:p>
        </w:tc>
        <w:tc>
          <w:tcPr>
            <w:tcW w:w="2832" w:type="dxa"/>
            <w:shd w:val="clear" w:color="auto" w:fill="auto"/>
            <w:vAlign w:val="center"/>
          </w:tcPr>
          <w:p w14:paraId="0477C121">
            <w:pPr>
              <w:spacing w:line="400" w:lineRule="exact"/>
              <w:jc w:val="left"/>
              <w:rPr>
                <w:rFonts w:eastAsia="仿宋_GB2312"/>
                <w:sz w:val="28"/>
                <w:szCs w:val="28"/>
                <w:highlight w:val="none"/>
              </w:rPr>
            </w:pPr>
            <w:r>
              <w:rPr>
                <w:rFonts w:eastAsia="仿宋_GB2312"/>
                <w:sz w:val="28"/>
                <w:szCs w:val="28"/>
                <w:highlight w:val="none"/>
              </w:rPr>
              <w:t>清洁、消毒执行不恰当</w:t>
            </w:r>
          </w:p>
        </w:tc>
        <w:tc>
          <w:tcPr>
            <w:tcW w:w="1773" w:type="dxa"/>
            <w:shd w:val="clear" w:color="auto" w:fill="auto"/>
            <w:vAlign w:val="center"/>
          </w:tcPr>
          <w:p w14:paraId="5212C034">
            <w:pPr>
              <w:spacing w:line="400" w:lineRule="exact"/>
              <w:jc w:val="left"/>
              <w:rPr>
                <w:rFonts w:eastAsia="仿宋_GB2312"/>
                <w:sz w:val="28"/>
                <w:szCs w:val="28"/>
                <w:highlight w:val="none"/>
              </w:rPr>
            </w:pPr>
            <w:r>
              <w:rPr>
                <w:rFonts w:eastAsia="仿宋_GB2312"/>
                <w:sz w:val="28"/>
                <w:szCs w:val="28"/>
                <w:highlight w:val="none"/>
              </w:rPr>
              <w:t>引起患者交叉感染</w:t>
            </w:r>
          </w:p>
        </w:tc>
      </w:tr>
      <w:tr w14:paraId="0E928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1129" w:type="dxa"/>
            <w:vMerge w:val="continue"/>
            <w:vAlign w:val="center"/>
          </w:tcPr>
          <w:p w14:paraId="1D0F0FAB">
            <w:pPr>
              <w:spacing w:line="400" w:lineRule="exact"/>
              <w:rPr>
                <w:rFonts w:ascii="仿宋_GB2312" w:hAnsi="仿宋_GB2312" w:eastAsia="仿宋_GB2312" w:cs="仿宋_GB2312"/>
                <w:sz w:val="28"/>
                <w:szCs w:val="28"/>
                <w:highlight w:val="none"/>
              </w:rPr>
            </w:pPr>
          </w:p>
        </w:tc>
        <w:tc>
          <w:tcPr>
            <w:tcW w:w="3326" w:type="dxa"/>
            <w:shd w:val="clear" w:color="auto" w:fill="auto"/>
            <w:vAlign w:val="center"/>
          </w:tcPr>
          <w:p w14:paraId="4431ADAC">
            <w:pPr>
              <w:spacing w:line="400" w:lineRule="exact"/>
              <w:jc w:val="left"/>
              <w:rPr>
                <w:rFonts w:eastAsia="仿宋_GB2312"/>
                <w:sz w:val="32"/>
                <w:szCs w:val="32"/>
                <w:highlight w:val="none"/>
              </w:rPr>
            </w:pPr>
            <w:r>
              <w:rPr>
                <w:rFonts w:eastAsia="仿宋_GB2312"/>
                <w:sz w:val="28"/>
                <w:szCs w:val="28"/>
                <w:highlight w:val="none"/>
              </w:rPr>
              <w:t>生物相容性</w:t>
            </w:r>
          </w:p>
        </w:tc>
        <w:tc>
          <w:tcPr>
            <w:tcW w:w="2832" w:type="dxa"/>
            <w:shd w:val="clear" w:color="auto" w:fill="auto"/>
            <w:vAlign w:val="center"/>
          </w:tcPr>
          <w:p w14:paraId="79F153D3">
            <w:pPr>
              <w:spacing w:line="400" w:lineRule="exact"/>
              <w:jc w:val="left"/>
              <w:rPr>
                <w:rFonts w:eastAsia="仿宋_GB2312"/>
                <w:sz w:val="32"/>
                <w:szCs w:val="32"/>
                <w:highlight w:val="none"/>
              </w:rPr>
            </w:pPr>
            <w:r>
              <w:rPr>
                <w:rFonts w:eastAsia="仿宋_GB2312"/>
                <w:sz w:val="28"/>
                <w:szCs w:val="28"/>
                <w:highlight w:val="none"/>
              </w:rPr>
              <w:t>与患者皮肤接触</w:t>
            </w:r>
            <w:r>
              <w:rPr>
                <w:rFonts w:hint="eastAsia" w:eastAsia="仿宋_GB2312"/>
                <w:sz w:val="28"/>
                <w:szCs w:val="28"/>
                <w:highlight w:val="none"/>
              </w:rPr>
              <w:t>部分所用</w:t>
            </w:r>
            <w:r>
              <w:rPr>
                <w:rFonts w:eastAsia="仿宋_GB2312"/>
                <w:sz w:val="28"/>
                <w:szCs w:val="28"/>
                <w:highlight w:val="none"/>
              </w:rPr>
              <w:t>材料</w:t>
            </w:r>
            <w:r>
              <w:rPr>
                <w:rFonts w:hint="eastAsia" w:eastAsia="仿宋_GB2312"/>
                <w:sz w:val="28"/>
                <w:szCs w:val="28"/>
                <w:highlight w:val="none"/>
              </w:rPr>
              <w:t>不符合</w:t>
            </w:r>
            <w:r>
              <w:rPr>
                <w:rFonts w:eastAsia="仿宋_GB2312"/>
                <w:sz w:val="28"/>
                <w:szCs w:val="28"/>
                <w:highlight w:val="none"/>
              </w:rPr>
              <w:t>生物相容性</w:t>
            </w:r>
            <w:r>
              <w:rPr>
                <w:rFonts w:hint="eastAsia" w:eastAsia="仿宋_GB2312"/>
                <w:sz w:val="28"/>
                <w:szCs w:val="28"/>
                <w:highlight w:val="none"/>
              </w:rPr>
              <w:t>相应要求。</w:t>
            </w:r>
          </w:p>
        </w:tc>
        <w:tc>
          <w:tcPr>
            <w:tcW w:w="1773" w:type="dxa"/>
            <w:shd w:val="clear" w:color="auto" w:fill="auto"/>
            <w:vAlign w:val="center"/>
          </w:tcPr>
          <w:p w14:paraId="3BA73772">
            <w:pPr>
              <w:spacing w:line="400" w:lineRule="exact"/>
              <w:jc w:val="left"/>
              <w:rPr>
                <w:rFonts w:eastAsia="仿宋_GB2312"/>
                <w:sz w:val="28"/>
                <w:szCs w:val="28"/>
                <w:highlight w:val="none"/>
              </w:rPr>
            </w:pPr>
            <w:r>
              <w:rPr>
                <w:rFonts w:hint="eastAsia" w:eastAsia="仿宋_GB2312"/>
                <w:sz w:val="28"/>
                <w:szCs w:val="28"/>
                <w:highlight w:val="none"/>
              </w:rPr>
              <w:t>引起患者过敏等</w:t>
            </w:r>
          </w:p>
        </w:tc>
      </w:tr>
      <w:tr w14:paraId="0D73A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restart"/>
            <w:vAlign w:val="center"/>
          </w:tcPr>
          <w:p w14:paraId="0BD16FD1">
            <w:pPr>
              <w:spacing w:line="400" w:lineRule="exact"/>
              <w:jc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信息危害</w:t>
            </w:r>
          </w:p>
        </w:tc>
        <w:tc>
          <w:tcPr>
            <w:tcW w:w="3326" w:type="dxa"/>
            <w:shd w:val="clear" w:color="auto" w:fill="auto"/>
            <w:vAlign w:val="center"/>
          </w:tcPr>
          <w:p w14:paraId="34A241FE">
            <w:pPr>
              <w:spacing w:line="400" w:lineRule="exact"/>
              <w:jc w:val="left"/>
              <w:rPr>
                <w:rFonts w:eastAsia="仿宋_GB2312"/>
                <w:sz w:val="28"/>
                <w:szCs w:val="28"/>
                <w:highlight w:val="none"/>
              </w:rPr>
            </w:pPr>
            <w:r>
              <w:rPr>
                <w:rFonts w:hint="eastAsia" w:eastAsia="仿宋_GB2312"/>
                <w:color w:val="000000" w:themeColor="text1"/>
                <w:sz w:val="28"/>
                <w:szCs w:val="28"/>
                <w:highlight w:val="none"/>
                <w14:textFill>
                  <w14:solidFill>
                    <w14:schemeClr w14:val="tx1"/>
                  </w14:solidFill>
                </w14:textFill>
              </w:rPr>
              <w:t>标记缺失，不明显，不规范</w:t>
            </w:r>
          </w:p>
        </w:tc>
        <w:tc>
          <w:tcPr>
            <w:tcW w:w="2832" w:type="dxa"/>
            <w:shd w:val="clear" w:color="auto" w:fill="auto"/>
            <w:vAlign w:val="center"/>
          </w:tcPr>
          <w:p w14:paraId="5515B062">
            <w:pPr>
              <w:spacing w:line="400" w:lineRule="exact"/>
              <w:jc w:val="left"/>
              <w:rPr>
                <w:rFonts w:eastAsia="仿宋_GB2312"/>
                <w:sz w:val="28"/>
                <w:szCs w:val="28"/>
                <w:highlight w:val="none"/>
              </w:rPr>
            </w:pPr>
            <w:r>
              <w:rPr>
                <w:rFonts w:eastAsia="仿宋_GB2312"/>
                <w:sz w:val="28"/>
                <w:szCs w:val="28"/>
                <w:highlight w:val="none"/>
              </w:rPr>
              <w:t>不能正确操作</w:t>
            </w:r>
          </w:p>
        </w:tc>
        <w:tc>
          <w:tcPr>
            <w:tcW w:w="1773" w:type="dxa"/>
            <w:vAlign w:val="center"/>
          </w:tcPr>
          <w:p w14:paraId="5473B0EB">
            <w:pPr>
              <w:spacing w:line="400" w:lineRule="exact"/>
              <w:jc w:val="left"/>
              <w:rPr>
                <w:rFonts w:eastAsia="仿宋_GB2312"/>
                <w:sz w:val="28"/>
                <w:szCs w:val="28"/>
                <w:highlight w:val="none"/>
              </w:rPr>
            </w:pPr>
            <w:r>
              <w:rPr>
                <w:rFonts w:eastAsia="仿宋_GB2312"/>
                <w:sz w:val="28"/>
                <w:szCs w:val="28"/>
                <w:highlight w:val="none"/>
              </w:rPr>
              <w:t>延误使用</w:t>
            </w:r>
          </w:p>
        </w:tc>
      </w:tr>
      <w:tr w14:paraId="113AE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Merge w:val="continue"/>
            <w:vAlign w:val="center"/>
          </w:tcPr>
          <w:p w14:paraId="56A70CEE">
            <w:pPr>
              <w:spacing w:line="400" w:lineRule="exact"/>
              <w:rPr>
                <w:rFonts w:ascii="仿宋_GB2312" w:hAnsi="仿宋_GB2312" w:eastAsia="仿宋_GB2312" w:cs="仿宋_GB2312"/>
                <w:sz w:val="28"/>
                <w:szCs w:val="28"/>
                <w:highlight w:val="none"/>
              </w:rPr>
            </w:pPr>
          </w:p>
        </w:tc>
        <w:tc>
          <w:tcPr>
            <w:tcW w:w="3326" w:type="dxa"/>
            <w:shd w:val="clear" w:color="auto" w:fill="auto"/>
            <w:vAlign w:val="center"/>
          </w:tcPr>
          <w:p w14:paraId="59983BB2">
            <w:pPr>
              <w:spacing w:line="400" w:lineRule="exact"/>
              <w:jc w:val="left"/>
              <w:rPr>
                <w:rFonts w:eastAsia="仿宋_GB2312"/>
                <w:sz w:val="28"/>
                <w:szCs w:val="28"/>
                <w:highlight w:val="none"/>
              </w:rPr>
            </w:pPr>
            <w:r>
              <w:rPr>
                <w:rFonts w:eastAsia="仿宋_GB2312"/>
                <w:sz w:val="28"/>
                <w:szCs w:val="28"/>
                <w:highlight w:val="none"/>
              </w:rPr>
              <w:t>说明书中对产品性能特征、预期用途、使用限制等描述不规范、不完整</w:t>
            </w:r>
          </w:p>
        </w:tc>
        <w:tc>
          <w:tcPr>
            <w:tcW w:w="2832" w:type="dxa"/>
            <w:shd w:val="clear" w:color="auto" w:fill="auto"/>
            <w:vAlign w:val="center"/>
          </w:tcPr>
          <w:p w14:paraId="046C7532">
            <w:pPr>
              <w:spacing w:line="400" w:lineRule="exact"/>
              <w:jc w:val="left"/>
              <w:rPr>
                <w:rFonts w:eastAsia="仿宋_GB2312"/>
                <w:sz w:val="28"/>
                <w:szCs w:val="28"/>
                <w:highlight w:val="none"/>
              </w:rPr>
            </w:pPr>
            <w:r>
              <w:rPr>
                <w:rFonts w:eastAsia="仿宋_GB2312"/>
                <w:sz w:val="28"/>
                <w:szCs w:val="28"/>
                <w:highlight w:val="none"/>
              </w:rPr>
              <w:t>不能正确操作</w:t>
            </w:r>
            <w:r>
              <w:rPr>
                <w:rFonts w:hint="eastAsia" w:eastAsia="仿宋_GB2312"/>
                <w:sz w:val="28"/>
                <w:szCs w:val="28"/>
                <w:highlight w:val="none"/>
              </w:rPr>
              <w:t>，</w:t>
            </w:r>
            <w:r>
              <w:rPr>
                <w:rFonts w:eastAsia="仿宋_GB2312"/>
                <w:sz w:val="28"/>
                <w:szCs w:val="28"/>
                <w:highlight w:val="none"/>
              </w:rPr>
              <w:t>产品非</w:t>
            </w:r>
            <w:r>
              <w:rPr>
                <w:rFonts w:hint="eastAsia" w:eastAsia="仿宋_GB2312"/>
                <w:sz w:val="28"/>
                <w:szCs w:val="28"/>
                <w:highlight w:val="none"/>
              </w:rPr>
              <w:t>预期</w:t>
            </w:r>
            <w:r>
              <w:rPr>
                <w:rFonts w:eastAsia="仿宋_GB2312"/>
                <w:sz w:val="28"/>
                <w:szCs w:val="28"/>
                <w:highlight w:val="none"/>
              </w:rPr>
              <w:t>使用</w:t>
            </w:r>
          </w:p>
        </w:tc>
        <w:tc>
          <w:tcPr>
            <w:tcW w:w="1773" w:type="dxa"/>
            <w:vAlign w:val="center"/>
          </w:tcPr>
          <w:p w14:paraId="5E766853">
            <w:pPr>
              <w:spacing w:line="400" w:lineRule="exact"/>
              <w:jc w:val="left"/>
              <w:rPr>
                <w:rFonts w:eastAsia="仿宋_GB2312"/>
                <w:sz w:val="28"/>
                <w:szCs w:val="28"/>
                <w:highlight w:val="none"/>
              </w:rPr>
            </w:pPr>
            <w:r>
              <w:rPr>
                <w:rFonts w:eastAsia="仿宋_GB2312"/>
                <w:sz w:val="28"/>
                <w:szCs w:val="28"/>
                <w:highlight w:val="none"/>
              </w:rPr>
              <w:t>延误使用</w:t>
            </w:r>
          </w:p>
        </w:tc>
      </w:tr>
      <w:tr w14:paraId="5C841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5A48E7FC">
            <w:pPr>
              <w:spacing w:line="520" w:lineRule="exact"/>
              <w:jc w:val="center"/>
              <w:rPr>
                <w:rFonts w:eastAsia="仿宋_GB2312"/>
                <w:sz w:val="32"/>
                <w:szCs w:val="32"/>
                <w:highlight w:val="none"/>
              </w:rPr>
            </w:pPr>
            <w:r>
              <w:rPr>
                <w:rFonts w:eastAsia="仿宋_GB2312"/>
                <w:sz w:val="28"/>
                <w:szCs w:val="28"/>
                <w:highlight w:val="none"/>
              </w:rPr>
              <w:t>操作危害</w:t>
            </w:r>
          </w:p>
        </w:tc>
        <w:tc>
          <w:tcPr>
            <w:tcW w:w="3326" w:type="dxa"/>
            <w:shd w:val="clear" w:color="auto" w:fill="auto"/>
            <w:vAlign w:val="center"/>
          </w:tcPr>
          <w:p w14:paraId="35EF939E">
            <w:pPr>
              <w:spacing w:line="400" w:lineRule="exact"/>
              <w:jc w:val="left"/>
              <w:rPr>
                <w:rFonts w:eastAsia="仿宋_GB2312"/>
                <w:sz w:val="28"/>
                <w:szCs w:val="28"/>
                <w:highlight w:val="none"/>
              </w:rPr>
            </w:pPr>
            <w:r>
              <w:rPr>
                <w:rFonts w:eastAsia="仿宋_GB2312"/>
                <w:sz w:val="28"/>
                <w:szCs w:val="28"/>
                <w:highlight w:val="none"/>
              </w:rPr>
              <w:t>日常使用、维护、校准未按规定进行</w:t>
            </w:r>
          </w:p>
        </w:tc>
        <w:tc>
          <w:tcPr>
            <w:tcW w:w="2832" w:type="dxa"/>
            <w:shd w:val="clear" w:color="auto" w:fill="auto"/>
            <w:vAlign w:val="center"/>
          </w:tcPr>
          <w:p w14:paraId="4816271C">
            <w:pPr>
              <w:spacing w:line="400" w:lineRule="exact"/>
              <w:jc w:val="left"/>
              <w:rPr>
                <w:rFonts w:eastAsia="仿宋_GB2312"/>
                <w:sz w:val="28"/>
                <w:szCs w:val="28"/>
                <w:highlight w:val="none"/>
              </w:rPr>
            </w:pPr>
            <w:r>
              <w:rPr>
                <w:rFonts w:eastAsia="仿宋_GB2312"/>
                <w:sz w:val="28"/>
                <w:szCs w:val="28"/>
                <w:highlight w:val="none"/>
              </w:rPr>
              <w:t>产品偏离正常使用状态</w:t>
            </w:r>
          </w:p>
        </w:tc>
        <w:tc>
          <w:tcPr>
            <w:tcW w:w="1773" w:type="dxa"/>
            <w:shd w:val="clear" w:color="auto" w:fill="auto"/>
            <w:vAlign w:val="center"/>
          </w:tcPr>
          <w:p w14:paraId="6AE62E17">
            <w:pPr>
              <w:spacing w:line="400" w:lineRule="exact"/>
              <w:jc w:val="left"/>
              <w:rPr>
                <w:rFonts w:eastAsia="仿宋_GB2312"/>
                <w:sz w:val="28"/>
                <w:szCs w:val="28"/>
                <w:highlight w:val="none"/>
              </w:rPr>
            </w:pPr>
            <w:r>
              <w:rPr>
                <w:rFonts w:eastAsia="仿宋_GB2312"/>
                <w:sz w:val="28"/>
                <w:szCs w:val="28"/>
                <w:highlight w:val="none"/>
              </w:rPr>
              <w:t>降低</w:t>
            </w:r>
            <w:r>
              <w:rPr>
                <w:rFonts w:hint="eastAsia" w:eastAsia="仿宋_GB2312"/>
                <w:sz w:val="28"/>
                <w:szCs w:val="28"/>
                <w:highlight w:val="none"/>
              </w:rPr>
              <w:t>产品</w:t>
            </w:r>
            <w:r>
              <w:rPr>
                <w:rFonts w:eastAsia="仿宋_GB2312"/>
                <w:sz w:val="28"/>
                <w:szCs w:val="28"/>
                <w:highlight w:val="none"/>
              </w:rPr>
              <w:t>作用</w:t>
            </w:r>
          </w:p>
        </w:tc>
      </w:tr>
    </w:tbl>
    <w:p w14:paraId="45CAF5CB">
      <w:pPr>
        <w:pStyle w:val="10"/>
        <w:rPr>
          <w:highlight w:val="none"/>
        </w:rPr>
      </w:pPr>
    </w:p>
    <w:sectPr>
      <w:pgSz w:w="11906" w:h="16838"/>
      <w:pgMar w:top="2098" w:right="1588" w:bottom="209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1CF10">
    <w:pPr>
      <w:pStyle w:val="8"/>
      <w:jc w:val="right"/>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p w14:paraId="716ED845">
    <w:pPr>
      <w:pStyle w:val="8"/>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8CC49">
    <w:pPr>
      <w:pStyle w:val="8"/>
      <w:rPr>
        <w:rFonts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ascii="仿宋" w:hAnsi="仿宋" w:eastAsia="仿宋" w:cs="仿宋"/>
        <w:sz w:val="32"/>
        <w:szCs w:val="32"/>
      </w:rPr>
      <w:t>2</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isLgl/>
      <w:suff w:val="nothing"/>
      <w:lvlText w:val="%1  "/>
      <w:lvlJc w:val="left"/>
      <w:pPr>
        <w:ind w:left="0" w:firstLine="0"/>
      </w:pPr>
      <w:rPr>
        <w:rFonts w:hint="eastAsia" w:ascii="黑体" w:eastAsia="黑体"/>
        <w:b w:val="0"/>
        <w:i w:val="0"/>
        <w:caps w:val="0"/>
        <w:smallCaps w:val="0"/>
        <w:strike w:val="0"/>
        <w:dstrike w:val="0"/>
        <w:spacing w:val="0"/>
        <w:w w:val="100"/>
        <w:kern w:val="21"/>
        <w:position w:val="0"/>
        <w:sz w:val="21"/>
        <w:u w:val="none"/>
      </w:rPr>
    </w:lvl>
    <w:lvl w:ilvl="1" w:tentative="0">
      <w:start w:val="1"/>
      <w:numFmt w:val="decimal"/>
      <w:isLgl/>
      <w:suff w:val="nothing"/>
      <w:lvlText w:val="%1.%2  "/>
      <w:lvlJc w:val="left"/>
      <w:pPr>
        <w:ind w:left="0" w:firstLine="0"/>
      </w:pPr>
      <w:rPr>
        <w:rFonts w:hint="eastAsia" w:ascii="宋体" w:hAnsi="宋体" w:eastAsia="宋体"/>
        <w:b w:val="0"/>
        <w:i w:val="0"/>
        <w:caps w:val="0"/>
        <w:smallCaps w:val="0"/>
        <w:strike w:val="0"/>
        <w:dstrike w:val="0"/>
        <w:spacing w:val="0"/>
        <w:w w:val="100"/>
        <w:kern w:val="21"/>
        <w:position w:val="0"/>
        <w:sz w:val="21"/>
        <w:u w:val="none"/>
      </w:rPr>
    </w:lvl>
    <w:lvl w:ilvl="2" w:tentative="0">
      <w:start w:val="1"/>
      <w:numFmt w:val="decimal"/>
      <w:pStyle w:val="23"/>
      <w:suff w:val="nothing"/>
      <w:lvlText w:val="%1.%2.%3  "/>
      <w:lvlJc w:val="left"/>
      <w:pPr>
        <w:ind w:left="0" w:firstLine="0"/>
      </w:pPr>
      <w:rPr>
        <w:rFonts w:hint="eastAsia" w:ascii="黑体" w:eastAsia="黑体"/>
        <w:b w:val="0"/>
        <w:i w:val="0"/>
        <w:caps w:val="0"/>
        <w:smallCaps w:val="0"/>
        <w:strike w:val="0"/>
        <w:dstrike w:val="0"/>
        <w:spacing w:val="0"/>
        <w:w w:val="100"/>
        <w:kern w:val="21"/>
        <w:position w:val="0"/>
        <w:sz w:val="21"/>
        <w:u w:val="none"/>
      </w:rPr>
    </w:lvl>
    <w:lvl w:ilvl="3" w:tentative="0">
      <w:start w:val="1"/>
      <w:numFmt w:val="decimal"/>
      <w:suff w:val="nothing"/>
      <w:lvlText w:val="%1.%2.%3.%4  "/>
      <w:lvlJc w:val="left"/>
      <w:pPr>
        <w:ind w:left="0" w:firstLine="0"/>
      </w:pPr>
      <w:rPr>
        <w:rFonts w:hint="eastAsia" w:ascii="黑体" w:eastAsia="黑体"/>
        <w:b w:val="0"/>
        <w:i w:val="0"/>
        <w:caps w:val="0"/>
        <w:smallCaps w:val="0"/>
        <w:strike w:val="0"/>
        <w:dstrike w:val="0"/>
        <w:spacing w:val="0"/>
        <w:w w:val="100"/>
        <w:kern w:val="21"/>
        <w:position w:val="0"/>
        <w:sz w:val="21"/>
        <w:u w:val="none"/>
      </w:rPr>
    </w:lvl>
    <w:lvl w:ilvl="4" w:tentative="0">
      <w:start w:val="1"/>
      <w:numFmt w:val="decimal"/>
      <w:suff w:val="nothing"/>
      <w:lvlText w:val="%1.%2.%3.%4.%5  "/>
      <w:lvlJc w:val="left"/>
      <w:pPr>
        <w:ind w:left="0" w:firstLine="0"/>
      </w:pPr>
      <w:rPr>
        <w:rFonts w:hint="eastAsia" w:ascii="黑体" w:eastAsia="黑体"/>
        <w:b w:val="0"/>
        <w:i w:val="0"/>
        <w:caps w:val="0"/>
        <w:smallCaps w:val="0"/>
        <w:strike w:val="0"/>
        <w:dstrike w:val="0"/>
        <w:spacing w:val="0"/>
        <w:w w:val="100"/>
        <w:kern w:val="21"/>
        <w:position w:val="0"/>
        <w:sz w:val="21"/>
        <w:u w:val="none"/>
      </w:rPr>
    </w:lvl>
    <w:lvl w:ilvl="5" w:tentative="0">
      <w:start w:val="1"/>
      <w:numFmt w:val="decimal"/>
      <w:suff w:val="nothing"/>
      <w:lvlText w:val="%1.%2.%3.%4.%5.%6  "/>
      <w:lvlJc w:val="left"/>
      <w:pPr>
        <w:ind w:left="0" w:firstLine="0"/>
      </w:pPr>
      <w:rPr>
        <w:rFonts w:hint="eastAsia" w:ascii="黑体" w:eastAsia="黑体"/>
        <w:b w:val="0"/>
        <w:i w:val="0"/>
        <w:caps w:val="0"/>
        <w:smallCaps w:val="0"/>
        <w:strike w:val="0"/>
        <w:dstrike w:val="0"/>
        <w:spacing w:val="0"/>
        <w:w w:val="100"/>
        <w:kern w:val="21"/>
        <w:position w:val="0"/>
        <w:sz w:val="21"/>
        <w:u w:val="none"/>
      </w:rPr>
    </w:lvl>
    <w:lvl w:ilvl="6" w:tentative="0">
      <w:start w:val="1"/>
      <w:numFmt w:val="lowerRoman"/>
      <w:lvlText w:val="(%7)"/>
      <w:lvlJc w:val="left"/>
      <w:pPr>
        <w:tabs>
          <w:tab w:val="left" w:pos="5528"/>
        </w:tabs>
        <w:ind w:left="5102" w:firstLine="0"/>
      </w:pPr>
      <w:rPr>
        <w:rFonts w:hint="eastAsia"/>
      </w:rPr>
    </w:lvl>
    <w:lvl w:ilvl="7" w:tentative="0">
      <w:start w:val="1"/>
      <w:numFmt w:val="lowerLetter"/>
      <w:lvlText w:val="(%8)"/>
      <w:lvlJc w:val="left"/>
      <w:pPr>
        <w:tabs>
          <w:tab w:val="left" w:pos="6378"/>
        </w:tabs>
        <w:ind w:left="5953" w:firstLine="0"/>
      </w:pPr>
      <w:rPr>
        <w:rFonts w:hint="eastAsia"/>
      </w:rPr>
    </w:lvl>
    <w:lvl w:ilvl="8" w:tentative="0">
      <w:start w:val="1"/>
      <w:numFmt w:val="lowerRoman"/>
      <w:lvlText w:val="(%9)"/>
      <w:lvlJc w:val="left"/>
      <w:pPr>
        <w:tabs>
          <w:tab w:val="left" w:pos="7228"/>
        </w:tabs>
        <w:ind w:left="6803"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hmNjAzMWJlZjFkMmQwODUwMTJkYzE2ODFiYmFmYTcifQ=="/>
  </w:docVars>
  <w:rsids>
    <w:rsidRoot w:val="00BC6D33"/>
    <w:rsid w:val="00021724"/>
    <w:rsid w:val="00050997"/>
    <w:rsid w:val="000714D2"/>
    <w:rsid w:val="0007279F"/>
    <w:rsid w:val="00072ACB"/>
    <w:rsid w:val="00077457"/>
    <w:rsid w:val="00091F89"/>
    <w:rsid w:val="000B06D3"/>
    <w:rsid w:val="000D4F4F"/>
    <w:rsid w:val="000E480F"/>
    <w:rsid w:val="000E593E"/>
    <w:rsid w:val="00134947"/>
    <w:rsid w:val="00153C13"/>
    <w:rsid w:val="0015439B"/>
    <w:rsid w:val="00154FB4"/>
    <w:rsid w:val="001559A9"/>
    <w:rsid w:val="00170331"/>
    <w:rsid w:val="00173F26"/>
    <w:rsid w:val="001B3A31"/>
    <w:rsid w:val="001D6573"/>
    <w:rsid w:val="001E4F2A"/>
    <w:rsid w:val="00214466"/>
    <w:rsid w:val="00232548"/>
    <w:rsid w:val="002344C3"/>
    <w:rsid w:val="00260CC3"/>
    <w:rsid w:val="00284A01"/>
    <w:rsid w:val="002A4128"/>
    <w:rsid w:val="002A412E"/>
    <w:rsid w:val="002A7E24"/>
    <w:rsid w:val="002B08C8"/>
    <w:rsid w:val="002B3027"/>
    <w:rsid w:val="002D4C6F"/>
    <w:rsid w:val="00301CB7"/>
    <w:rsid w:val="00311479"/>
    <w:rsid w:val="00343AAF"/>
    <w:rsid w:val="00355648"/>
    <w:rsid w:val="0036521C"/>
    <w:rsid w:val="0037302F"/>
    <w:rsid w:val="00393D10"/>
    <w:rsid w:val="003C31EF"/>
    <w:rsid w:val="003E11C0"/>
    <w:rsid w:val="003E39EE"/>
    <w:rsid w:val="003E4144"/>
    <w:rsid w:val="00433EDD"/>
    <w:rsid w:val="00456107"/>
    <w:rsid w:val="004A4B27"/>
    <w:rsid w:val="004C2944"/>
    <w:rsid w:val="004D08DC"/>
    <w:rsid w:val="004D2687"/>
    <w:rsid w:val="004D55EC"/>
    <w:rsid w:val="004E0028"/>
    <w:rsid w:val="004F6805"/>
    <w:rsid w:val="00510390"/>
    <w:rsid w:val="005157A1"/>
    <w:rsid w:val="00553DBA"/>
    <w:rsid w:val="00573276"/>
    <w:rsid w:val="00575996"/>
    <w:rsid w:val="00587488"/>
    <w:rsid w:val="0059632F"/>
    <w:rsid w:val="005A07FE"/>
    <w:rsid w:val="00617CC0"/>
    <w:rsid w:val="006209BA"/>
    <w:rsid w:val="00671680"/>
    <w:rsid w:val="00687B4F"/>
    <w:rsid w:val="006902B0"/>
    <w:rsid w:val="006A25BA"/>
    <w:rsid w:val="006B5700"/>
    <w:rsid w:val="006F1ABB"/>
    <w:rsid w:val="00711188"/>
    <w:rsid w:val="007125BF"/>
    <w:rsid w:val="00715E23"/>
    <w:rsid w:val="00730573"/>
    <w:rsid w:val="00734689"/>
    <w:rsid w:val="00735479"/>
    <w:rsid w:val="00764B7D"/>
    <w:rsid w:val="0077307A"/>
    <w:rsid w:val="00783810"/>
    <w:rsid w:val="00787997"/>
    <w:rsid w:val="007A6A9E"/>
    <w:rsid w:val="007A79C4"/>
    <w:rsid w:val="007C3290"/>
    <w:rsid w:val="007C529F"/>
    <w:rsid w:val="007E1389"/>
    <w:rsid w:val="007F7D9D"/>
    <w:rsid w:val="00807EAA"/>
    <w:rsid w:val="0082621F"/>
    <w:rsid w:val="00834FBA"/>
    <w:rsid w:val="00844F28"/>
    <w:rsid w:val="0085137E"/>
    <w:rsid w:val="00877D1C"/>
    <w:rsid w:val="008A54F3"/>
    <w:rsid w:val="008A6C36"/>
    <w:rsid w:val="008B06A6"/>
    <w:rsid w:val="008F00DF"/>
    <w:rsid w:val="0091282E"/>
    <w:rsid w:val="00924DCD"/>
    <w:rsid w:val="00924E93"/>
    <w:rsid w:val="0096036F"/>
    <w:rsid w:val="00991FB1"/>
    <w:rsid w:val="009923A4"/>
    <w:rsid w:val="009A0A1B"/>
    <w:rsid w:val="009A2376"/>
    <w:rsid w:val="009C5A7C"/>
    <w:rsid w:val="009D77B7"/>
    <w:rsid w:val="009E0926"/>
    <w:rsid w:val="009E62AC"/>
    <w:rsid w:val="009F76F0"/>
    <w:rsid w:val="00A00486"/>
    <w:rsid w:val="00A24AE0"/>
    <w:rsid w:val="00A25D62"/>
    <w:rsid w:val="00A322FE"/>
    <w:rsid w:val="00A35DAD"/>
    <w:rsid w:val="00A626E0"/>
    <w:rsid w:val="00A7190B"/>
    <w:rsid w:val="00A8502E"/>
    <w:rsid w:val="00A9696E"/>
    <w:rsid w:val="00AA66B3"/>
    <w:rsid w:val="00AE16F9"/>
    <w:rsid w:val="00AE5CCA"/>
    <w:rsid w:val="00AF309C"/>
    <w:rsid w:val="00AF4C75"/>
    <w:rsid w:val="00AF50B7"/>
    <w:rsid w:val="00AF6B44"/>
    <w:rsid w:val="00B00483"/>
    <w:rsid w:val="00B301F7"/>
    <w:rsid w:val="00B62281"/>
    <w:rsid w:val="00B73120"/>
    <w:rsid w:val="00B75CE6"/>
    <w:rsid w:val="00B84D54"/>
    <w:rsid w:val="00BC5B7A"/>
    <w:rsid w:val="00BC6D33"/>
    <w:rsid w:val="00BF0EDA"/>
    <w:rsid w:val="00BF4B28"/>
    <w:rsid w:val="00C0087D"/>
    <w:rsid w:val="00C0102D"/>
    <w:rsid w:val="00C101F9"/>
    <w:rsid w:val="00C13FEC"/>
    <w:rsid w:val="00C21EB6"/>
    <w:rsid w:val="00C2766D"/>
    <w:rsid w:val="00C354E2"/>
    <w:rsid w:val="00C829E3"/>
    <w:rsid w:val="00CB010C"/>
    <w:rsid w:val="00CD6425"/>
    <w:rsid w:val="00CE340C"/>
    <w:rsid w:val="00CE459D"/>
    <w:rsid w:val="00CE5722"/>
    <w:rsid w:val="00D12402"/>
    <w:rsid w:val="00D1650C"/>
    <w:rsid w:val="00D176B6"/>
    <w:rsid w:val="00D42A3A"/>
    <w:rsid w:val="00D62E43"/>
    <w:rsid w:val="00DA2176"/>
    <w:rsid w:val="00DD2CCF"/>
    <w:rsid w:val="00DE1D0E"/>
    <w:rsid w:val="00DE5BCA"/>
    <w:rsid w:val="00DF0468"/>
    <w:rsid w:val="00E34AE1"/>
    <w:rsid w:val="00E408A0"/>
    <w:rsid w:val="00E76E67"/>
    <w:rsid w:val="00EA1E0F"/>
    <w:rsid w:val="00EE5826"/>
    <w:rsid w:val="00F141F5"/>
    <w:rsid w:val="00F25BF1"/>
    <w:rsid w:val="00F54C55"/>
    <w:rsid w:val="00F60008"/>
    <w:rsid w:val="00F637DA"/>
    <w:rsid w:val="00F63AE3"/>
    <w:rsid w:val="00F926F3"/>
    <w:rsid w:val="0269501C"/>
    <w:rsid w:val="03092820"/>
    <w:rsid w:val="04DC0AA0"/>
    <w:rsid w:val="05511EED"/>
    <w:rsid w:val="05597A8E"/>
    <w:rsid w:val="059F1213"/>
    <w:rsid w:val="074D717F"/>
    <w:rsid w:val="08593CC6"/>
    <w:rsid w:val="09067F2D"/>
    <w:rsid w:val="0A0E541B"/>
    <w:rsid w:val="0B9F1DE8"/>
    <w:rsid w:val="0BED03D4"/>
    <w:rsid w:val="0C346B5F"/>
    <w:rsid w:val="11632C41"/>
    <w:rsid w:val="12B04FBC"/>
    <w:rsid w:val="12C07A09"/>
    <w:rsid w:val="14A638E0"/>
    <w:rsid w:val="15175270"/>
    <w:rsid w:val="17EB72A5"/>
    <w:rsid w:val="1BA86870"/>
    <w:rsid w:val="1C177904"/>
    <w:rsid w:val="1C7876A6"/>
    <w:rsid w:val="1F897C90"/>
    <w:rsid w:val="1FEF8036"/>
    <w:rsid w:val="211D59BC"/>
    <w:rsid w:val="21693F13"/>
    <w:rsid w:val="21E500E8"/>
    <w:rsid w:val="22CA74F7"/>
    <w:rsid w:val="241D59F6"/>
    <w:rsid w:val="247F6990"/>
    <w:rsid w:val="24D64FAF"/>
    <w:rsid w:val="255D282B"/>
    <w:rsid w:val="25E46AA9"/>
    <w:rsid w:val="26753BA5"/>
    <w:rsid w:val="26811FF9"/>
    <w:rsid w:val="2886653D"/>
    <w:rsid w:val="28D74ED6"/>
    <w:rsid w:val="295201CD"/>
    <w:rsid w:val="298F0D72"/>
    <w:rsid w:val="2C952D0F"/>
    <w:rsid w:val="2D6C1581"/>
    <w:rsid w:val="2D8E0BBD"/>
    <w:rsid w:val="2E877D35"/>
    <w:rsid w:val="2F4421DA"/>
    <w:rsid w:val="2FD31A76"/>
    <w:rsid w:val="305F065C"/>
    <w:rsid w:val="30C05112"/>
    <w:rsid w:val="33287A90"/>
    <w:rsid w:val="335566C7"/>
    <w:rsid w:val="3564303C"/>
    <w:rsid w:val="376C34BF"/>
    <w:rsid w:val="37A12A4B"/>
    <w:rsid w:val="37BE46F0"/>
    <w:rsid w:val="37ED6663"/>
    <w:rsid w:val="3B7346FF"/>
    <w:rsid w:val="3C297AE3"/>
    <w:rsid w:val="3EAF7424"/>
    <w:rsid w:val="3F352FA4"/>
    <w:rsid w:val="40761F30"/>
    <w:rsid w:val="41DA0660"/>
    <w:rsid w:val="43413647"/>
    <w:rsid w:val="439E42E3"/>
    <w:rsid w:val="455A6FF1"/>
    <w:rsid w:val="459B6D2C"/>
    <w:rsid w:val="45B44292"/>
    <w:rsid w:val="465B1756"/>
    <w:rsid w:val="4C237FED"/>
    <w:rsid w:val="4D784E5B"/>
    <w:rsid w:val="4D7E7B11"/>
    <w:rsid w:val="4DCD7C9F"/>
    <w:rsid w:val="4FF54B35"/>
    <w:rsid w:val="4FFE1A90"/>
    <w:rsid w:val="51267D33"/>
    <w:rsid w:val="51627880"/>
    <w:rsid w:val="51F93195"/>
    <w:rsid w:val="5470787E"/>
    <w:rsid w:val="548D339F"/>
    <w:rsid w:val="591F7491"/>
    <w:rsid w:val="598D63B4"/>
    <w:rsid w:val="59C53A8D"/>
    <w:rsid w:val="59D3519E"/>
    <w:rsid w:val="59DC2C5A"/>
    <w:rsid w:val="5B081AB1"/>
    <w:rsid w:val="5D5C5377"/>
    <w:rsid w:val="62B4472A"/>
    <w:rsid w:val="646B1B68"/>
    <w:rsid w:val="667A6C64"/>
    <w:rsid w:val="67D53C29"/>
    <w:rsid w:val="67FD95FE"/>
    <w:rsid w:val="6976C3E0"/>
    <w:rsid w:val="6A347883"/>
    <w:rsid w:val="6B8B403E"/>
    <w:rsid w:val="6CB62923"/>
    <w:rsid w:val="6D5C7D46"/>
    <w:rsid w:val="72AC5715"/>
    <w:rsid w:val="734D5A14"/>
    <w:rsid w:val="73DD380B"/>
    <w:rsid w:val="75A60C51"/>
    <w:rsid w:val="76761E75"/>
    <w:rsid w:val="77242D80"/>
    <w:rsid w:val="77C20B3A"/>
    <w:rsid w:val="78484D4C"/>
    <w:rsid w:val="7AF477B8"/>
    <w:rsid w:val="7B5925CB"/>
    <w:rsid w:val="7B7F5FFF"/>
    <w:rsid w:val="7B947605"/>
    <w:rsid w:val="7BF36B62"/>
    <w:rsid w:val="7CFA68F0"/>
    <w:rsid w:val="7D840599"/>
    <w:rsid w:val="7DFFED17"/>
    <w:rsid w:val="7EB73ECF"/>
    <w:rsid w:val="7F35147C"/>
    <w:rsid w:val="D7F46259"/>
    <w:rsid w:val="DCFF2461"/>
    <w:rsid w:val="FA2F3A10"/>
    <w:rsid w:val="FBDFCB1C"/>
    <w:rsid w:val="FF32E9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line="520" w:lineRule="exact"/>
      <w:outlineLvl w:val="1"/>
    </w:pPr>
    <w:rPr>
      <w:rFonts w:ascii="Calibri Light" w:hAnsi="Calibri Light" w:eastAsia="楷体_GB2312"/>
      <w:bCs/>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6"/>
    <w:unhideWhenUsed/>
    <w:qFormat/>
    <w:uiPriority w:val="99"/>
    <w:pPr>
      <w:jc w:val="left"/>
    </w:pPr>
  </w:style>
  <w:style w:type="paragraph" w:styleId="5">
    <w:name w:val="Body Text"/>
    <w:basedOn w:val="1"/>
    <w:semiHidden/>
    <w:qFormat/>
    <w:uiPriority w:val="0"/>
    <w:rPr>
      <w:rFonts w:ascii="黑体" w:hAnsi="黑体" w:eastAsia="黑体" w:cs="黑体"/>
      <w:sz w:val="50"/>
      <w:szCs w:val="50"/>
      <w:lang w:eastAsia="en-US"/>
    </w:rPr>
  </w:style>
  <w:style w:type="paragraph" w:styleId="6">
    <w:name w:val="Body Text Indent"/>
    <w:basedOn w:val="1"/>
    <w:link w:val="22"/>
    <w:unhideWhenUsed/>
    <w:qFormat/>
    <w:uiPriority w:val="0"/>
    <w:pPr>
      <w:ind w:firstLine="420" w:firstLineChars="200"/>
    </w:pPr>
    <w:rPr>
      <w:kern w:val="0"/>
      <w:sz w:val="20"/>
    </w:rPr>
  </w:style>
  <w:style w:type="paragraph" w:styleId="7">
    <w:name w:val="Balloon Text"/>
    <w:basedOn w:val="1"/>
    <w:link w:val="19"/>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2"/>
    <w:basedOn w:val="1"/>
    <w:qFormat/>
    <w:uiPriority w:val="0"/>
    <w:pPr>
      <w:spacing w:after="120" w:line="480" w:lineRule="auto"/>
    </w:pPr>
  </w:style>
  <w:style w:type="paragraph" w:styleId="11">
    <w:name w:val="annotation subject"/>
    <w:basedOn w:val="4"/>
    <w:next w:val="4"/>
    <w:link w:val="20"/>
    <w:semiHidden/>
    <w:unhideWhenUsed/>
    <w:qFormat/>
    <w:uiPriority w:val="99"/>
    <w:rPr>
      <w:b/>
      <w:bCs/>
    </w:r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character" w:customStyle="1" w:styleId="16">
    <w:name w:val="批注文字 字符"/>
    <w:basedOn w:val="13"/>
    <w:link w:val="4"/>
    <w:qFormat/>
    <w:uiPriority w:val="99"/>
    <w:rPr>
      <w:rFonts w:ascii="Times New Roman" w:hAnsi="Times New Roman" w:eastAsia="宋体" w:cs="Times New Roman"/>
      <w:szCs w:val="24"/>
    </w:rPr>
  </w:style>
  <w:style w:type="character" w:customStyle="1" w:styleId="17">
    <w:name w:val="页眉 字符"/>
    <w:basedOn w:val="13"/>
    <w:link w:val="9"/>
    <w:qFormat/>
    <w:uiPriority w:val="99"/>
    <w:rPr>
      <w:rFonts w:ascii="Times New Roman" w:hAnsi="Times New Roman" w:eastAsia="宋体" w:cs="Times New Roman"/>
      <w:sz w:val="18"/>
      <w:szCs w:val="18"/>
    </w:rPr>
  </w:style>
  <w:style w:type="character" w:customStyle="1" w:styleId="18">
    <w:name w:val="页脚 字符"/>
    <w:basedOn w:val="13"/>
    <w:link w:val="8"/>
    <w:qFormat/>
    <w:uiPriority w:val="99"/>
    <w:rPr>
      <w:rFonts w:ascii="Times New Roman" w:hAnsi="Times New Roman" w:eastAsia="宋体" w:cs="Times New Roman"/>
      <w:sz w:val="18"/>
      <w:szCs w:val="18"/>
    </w:rPr>
  </w:style>
  <w:style w:type="character" w:customStyle="1" w:styleId="19">
    <w:name w:val="批注框文本 字符"/>
    <w:basedOn w:val="13"/>
    <w:link w:val="7"/>
    <w:semiHidden/>
    <w:qFormat/>
    <w:uiPriority w:val="99"/>
    <w:rPr>
      <w:rFonts w:ascii="Times New Roman" w:hAnsi="Times New Roman" w:eastAsia="宋体" w:cs="Times New Roman"/>
      <w:sz w:val="18"/>
      <w:szCs w:val="18"/>
    </w:rPr>
  </w:style>
  <w:style w:type="character" w:customStyle="1" w:styleId="20">
    <w:name w:val="批注主题 字符"/>
    <w:basedOn w:val="16"/>
    <w:link w:val="11"/>
    <w:semiHidden/>
    <w:qFormat/>
    <w:uiPriority w:val="99"/>
    <w:rPr>
      <w:rFonts w:ascii="Times New Roman" w:hAnsi="Times New Roman" w:eastAsia="宋体" w:cs="Times New Roman"/>
      <w:b/>
      <w:bCs/>
      <w:szCs w:val="24"/>
    </w:rPr>
  </w:style>
  <w:style w:type="paragraph" w:styleId="21">
    <w:name w:val="List Paragraph"/>
    <w:basedOn w:val="1"/>
    <w:qFormat/>
    <w:uiPriority w:val="34"/>
    <w:pPr>
      <w:ind w:firstLine="420" w:firstLineChars="200"/>
    </w:pPr>
  </w:style>
  <w:style w:type="character" w:customStyle="1" w:styleId="22">
    <w:name w:val="正文文本缩进 字符"/>
    <w:basedOn w:val="13"/>
    <w:link w:val="6"/>
    <w:qFormat/>
    <w:uiPriority w:val="0"/>
    <w:rPr>
      <w:rFonts w:ascii="Times New Roman" w:hAnsi="Times New Roman" w:eastAsia="宋体" w:cs="Times New Roman"/>
      <w:szCs w:val="24"/>
    </w:rPr>
  </w:style>
  <w:style w:type="paragraph" w:customStyle="1" w:styleId="23">
    <w:name w:val="条2"/>
    <w:basedOn w:val="1"/>
    <w:next w:val="24"/>
    <w:qFormat/>
    <w:uiPriority w:val="0"/>
    <w:pPr>
      <w:numPr>
        <w:ilvl w:val="2"/>
        <w:numId w:val="1"/>
      </w:numPr>
      <w:outlineLvl w:val="1"/>
    </w:pPr>
    <w:rPr>
      <w:rFonts w:ascii="黑体" w:eastAsia="黑体"/>
      <w:kern w:val="21"/>
      <w:szCs w:val="20"/>
    </w:rPr>
  </w:style>
  <w:style w:type="paragraph" w:customStyle="1" w:styleId="24">
    <w:name w:val="段"/>
    <w:basedOn w:val="1"/>
    <w:qFormat/>
    <w:uiPriority w:val="0"/>
    <w:pPr>
      <w:ind w:firstLine="425"/>
    </w:pPr>
    <w:rPr>
      <w:rFonts w:ascii="宋体"/>
      <w:kern w:val="0"/>
      <w:sz w:val="20"/>
      <w:szCs w:val="20"/>
    </w:rPr>
  </w:style>
  <w:style w:type="character" w:customStyle="1" w:styleId="25">
    <w:name w:val="f101"/>
    <w:qFormat/>
    <w:uiPriority w:val="0"/>
    <w:rPr>
      <w:sz w:val="24"/>
      <w:szCs w:val="24"/>
    </w:rPr>
  </w:style>
  <w:style w:type="paragraph" w:customStyle="1" w:styleId="26">
    <w:name w:val="列表段落1"/>
    <w:qFormat/>
    <w:uiPriority w:val="34"/>
    <w:pPr>
      <w:widowControl w:val="0"/>
      <w:ind w:firstLine="42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XU_TY</Company>
  <Pages>19</Pages>
  <Words>2711</Words>
  <Characters>2796</Characters>
  <Lines>69</Lines>
  <Paragraphs>19</Paragraphs>
  <TotalTime>3</TotalTime>
  <ScaleCrop>false</ScaleCrop>
  <LinksUpToDate>false</LinksUpToDate>
  <CharactersWithSpaces>2798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2021-12-25T00:57:00Z</dcterms:created>
  <dc:creator>yj</dc:creator>
  <cp:lastModifiedBy>user001</cp:lastModifiedBy>
  <cp:lastPrinted>2025-06-05T02:29:00Z</cp:lastPrinted>
  <dcterms:modified xsi:type="dcterms:W3CDTF">2026-01-21T11:57:30Z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EE91B1E2CAF14E96AD31F347736F2BB7_13</vt:lpwstr>
  </property>
  <property fmtid="{D5CDD505-2E9C-101B-9397-08002B2CF9AE}" pid="4" name="KSOTemplateDocerSaveRecord">
    <vt:lpwstr>eyJoZGlkIjoiZWM2MzA2MzY4OTJlN2Q2YjZkMWMwOTVkMTdlZTcwNDQiLCJ1c2VySWQiOiIyMzUwMTM2ODkifQ==</vt:lpwstr>
  </property>
</Properties>
</file>