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FB2B8E">
      <w:pPr>
        <w:overflowPunct w:val="0"/>
        <w:autoSpaceDE w:val="0"/>
        <w:autoSpaceDN w:val="0"/>
        <w:spacing w:line="520" w:lineRule="exact"/>
        <w:rPr>
          <w:rFonts w:ascii="黑体" w:hAnsi="黑体" w:eastAsia="黑体"/>
          <w:snapToGrid w:val="0"/>
          <w:kern w:val="0"/>
          <w:sz w:val="32"/>
          <w:szCs w:val="32"/>
        </w:rPr>
      </w:pPr>
      <w:r>
        <w:rPr>
          <w:rFonts w:ascii="黑体" w:hAnsi="黑体" w:eastAsia="黑体"/>
          <w:snapToGrid w:val="0"/>
          <w:kern w:val="0"/>
          <w:sz w:val="32"/>
          <w:szCs w:val="32"/>
        </w:rPr>
        <w:t>附件</w:t>
      </w:r>
    </w:p>
    <w:p w14:paraId="426815A2">
      <w:pPr>
        <w:pStyle w:val="54"/>
        <w:spacing w:line="520" w:lineRule="exact"/>
        <w:rPr>
          <w:rFonts w:ascii="方正小标宋简体" w:hAnsi="方正小标宋简体" w:eastAsia="方正小标宋简体" w:cs="方正小标宋简体"/>
          <w:sz w:val="44"/>
          <w:szCs w:val="44"/>
        </w:rPr>
      </w:pPr>
    </w:p>
    <w:p w14:paraId="39FCA9E9">
      <w:pPr>
        <w:spacing w:line="520" w:lineRule="exact"/>
        <w:jc w:val="center"/>
        <w:rPr>
          <w:rFonts w:eastAsia="方正小标宋简体"/>
          <w:sz w:val="44"/>
          <w:szCs w:val="44"/>
        </w:rPr>
      </w:pPr>
      <w:bookmarkStart w:id="0" w:name="OLE_LINK2"/>
      <w:r>
        <w:rPr>
          <w:rFonts w:hint="eastAsia" w:eastAsia="方正小标宋简体"/>
          <w:bCs/>
          <w:kern w:val="0"/>
          <w:sz w:val="44"/>
          <w:szCs w:val="44"/>
        </w:rPr>
        <w:t>气腹机</w:t>
      </w:r>
      <w:bookmarkEnd w:id="0"/>
      <w:r>
        <w:rPr>
          <w:rFonts w:hint="eastAsia" w:eastAsia="方正小标宋简体"/>
          <w:bCs/>
          <w:kern w:val="0"/>
          <w:sz w:val="44"/>
          <w:szCs w:val="44"/>
        </w:rPr>
        <w:t>注册审查指导原则（2025年修订版）</w:t>
      </w:r>
    </w:p>
    <w:p w14:paraId="423BB150">
      <w:pPr>
        <w:tabs>
          <w:tab w:val="center" w:pos="4153"/>
        </w:tabs>
        <w:spacing w:line="520" w:lineRule="exact"/>
        <w:jc w:val="left"/>
        <w:rPr>
          <w:rFonts w:eastAsia="方正小标宋_GBK"/>
          <w:sz w:val="36"/>
          <w:szCs w:val="36"/>
        </w:rPr>
      </w:pPr>
    </w:p>
    <w:p w14:paraId="4DF1B09D">
      <w:pPr>
        <w:overflowPunct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本指导原则旨在指导注册申请人对气腹机注册申报资料的准备及撰写，同时也为技术审评部门审评注册申报资料提供参考。</w:t>
      </w:r>
    </w:p>
    <w:p w14:paraId="6F016A76">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本指导原则是对气腹机的一般要求，申请人应依据产品的</w:t>
      </w:r>
      <w:r>
        <w:rPr>
          <w:rFonts w:eastAsia="仿宋_GB2312"/>
          <w:sz w:val="32"/>
          <w:szCs w:val="32"/>
        </w:rPr>
        <w:t>具体</w:t>
      </w:r>
      <w:r>
        <w:rPr>
          <w:rFonts w:hint="eastAsia" w:eastAsia="仿宋_GB2312" w:cs="仿宋_GB2312"/>
          <w:snapToGrid w:val="0"/>
          <w:kern w:val="0"/>
          <w:sz w:val="32"/>
          <w:szCs w:val="32"/>
        </w:rPr>
        <w:t>特性确定其中的内容是否适用。若不适用，需具体阐述其理由及相应的科学依据，并依据具体的产品特性对注册申报资料的内容进行充实和细化。</w:t>
      </w:r>
    </w:p>
    <w:p w14:paraId="1E1921CF">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是供注册申请人和技术审评人员使用的指导性文件，但不包括注册审批所涉及的行政事项，亦不作为法规强制执行，应在遵循相关法规的前提下使用本指导原则。如果有能够满足相关法规要求的其他方法，也可以采用，但是需要提供详细的研究资料和验证资料。</w:t>
      </w:r>
    </w:p>
    <w:p w14:paraId="4C4F531A">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本指导原则是在现行法规和标准体系以及当前认知水平下制定的，随着法规和标准的不断完善，以及科学技术的不断发展，相关内容也将适时进行调整。</w:t>
      </w:r>
    </w:p>
    <w:p w14:paraId="1E408F60">
      <w:pPr>
        <w:overflowPunct w:val="0"/>
        <w:autoSpaceDE w:val="0"/>
        <w:autoSpaceDN w:val="0"/>
        <w:spacing w:line="520" w:lineRule="exact"/>
        <w:ind w:firstLine="640" w:firstLineChars="200"/>
        <w:outlineLvl w:val="0"/>
        <w:rPr>
          <w:rFonts w:eastAsia="黑体"/>
          <w:snapToGrid w:val="0"/>
          <w:kern w:val="0"/>
          <w:sz w:val="32"/>
          <w:szCs w:val="32"/>
        </w:rPr>
      </w:pPr>
      <w:r>
        <w:rPr>
          <w:rFonts w:hint="eastAsia" w:eastAsia="黑体"/>
          <w:snapToGrid w:val="0"/>
          <w:kern w:val="0"/>
          <w:sz w:val="32"/>
          <w:szCs w:val="32"/>
        </w:rPr>
        <w:t>一、</w:t>
      </w:r>
      <w:r>
        <w:rPr>
          <w:rFonts w:eastAsia="黑体"/>
          <w:snapToGrid w:val="0"/>
          <w:kern w:val="0"/>
          <w:sz w:val="32"/>
          <w:szCs w:val="32"/>
        </w:rPr>
        <w:t>适用范围</w:t>
      </w:r>
    </w:p>
    <w:p w14:paraId="09030DE6">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cs="仿宋_GB2312"/>
          <w:snapToGrid w:val="0"/>
          <w:kern w:val="0"/>
          <w:sz w:val="32"/>
          <w:szCs w:val="32"/>
        </w:rPr>
        <w:t>本指导原则适用于内窥镜手术所使用的二氧化碳气腹机。该产品用于腹腔内窥镜手术中的气腹建立和维持。根据《医疗器械分类目录》，该类产品分类编码为06-15-04，管理类别为</w:t>
      </w:r>
      <w:r>
        <w:rPr>
          <w:rFonts w:hint="eastAsia" w:ascii="仿宋_GB2312" w:hAnsi="仿宋_GB2312" w:eastAsia="仿宋_GB2312" w:cs="仿宋_GB2312"/>
          <w:snapToGrid w:val="0"/>
          <w:kern w:val="0"/>
          <w:sz w:val="32"/>
          <w:szCs w:val="32"/>
        </w:rPr>
        <w:t>Ⅱ</w:t>
      </w:r>
      <w:r>
        <w:rPr>
          <w:rFonts w:hint="eastAsia" w:eastAsia="仿宋_GB2312" w:cs="仿宋_GB2312"/>
          <w:snapToGrid w:val="0"/>
          <w:kern w:val="0"/>
          <w:sz w:val="32"/>
          <w:szCs w:val="32"/>
        </w:rPr>
        <w:t>类</w:t>
      </w:r>
      <w:r>
        <w:rPr>
          <w:rFonts w:hint="eastAsia" w:eastAsia="仿宋_GB2312"/>
          <w:snapToGrid w:val="0"/>
          <w:kern w:val="0"/>
          <w:sz w:val="32"/>
          <w:szCs w:val="32"/>
        </w:rPr>
        <w:t>。</w:t>
      </w:r>
    </w:p>
    <w:p w14:paraId="136F0971">
      <w:pPr>
        <w:overflowPunct w:val="0"/>
        <w:autoSpaceDE w:val="0"/>
        <w:autoSpaceDN w:val="0"/>
        <w:spacing w:line="520" w:lineRule="exact"/>
        <w:ind w:firstLine="640" w:firstLineChars="200"/>
        <w:outlineLvl w:val="0"/>
        <w:rPr>
          <w:rFonts w:eastAsia="黑体"/>
          <w:snapToGrid w:val="0"/>
          <w:kern w:val="0"/>
          <w:sz w:val="32"/>
          <w:szCs w:val="32"/>
        </w:rPr>
      </w:pPr>
      <w:bookmarkStart w:id="1" w:name="_Toc432753645"/>
      <w:r>
        <w:rPr>
          <w:rFonts w:hint="eastAsia" w:eastAsia="黑体"/>
          <w:snapToGrid w:val="0"/>
          <w:kern w:val="0"/>
          <w:sz w:val="32"/>
          <w:szCs w:val="32"/>
        </w:rPr>
        <w:t>二、注册</w:t>
      </w:r>
      <w:r>
        <w:rPr>
          <w:rFonts w:eastAsia="黑体"/>
          <w:snapToGrid w:val="0"/>
          <w:kern w:val="0"/>
          <w:sz w:val="32"/>
          <w:szCs w:val="32"/>
        </w:rPr>
        <w:t>审查要点</w:t>
      </w:r>
    </w:p>
    <w:p w14:paraId="2C91F8E7">
      <w:pPr>
        <w:pStyle w:val="60"/>
        <w:overflowPunct w:val="0"/>
        <w:autoSpaceDE w:val="0"/>
        <w:autoSpaceDN w:val="0"/>
        <w:spacing w:line="520" w:lineRule="exact"/>
        <w:ind w:firstLine="640"/>
        <w:outlineLvl w:val="1"/>
        <w:rPr>
          <w:rFonts w:ascii="Times New Roman" w:hAnsi="Times New Roman" w:eastAsia="楷体_GB2312"/>
          <w:sz w:val="32"/>
          <w:szCs w:val="32"/>
        </w:rPr>
      </w:pPr>
      <w:r>
        <w:rPr>
          <w:rFonts w:hint="eastAsia" w:ascii="Times New Roman" w:hAnsi="Times New Roman" w:eastAsia="楷体_GB2312"/>
          <w:sz w:val="32"/>
          <w:szCs w:val="32"/>
        </w:rPr>
        <w:t>（一）监管信息</w:t>
      </w:r>
    </w:p>
    <w:p w14:paraId="316C7989">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z w:val="32"/>
          <w:szCs w:val="32"/>
        </w:rPr>
        <w:t>明确申请表中</w:t>
      </w:r>
      <w:r>
        <w:rPr>
          <w:rFonts w:eastAsia="仿宋_GB2312"/>
          <w:snapToGrid w:val="0"/>
          <w:kern w:val="0"/>
          <w:sz w:val="32"/>
          <w:szCs w:val="32"/>
        </w:rPr>
        <w:t>产品名称</w:t>
      </w:r>
      <w:r>
        <w:rPr>
          <w:rFonts w:hint="eastAsia" w:eastAsia="仿宋_GB2312"/>
          <w:snapToGrid w:val="0"/>
          <w:kern w:val="0"/>
          <w:sz w:val="32"/>
          <w:szCs w:val="32"/>
        </w:rPr>
        <w:t>、</w:t>
      </w:r>
      <w:r>
        <w:rPr>
          <w:rFonts w:eastAsia="仿宋_GB2312"/>
          <w:snapToGrid w:val="0"/>
          <w:kern w:val="0"/>
          <w:sz w:val="32"/>
          <w:szCs w:val="32"/>
        </w:rPr>
        <w:t>管理类别、分类编码</w:t>
      </w:r>
      <w:r>
        <w:rPr>
          <w:rFonts w:hint="eastAsia" w:eastAsia="仿宋_GB2312"/>
          <w:snapToGrid w:val="0"/>
          <w:kern w:val="0"/>
          <w:sz w:val="32"/>
          <w:szCs w:val="32"/>
        </w:rPr>
        <w:t>、型号规格、产品组成等信息</w:t>
      </w:r>
      <w:r>
        <w:rPr>
          <w:rFonts w:eastAsia="仿宋_GB2312"/>
          <w:snapToGrid w:val="0"/>
          <w:kern w:val="0"/>
          <w:sz w:val="32"/>
          <w:szCs w:val="32"/>
        </w:rPr>
        <w:t>。</w:t>
      </w:r>
    </w:p>
    <w:p w14:paraId="204B7B26">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w:t>
      </w:r>
      <w:r>
        <w:rPr>
          <w:rFonts w:eastAsia="仿宋_GB2312"/>
          <w:snapToGrid w:val="0"/>
          <w:kern w:val="0"/>
          <w:sz w:val="32"/>
          <w:szCs w:val="32"/>
        </w:rPr>
        <w:t>.</w:t>
      </w:r>
      <w:r>
        <w:rPr>
          <w:rFonts w:hint="eastAsia" w:eastAsia="仿宋_GB2312"/>
          <w:snapToGrid w:val="0"/>
          <w:kern w:val="0"/>
          <w:sz w:val="32"/>
          <w:szCs w:val="32"/>
        </w:rPr>
        <w:t>产品名称</w:t>
      </w:r>
    </w:p>
    <w:p w14:paraId="2F06961B">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产品命名需符合《医疗器械通用名称命名规则》《医用成像器械通用名称命名指导原则》</w:t>
      </w:r>
      <w:r>
        <w:rPr>
          <w:rFonts w:hint="eastAsia" w:eastAsia="仿宋_GB2312"/>
          <w:sz w:val="32"/>
          <w:szCs w:val="32"/>
        </w:rPr>
        <w:t>等相关法规、规范性文件的要求</w:t>
      </w:r>
      <w:r>
        <w:rPr>
          <w:rFonts w:hint="eastAsia" w:eastAsia="仿宋_GB2312"/>
          <w:snapToGrid w:val="0"/>
          <w:kern w:val="0"/>
          <w:sz w:val="32"/>
          <w:szCs w:val="32"/>
        </w:rPr>
        <w:t>，如：“</w:t>
      </w:r>
      <w:r>
        <w:rPr>
          <w:rFonts w:hint="eastAsia" w:eastAsia="仿宋_GB2312"/>
          <w:snapToGrid w:val="0"/>
          <w:kern w:val="0"/>
          <w:sz w:val="32"/>
          <w:szCs w:val="32"/>
          <w:lang w:val="en-US" w:eastAsia="zh-CN"/>
        </w:rPr>
        <w:t>内窥镜</w:t>
      </w:r>
      <w:r>
        <w:rPr>
          <w:rFonts w:hint="eastAsia" w:eastAsia="仿宋_GB2312"/>
          <w:snapToGrid w:val="0"/>
          <w:kern w:val="0"/>
          <w:sz w:val="32"/>
          <w:szCs w:val="32"/>
        </w:rPr>
        <w:t>气腹机”</w:t>
      </w:r>
      <w:r>
        <w:rPr>
          <w:rFonts w:eastAsia="仿宋_GB2312"/>
          <w:snapToGrid w:val="0"/>
          <w:kern w:val="0"/>
          <w:sz w:val="32"/>
          <w:szCs w:val="32"/>
        </w:rPr>
        <w:t>。</w:t>
      </w:r>
      <w:r>
        <w:rPr>
          <w:rFonts w:hint="eastAsia" w:eastAsia="仿宋_GB2312"/>
          <w:snapToGrid w:val="0"/>
          <w:kern w:val="0"/>
          <w:sz w:val="32"/>
          <w:szCs w:val="32"/>
        </w:rPr>
        <w:t>产品名称应为通用名，不应包括产品型号、系列</w:t>
      </w:r>
      <w:r>
        <w:rPr>
          <w:rFonts w:eastAsia="仿宋_GB2312"/>
          <w:snapToGrid w:val="0"/>
          <w:kern w:val="0"/>
          <w:sz w:val="32"/>
          <w:szCs w:val="32"/>
        </w:rPr>
        <w:t>。</w:t>
      </w:r>
    </w:p>
    <w:p w14:paraId="6E25F4B9">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2.分类编码</w:t>
      </w:r>
    </w:p>
    <w:p w14:paraId="2CBFEADE">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依据</w:t>
      </w:r>
      <w:r>
        <w:rPr>
          <w:rFonts w:eastAsia="仿宋_GB2312"/>
          <w:snapToGrid w:val="0"/>
          <w:kern w:val="0"/>
          <w:sz w:val="32"/>
          <w:szCs w:val="32"/>
        </w:rPr>
        <w:t>《医疗器械分类目录》，申报产品</w:t>
      </w:r>
      <w:r>
        <w:rPr>
          <w:rFonts w:hint="eastAsia" w:eastAsia="仿宋_GB2312"/>
          <w:snapToGrid w:val="0"/>
          <w:kern w:val="0"/>
          <w:sz w:val="32"/>
          <w:szCs w:val="32"/>
        </w:rPr>
        <w:t>分类</w:t>
      </w:r>
      <w:r>
        <w:rPr>
          <w:rFonts w:eastAsia="仿宋_GB2312"/>
          <w:snapToGrid w:val="0"/>
          <w:kern w:val="0"/>
          <w:sz w:val="32"/>
          <w:szCs w:val="32"/>
        </w:rPr>
        <w:t>编码为</w:t>
      </w:r>
      <w:r>
        <w:rPr>
          <w:rFonts w:hint="eastAsia" w:eastAsia="仿宋_GB2312"/>
          <w:snapToGrid w:val="0"/>
          <w:kern w:val="0"/>
          <w:sz w:val="32"/>
          <w:szCs w:val="32"/>
        </w:rPr>
        <w:t>06-15-04，管理类别为II类。</w:t>
      </w:r>
    </w:p>
    <w:p w14:paraId="7215CB3A">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3.注册单元划分的原则和实例</w:t>
      </w:r>
    </w:p>
    <w:p w14:paraId="358D4AEA">
      <w:pPr>
        <w:spacing w:line="520" w:lineRule="exact"/>
        <w:ind w:firstLine="640" w:firstLineChars="200"/>
        <w:rPr>
          <w:rFonts w:eastAsia="仿宋_GB2312"/>
          <w:sz w:val="32"/>
          <w:szCs w:val="32"/>
        </w:rPr>
      </w:pPr>
      <w:r>
        <w:rPr>
          <w:rFonts w:hint="eastAsia" w:eastAsia="仿宋_GB2312"/>
          <w:sz w:val="32"/>
          <w:szCs w:val="32"/>
        </w:rPr>
        <w:t>产品注册单元的划分需符合《医疗器械注册单元划分指导原则》的要求。气腹机</w:t>
      </w:r>
      <w:r>
        <w:rPr>
          <w:rFonts w:eastAsia="仿宋_GB2312"/>
          <w:sz w:val="32"/>
          <w:szCs w:val="32"/>
        </w:rPr>
        <w:t>产品的注册单元原则上以工作原理、产品结构组成、性能指标和适用范围为划分依据。</w:t>
      </w:r>
    </w:p>
    <w:p w14:paraId="5BB0FA66">
      <w:pPr>
        <w:spacing w:line="520" w:lineRule="exact"/>
        <w:ind w:firstLine="640" w:firstLineChars="200"/>
        <w:rPr>
          <w:rStyle w:val="26"/>
          <w:rFonts w:hint="eastAsia" w:eastAsia="宋体"/>
          <w:lang w:val="en-US" w:eastAsia="zh-CN"/>
        </w:rPr>
      </w:pPr>
      <w:r>
        <w:rPr>
          <w:rFonts w:eastAsia="仿宋_GB2312"/>
          <w:sz w:val="32"/>
          <w:szCs w:val="32"/>
        </w:rPr>
        <w:t>性能指标有较大差异的，</w:t>
      </w:r>
      <w:bookmarkStart w:id="2" w:name="OLE_LINK3"/>
      <w:r>
        <w:rPr>
          <w:rFonts w:eastAsia="仿宋_GB2312"/>
          <w:sz w:val="32"/>
          <w:szCs w:val="32"/>
        </w:rPr>
        <w:t>应考虑划分为不同的注册单元。</w:t>
      </w:r>
      <w:bookmarkEnd w:id="2"/>
      <w:r>
        <w:rPr>
          <w:rStyle w:val="18"/>
          <w:rFonts w:hint="default" w:eastAsia="仿宋_GB2312"/>
          <w:sz w:val="32"/>
          <w:szCs w:val="32"/>
          <w:lang w:val="en-US" w:eastAsia="zh-CN"/>
        </w:rPr>
        <w:t>如：</w:t>
      </w:r>
      <w:r>
        <w:rPr>
          <w:rFonts w:hint="eastAsia" w:eastAsia="仿宋_GB2312"/>
          <w:sz w:val="32"/>
          <w:szCs w:val="32"/>
          <w:lang w:val="en-US" w:eastAsia="zh-CN"/>
        </w:rPr>
        <w:t>（1）</w:t>
      </w:r>
      <w:r>
        <w:rPr>
          <w:rStyle w:val="18"/>
          <w:rFonts w:hint="default" w:eastAsia="仿宋_GB2312"/>
          <w:sz w:val="32"/>
          <w:szCs w:val="32"/>
          <w:lang w:val="en-US" w:eastAsia="zh-CN"/>
        </w:rPr>
        <w:t>流量控制功能不同：恒定流量输出功能和支持动态流量调节（如根据手术阶段自动调整流量）因功能和性能指标不同，应划分为不同注册单元。</w:t>
      </w:r>
      <w:r>
        <w:rPr>
          <w:rFonts w:hint="eastAsia" w:eastAsia="仿宋_GB2312"/>
          <w:sz w:val="32"/>
          <w:szCs w:val="32"/>
          <w:lang w:val="en-US" w:eastAsia="zh-CN"/>
        </w:rPr>
        <w:t>（2）</w:t>
      </w:r>
      <w:r>
        <w:rPr>
          <w:rStyle w:val="18"/>
          <w:rFonts w:hint="default" w:eastAsia="仿宋_GB2312"/>
          <w:sz w:val="32"/>
          <w:szCs w:val="32"/>
          <w:lang w:val="en-US" w:eastAsia="zh-CN"/>
        </w:rPr>
        <w:t>过滤器类型不同：使用不同过滤精度过滤器的气腹机，若对气体纯度和安全性要求不同，应划分为不同注册单元。</w:t>
      </w:r>
      <w:r>
        <w:rPr>
          <w:rFonts w:hint="eastAsia" w:eastAsia="仿宋_GB2312"/>
          <w:sz w:val="32"/>
          <w:szCs w:val="32"/>
          <w:lang w:val="en-US" w:eastAsia="zh-CN"/>
        </w:rPr>
        <w:t>（3）</w:t>
      </w:r>
      <w:r>
        <w:rPr>
          <w:rStyle w:val="18"/>
          <w:rFonts w:hint="default" w:eastAsia="仿宋_GB2312"/>
          <w:sz w:val="32"/>
          <w:szCs w:val="32"/>
          <w:lang w:val="en-US" w:eastAsia="zh-CN"/>
        </w:rPr>
        <w:t>适用手术类型不同：专门用于妇科腹腔镜手术的气腹机与通用型腹腔镜气腹机，因临床应用场景和性能需求差异，应单独划分注册单元。</w:t>
      </w:r>
    </w:p>
    <w:p w14:paraId="121D681B">
      <w:pPr>
        <w:overflowPunct w:val="0"/>
        <w:autoSpaceDE w:val="0"/>
        <w:autoSpaceDN w:val="0"/>
        <w:spacing w:line="520" w:lineRule="exact"/>
        <w:ind w:firstLine="640" w:firstLineChars="200"/>
        <w:outlineLvl w:val="2"/>
        <w:rPr>
          <w:rFonts w:eastAsia="仿宋_GB2312"/>
          <w:snapToGrid w:val="0"/>
          <w:kern w:val="0"/>
          <w:sz w:val="32"/>
          <w:szCs w:val="32"/>
        </w:rPr>
      </w:pPr>
      <w:r>
        <w:rPr>
          <w:rFonts w:eastAsia="仿宋_GB2312"/>
          <w:snapToGrid w:val="0"/>
          <w:kern w:val="0"/>
          <w:sz w:val="32"/>
          <w:szCs w:val="32"/>
        </w:rPr>
        <w:t>产品的工作原理相同，其结构组成、适用范围符合上述描述的气腹机产品，原则上可作为同一注册单元。</w:t>
      </w:r>
    </w:p>
    <w:p w14:paraId="506E41DC">
      <w:pPr>
        <w:overflowPunct w:val="0"/>
        <w:autoSpaceDE w:val="0"/>
        <w:autoSpaceDN w:val="0"/>
        <w:spacing w:line="520" w:lineRule="exact"/>
        <w:ind w:left="221" w:firstLine="200"/>
        <w:outlineLvl w:val="1"/>
        <w:rPr>
          <w:rFonts w:eastAsia="楷体_GB2312"/>
          <w:sz w:val="32"/>
          <w:szCs w:val="32"/>
        </w:rPr>
      </w:pPr>
      <w:r>
        <w:rPr>
          <w:rFonts w:hint="eastAsia" w:eastAsia="楷体_GB2312"/>
          <w:sz w:val="32"/>
          <w:szCs w:val="32"/>
        </w:rPr>
        <w:t>（二）综述</w:t>
      </w:r>
      <w:r>
        <w:rPr>
          <w:rFonts w:eastAsia="楷体_GB2312"/>
          <w:sz w:val="32"/>
          <w:szCs w:val="32"/>
        </w:rPr>
        <w:t>资料</w:t>
      </w:r>
    </w:p>
    <w:p w14:paraId="6D93FE3E">
      <w:pPr>
        <w:pStyle w:val="60"/>
        <w:overflowPunct w:val="0"/>
        <w:autoSpaceDE w:val="0"/>
        <w:autoSpaceDN w:val="0"/>
        <w:spacing w:line="520" w:lineRule="exact"/>
        <w:ind w:right="210" w:firstLine="640"/>
        <w:outlineLvl w:val="2"/>
        <w:rPr>
          <w:rFonts w:ascii="Times New Roman" w:hAnsi="Times New Roman" w:eastAsia="楷体_GB2312"/>
          <w:sz w:val="32"/>
          <w:szCs w:val="32"/>
        </w:rPr>
      </w:pPr>
      <w:r>
        <w:rPr>
          <w:rFonts w:hint="eastAsia" w:ascii="Times New Roman" w:hAnsi="Times New Roman" w:eastAsia="楷体_GB2312"/>
          <w:sz w:val="32"/>
          <w:szCs w:val="32"/>
        </w:rPr>
        <w:t>1.</w:t>
      </w:r>
      <w:bookmarkEnd w:id="1"/>
      <w:r>
        <w:rPr>
          <w:rFonts w:hint="eastAsia" w:ascii="Times New Roman" w:hAnsi="Times New Roman" w:eastAsia="仿宋_GB2312"/>
          <w:sz w:val="32"/>
          <w:szCs w:val="32"/>
        </w:rPr>
        <w:t>产品描述</w:t>
      </w:r>
    </w:p>
    <w:p w14:paraId="11780BDF">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1.1器械及操作原理描述</w:t>
      </w:r>
    </w:p>
    <w:p w14:paraId="0F64DD60">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1.1.1</w:t>
      </w:r>
      <w:r>
        <w:rPr>
          <w:rFonts w:ascii="Times New Roman" w:hAnsi="Times New Roman" w:eastAsia="仿宋_GB2312"/>
          <w:snapToGrid w:val="0"/>
          <w:kern w:val="0"/>
          <w:sz w:val="32"/>
          <w:szCs w:val="32"/>
        </w:rPr>
        <w:t>工作原理</w:t>
      </w:r>
    </w:p>
    <w:p w14:paraId="171B75AB">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需</w:t>
      </w:r>
      <w:r>
        <w:rPr>
          <w:rFonts w:eastAsia="仿宋_GB2312"/>
          <w:snapToGrid w:val="0"/>
          <w:kern w:val="0"/>
          <w:sz w:val="32"/>
          <w:szCs w:val="32"/>
        </w:rPr>
        <w:t>详述</w:t>
      </w:r>
      <w:r>
        <w:rPr>
          <w:rFonts w:hint="eastAsia" w:eastAsia="仿宋_GB2312"/>
          <w:snapToGrid w:val="0"/>
          <w:kern w:val="0"/>
          <w:sz w:val="32"/>
          <w:szCs w:val="32"/>
        </w:rPr>
        <w:t>产品</w:t>
      </w:r>
      <w:r>
        <w:rPr>
          <w:rFonts w:eastAsia="仿宋_GB2312"/>
          <w:snapToGrid w:val="0"/>
          <w:kern w:val="0"/>
          <w:sz w:val="32"/>
          <w:szCs w:val="32"/>
        </w:rPr>
        <w:t>的工作原理，例如：</w:t>
      </w:r>
      <w:r>
        <w:rPr>
          <w:rFonts w:hint="eastAsia" w:eastAsia="仿宋_GB2312"/>
          <w:snapToGrid w:val="0"/>
          <w:kern w:val="0"/>
          <w:sz w:val="32"/>
          <w:szCs w:val="32"/>
        </w:rPr>
        <w:t>气腹机是用于腹腔内窥镜手术中的气腹建立和维持的设备。利用气腹机可以向腹腔内灌注医用CO</w:t>
      </w:r>
      <w:r>
        <w:rPr>
          <w:rFonts w:hint="eastAsia" w:eastAsia="仿宋_GB2312"/>
          <w:snapToGrid w:val="0"/>
          <w:kern w:val="0"/>
          <w:szCs w:val="21"/>
        </w:rPr>
        <w:t>2</w:t>
      </w:r>
      <w:r>
        <w:rPr>
          <w:rFonts w:hint="eastAsia" w:eastAsia="仿宋_GB2312"/>
          <w:snapToGrid w:val="0"/>
          <w:kern w:val="0"/>
          <w:sz w:val="32"/>
          <w:szCs w:val="32"/>
        </w:rPr>
        <w:t>气体，用气体将腹壁与腹腔内脏器隔开，形成手术操作和视野空间。当达到预定压力时能自动停止进气，并维持一定量的气体使腹腔内一直处于预定的压力充气状态。当手术操作中腹腔内气压降低时（如手术器械进出时、手术需要抽吸操作时、体外结扎时造成腹腔内CO</w:t>
      </w:r>
      <w:r>
        <w:rPr>
          <w:rFonts w:hint="eastAsia" w:eastAsia="仿宋_GB2312"/>
          <w:snapToGrid w:val="0"/>
          <w:kern w:val="0"/>
          <w:szCs w:val="21"/>
        </w:rPr>
        <w:t>2</w:t>
      </w:r>
      <w:r>
        <w:rPr>
          <w:rFonts w:hint="eastAsia" w:eastAsia="仿宋_GB2312"/>
          <w:snapToGrid w:val="0"/>
          <w:kern w:val="0"/>
          <w:sz w:val="32"/>
          <w:szCs w:val="32"/>
        </w:rPr>
        <w:t>气体吸出或漏出而引起的腹腔内充气压力下降）气腹机能自动充气维持手术操作所需的必要操作和观察空间</w:t>
      </w:r>
      <w:r>
        <w:rPr>
          <w:rFonts w:eastAsia="仿宋_GB2312"/>
          <w:snapToGrid w:val="0"/>
          <w:kern w:val="0"/>
          <w:sz w:val="32"/>
          <w:szCs w:val="32"/>
        </w:rPr>
        <w:t>。</w:t>
      </w:r>
    </w:p>
    <w:p w14:paraId="78DBE676">
      <w:pPr>
        <w:pStyle w:val="60"/>
        <w:overflowPunct w:val="0"/>
        <w:autoSpaceDE w:val="0"/>
        <w:autoSpaceDN w:val="0"/>
        <w:spacing w:line="520" w:lineRule="exact"/>
        <w:ind w:left="431" w:right="210" w:firstLine="200" w:firstLineChars="0"/>
        <w:rPr>
          <w:rFonts w:eastAsia="仿宋_GB2312"/>
          <w:sz w:val="32"/>
          <w:szCs w:val="32"/>
        </w:rPr>
      </w:pPr>
      <w:r>
        <w:rPr>
          <w:rFonts w:hint="eastAsia" w:ascii="Times New Roman" w:hAnsi="Times New Roman" w:eastAsia="仿宋_GB2312"/>
          <w:snapToGrid w:val="0"/>
          <w:kern w:val="0"/>
          <w:sz w:val="32"/>
          <w:szCs w:val="32"/>
        </w:rPr>
        <w:t>1.1.2</w:t>
      </w:r>
      <w:r>
        <w:rPr>
          <w:rFonts w:ascii="Times New Roman" w:hAnsi="Times New Roman" w:eastAsia="仿宋_GB2312"/>
          <w:snapToGrid w:val="0"/>
          <w:kern w:val="0"/>
          <w:sz w:val="32"/>
          <w:szCs w:val="32"/>
        </w:rPr>
        <w:t>结构组成</w:t>
      </w:r>
    </w:p>
    <w:p w14:paraId="2C2B691D">
      <w:pPr>
        <w:spacing w:line="520" w:lineRule="exact"/>
        <w:ind w:left="105" w:leftChars="50" w:firstLine="480" w:firstLineChars="150"/>
        <w:rPr>
          <w:rFonts w:eastAsia="仿宋_GB2312"/>
          <w:sz w:val="32"/>
          <w:szCs w:val="32"/>
        </w:rPr>
      </w:pPr>
      <w:r>
        <w:rPr>
          <w:rFonts w:hint="eastAsia" w:eastAsia="仿宋_GB2312"/>
          <w:sz w:val="32"/>
          <w:szCs w:val="32"/>
        </w:rPr>
        <w:t>描述产品的结构组成。气腹机一般由主机（减压阀、电磁阀、气压传感器、流量传感器、过滤器、电源、显示装置）及附件[过滤器、进气管（如有）、气腹管（如有）]组成。提供产品的电路图、光路图（如有）、气路图（如有）。应能体现各个关键部件，包括光源组件、电源组件、控制电路等</w:t>
      </w:r>
      <w:r>
        <w:rPr>
          <w:rFonts w:hint="eastAsia" w:eastAsia="仿宋_GB2312"/>
          <w:sz w:val="32"/>
          <w:szCs w:val="32"/>
          <w:lang w:eastAsia="zh-CN"/>
        </w:rPr>
        <w:t>，</w:t>
      </w:r>
      <w:r>
        <w:rPr>
          <w:rFonts w:eastAsia="仿宋_GB2312"/>
          <w:sz w:val="32"/>
          <w:szCs w:val="32"/>
        </w:rPr>
        <w:t>应详细写明通过研究验证确定的</w:t>
      </w:r>
      <w:r>
        <w:rPr>
          <w:rFonts w:hint="eastAsia" w:eastAsia="仿宋_GB2312"/>
          <w:sz w:val="32"/>
          <w:szCs w:val="32"/>
        </w:rPr>
        <w:t>气腹机</w:t>
      </w:r>
      <w:r>
        <w:rPr>
          <w:rFonts w:eastAsia="仿宋_GB2312"/>
          <w:sz w:val="32"/>
          <w:szCs w:val="32"/>
        </w:rPr>
        <w:t>产品的结构组成及主要元器件信息。</w:t>
      </w:r>
    </w:p>
    <w:p w14:paraId="6B9A2267">
      <w:pPr>
        <w:spacing w:line="520" w:lineRule="exact"/>
        <w:ind w:left="105" w:leftChars="50" w:firstLine="480" w:firstLineChars="150"/>
        <w:rPr>
          <w:rFonts w:eastAsia="仿宋"/>
          <w:sz w:val="32"/>
          <w:szCs w:val="32"/>
        </w:rPr>
      </w:pPr>
      <w:r>
        <w:rPr>
          <w:rFonts w:hint="eastAsia" w:eastAsia="仿宋_GB2312"/>
          <w:sz w:val="32"/>
          <w:szCs w:val="32"/>
        </w:rPr>
        <w:t>其主机外形结构见图1。图2到图4为气腹机附件</w:t>
      </w:r>
      <w:r>
        <w:rPr>
          <w:rFonts w:hint="eastAsia" w:eastAsia="仿宋"/>
          <w:sz w:val="32"/>
          <w:szCs w:val="32"/>
        </w:rPr>
        <w:t>。（图示为例）</w:t>
      </w:r>
    </w:p>
    <w:p w14:paraId="483634FB">
      <w:pPr>
        <w:pStyle w:val="54"/>
      </w:pPr>
      <w:r>
        <w:drawing>
          <wp:inline distT="0" distB="0" distL="0" distR="0">
            <wp:extent cx="5478780" cy="2331720"/>
            <wp:effectExtent l="1905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srcRect/>
                    <a:stretch>
                      <a:fillRect/>
                    </a:stretch>
                  </pic:blipFill>
                  <pic:spPr>
                    <a:xfrm>
                      <a:off x="0" y="0"/>
                      <a:ext cx="5478780" cy="2331720"/>
                    </a:xfrm>
                    <a:prstGeom prst="rect">
                      <a:avLst/>
                    </a:prstGeom>
                    <a:noFill/>
                    <a:ln w="9525" cmpd="sng">
                      <a:noFill/>
                      <a:miter lim="800000"/>
                      <a:headEnd/>
                      <a:tailEnd/>
                    </a:ln>
                  </pic:spPr>
                </pic:pic>
              </a:graphicData>
            </a:graphic>
          </wp:inline>
        </w:drawing>
      </w:r>
    </w:p>
    <w:p w14:paraId="603E7C93">
      <w:pPr>
        <w:spacing w:line="520" w:lineRule="exact"/>
        <w:ind w:firstLine="560" w:firstLineChars="200"/>
        <w:jc w:val="center"/>
        <w:rPr>
          <w:rFonts w:ascii="黑体" w:hAnsi="黑体" w:eastAsia="黑体"/>
          <w:sz w:val="28"/>
          <w:szCs w:val="32"/>
        </w:rPr>
      </w:pPr>
      <w:r>
        <w:rPr>
          <w:rFonts w:ascii="黑体" w:hAnsi="黑体" w:eastAsia="黑体"/>
          <w:sz w:val="28"/>
          <w:szCs w:val="32"/>
        </w:rPr>
        <w:t>图1</w:t>
      </w:r>
      <w:r>
        <w:rPr>
          <w:rFonts w:hint="eastAsia" w:ascii="黑体" w:hAnsi="黑体" w:eastAsia="黑体"/>
          <w:sz w:val="28"/>
          <w:szCs w:val="32"/>
        </w:rPr>
        <w:t xml:space="preserve">  </w:t>
      </w:r>
      <w:r>
        <w:rPr>
          <w:rFonts w:ascii="黑体" w:hAnsi="黑体" w:eastAsia="黑体"/>
          <w:sz w:val="28"/>
          <w:szCs w:val="32"/>
        </w:rPr>
        <w:t>产品主机</w:t>
      </w:r>
    </w:p>
    <w:p w14:paraId="20C9899E">
      <w:pPr>
        <w:pStyle w:val="54"/>
      </w:pPr>
    </w:p>
    <w:p w14:paraId="5AEDBA5D">
      <w:pPr>
        <w:pStyle w:val="54"/>
        <w:jc w:val="center"/>
      </w:pPr>
      <w:r>
        <w:drawing>
          <wp:inline distT="0" distB="0" distL="0" distR="0">
            <wp:extent cx="3314700" cy="369570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
                    <a:srcRect/>
                    <a:stretch>
                      <a:fillRect/>
                    </a:stretch>
                  </pic:blipFill>
                  <pic:spPr>
                    <a:xfrm>
                      <a:off x="0" y="0"/>
                      <a:ext cx="3314700" cy="3695700"/>
                    </a:xfrm>
                    <a:prstGeom prst="rect">
                      <a:avLst/>
                    </a:prstGeom>
                    <a:noFill/>
                    <a:ln w="9525" cmpd="sng">
                      <a:noFill/>
                      <a:miter lim="800000"/>
                      <a:headEnd/>
                      <a:tailEnd/>
                    </a:ln>
                  </pic:spPr>
                </pic:pic>
              </a:graphicData>
            </a:graphic>
          </wp:inline>
        </w:drawing>
      </w:r>
    </w:p>
    <w:p w14:paraId="28B2635F">
      <w:pPr>
        <w:spacing w:line="520" w:lineRule="exact"/>
        <w:ind w:firstLine="560" w:firstLineChars="200"/>
        <w:jc w:val="center"/>
        <w:rPr>
          <w:rFonts w:ascii="黑体" w:hAnsi="黑体" w:eastAsia="黑体"/>
          <w:sz w:val="28"/>
          <w:szCs w:val="32"/>
        </w:rPr>
      </w:pPr>
      <w:r>
        <w:rPr>
          <w:rFonts w:ascii="黑体" w:hAnsi="黑体" w:eastAsia="黑体"/>
          <w:sz w:val="28"/>
          <w:szCs w:val="32"/>
        </w:rPr>
        <w:t>图2</w:t>
      </w:r>
      <w:r>
        <w:rPr>
          <w:rFonts w:hint="eastAsia" w:ascii="黑体" w:hAnsi="黑体" w:eastAsia="黑体"/>
          <w:sz w:val="28"/>
          <w:szCs w:val="32"/>
        </w:rPr>
        <w:t xml:space="preserve"> </w:t>
      </w:r>
      <w:r>
        <w:rPr>
          <w:rFonts w:ascii="黑体" w:hAnsi="黑体" w:eastAsia="黑体"/>
          <w:sz w:val="28"/>
          <w:szCs w:val="32"/>
        </w:rPr>
        <w:t xml:space="preserve"> 进气管（要能耐受一定的压力）</w:t>
      </w:r>
    </w:p>
    <w:p w14:paraId="2EB4BB65">
      <w:pPr>
        <w:pStyle w:val="54"/>
        <w:jc w:val="center"/>
      </w:pPr>
    </w:p>
    <w:p w14:paraId="5DDBD5AB">
      <w:pPr>
        <w:pStyle w:val="54"/>
        <w:jc w:val="center"/>
        <w:rPr>
          <w:sz w:val="24"/>
        </w:rPr>
      </w:pPr>
      <w:r>
        <w:rPr>
          <w:sz w:val="24"/>
        </w:rPr>
        <w:drawing>
          <wp:inline distT="0" distB="0" distL="0" distR="0">
            <wp:extent cx="6057900" cy="2377440"/>
            <wp:effectExtent l="19050" t="0" r="0" b="0"/>
            <wp:docPr id="3" name="图片 3" descr="C:\Users\Administrator\AppData\Roaming\Tencent\Users\490191074\QQ\WinTemp\RichOle\5{{WH8%O]@)7N9YGQ0BDF~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Roaming\Tencent\Users\490191074\QQ\WinTemp\RichOle\5{{WH8%O]@)7N9YGQ0BDF~U.png"/>
                    <pic:cNvPicPr>
                      <a:picLocks noChangeAspect="1" noChangeArrowheads="1"/>
                    </pic:cNvPicPr>
                  </pic:nvPicPr>
                  <pic:blipFill>
                    <a:blip r:embed="rId8"/>
                    <a:srcRect/>
                    <a:stretch>
                      <a:fillRect/>
                    </a:stretch>
                  </pic:blipFill>
                  <pic:spPr>
                    <a:xfrm>
                      <a:off x="0" y="0"/>
                      <a:ext cx="6057900" cy="2377440"/>
                    </a:xfrm>
                    <a:prstGeom prst="rect">
                      <a:avLst/>
                    </a:prstGeom>
                    <a:noFill/>
                    <a:ln w="9525" cmpd="sng">
                      <a:noFill/>
                      <a:miter lim="800000"/>
                      <a:headEnd/>
                      <a:tailEnd/>
                    </a:ln>
                    <a:effectLst/>
                  </pic:spPr>
                </pic:pic>
              </a:graphicData>
            </a:graphic>
          </wp:inline>
        </w:drawing>
      </w:r>
    </w:p>
    <w:p w14:paraId="119AE7E4">
      <w:pPr>
        <w:pStyle w:val="54"/>
        <w:jc w:val="center"/>
        <w:rPr>
          <w:sz w:val="24"/>
        </w:rPr>
      </w:pPr>
    </w:p>
    <w:p w14:paraId="7391B0E8">
      <w:pPr>
        <w:spacing w:line="520" w:lineRule="exact"/>
        <w:ind w:firstLine="560" w:firstLineChars="200"/>
        <w:jc w:val="center"/>
        <w:rPr>
          <w:rFonts w:ascii="黑体" w:hAnsi="黑体" w:eastAsia="黑体"/>
          <w:sz w:val="28"/>
          <w:szCs w:val="32"/>
        </w:rPr>
      </w:pPr>
      <w:r>
        <w:rPr>
          <w:rFonts w:ascii="黑体" w:hAnsi="黑体" w:eastAsia="黑体"/>
          <w:sz w:val="28"/>
          <w:szCs w:val="32"/>
        </w:rPr>
        <w:t>图3</w:t>
      </w:r>
      <w:r>
        <w:rPr>
          <w:rFonts w:hint="eastAsia" w:ascii="黑体" w:hAnsi="黑体" w:eastAsia="黑体"/>
          <w:sz w:val="28"/>
          <w:szCs w:val="32"/>
        </w:rPr>
        <w:t xml:space="preserve">  </w:t>
      </w:r>
      <w:r>
        <w:rPr>
          <w:rFonts w:ascii="黑体" w:hAnsi="黑体" w:eastAsia="黑体"/>
          <w:sz w:val="28"/>
          <w:szCs w:val="32"/>
        </w:rPr>
        <w:t>常用过滤器种类</w:t>
      </w:r>
    </w:p>
    <w:p w14:paraId="60555C55">
      <w:pPr>
        <w:pStyle w:val="54"/>
        <w:jc w:val="center"/>
        <w:rPr>
          <w:sz w:val="24"/>
        </w:rPr>
      </w:pPr>
    </w:p>
    <w:p w14:paraId="642E4EB4">
      <w:pPr>
        <w:pStyle w:val="54"/>
        <w:jc w:val="center"/>
        <w:rPr>
          <w:sz w:val="24"/>
        </w:rPr>
      </w:pPr>
    </w:p>
    <w:p w14:paraId="58CAA61A">
      <w:pPr>
        <w:pStyle w:val="54"/>
        <w:jc w:val="center"/>
        <w:rPr>
          <w:sz w:val="24"/>
        </w:rPr>
      </w:pPr>
      <w:r>
        <w:rPr>
          <w:sz w:val="24"/>
        </w:rPr>
        <w:drawing>
          <wp:inline distT="0" distB="0" distL="0" distR="0">
            <wp:extent cx="4335780" cy="3680460"/>
            <wp:effectExtent l="19050" t="0" r="7620" b="0"/>
            <wp:docPr id="4" name="图片 6" descr="C:\Users\Administrator\AppData\Roaming\Tencent\Users\490191074\QQ\WinTemp\RichOle\E~2GJY(P%R$FN7{`H2)ZV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C:\Users\Administrator\AppData\Roaming\Tencent\Users\490191074\QQ\WinTemp\RichOle\E~2GJY(P%R$FN7{`H2)ZVA8.png"/>
                    <pic:cNvPicPr>
                      <a:picLocks noChangeAspect="1" noChangeArrowheads="1"/>
                    </pic:cNvPicPr>
                  </pic:nvPicPr>
                  <pic:blipFill>
                    <a:blip r:embed="rId9"/>
                    <a:srcRect r="9422"/>
                    <a:stretch>
                      <a:fillRect/>
                    </a:stretch>
                  </pic:blipFill>
                  <pic:spPr>
                    <a:xfrm>
                      <a:off x="0" y="0"/>
                      <a:ext cx="4335780" cy="3680460"/>
                    </a:xfrm>
                    <a:prstGeom prst="rect">
                      <a:avLst/>
                    </a:prstGeom>
                    <a:noFill/>
                    <a:ln w="9525" cmpd="sng">
                      <a:noFill/>
                      <a:miter lim="800000"/>
                      <a:headEnd/>
                      <a:tailEnd/>
                    </a:ln>
                  </pic:spPr>
                </pic:pic>
              </a:graphicData>
            </a:graphic>
          </wp:inline>
        </w:drawing>
      </w:r>
    </w:p>
    <w:p w14:paraId="5BEEA7CC">
      <w:pPr>
        <w:pStyle w:val="54"/>
        <w:jc w:val="center"/>
        <w:rPr>
          <w:sz w:val="24"/>
        </w:rPr>
      </w:pPr>
    </w:p>
    <w:p w14:paraId="355CFF64">
      <w:pPr>
        <w:spacing w:afterLines="50" w:line="520" w:lineRule="exact"/>
        <w:ind w:firstLine="560" w:firstLineChars="200"/>
        <w:jc w:val="center"/>
        <w:rPr>
          <w:rFonts w:ascii="黑体" w:hAnsi="黑体" w:eastAsia="黑体"/>
          <w:sz w:val="28"/>
          <w:szCs w:val="28"/>
        </w:rPr>
      </w:pPr>
      <w:r>
        <w:rPr>
          <w:rFonts w:ascii="黑体" w:hAnsi="黑体" w:eastAsia="黑体"/>
          <w:sz w:val="28"/>
          <w:szCs w:val="28"/>
        </w:rPr>
        <w:t>图4</w:t>
      </w:r>
      <w:r>
        <w:rPr>
          <w:rFonts w:hint="eastAsia" w:ascii="黑体" w:hAnsi="黑体" w:eastAsia="黑体"/>
          <w:sz w:val="28"/>
          <w:szCs w:val="28"/>
        </w:rPr>
        <w:t xml:space="preserve">  </w:t>
      </w:r>
      <w:r>
        <w:rPr>
          <w:rFonts w:ascii="黑体" w:hAnsi="黑体" w:eastAsia="黑体"/>
          <w:sz w:val="28"/>
          <w:szCs w:val="28"/>
        </w:rPr>
        <w:t>气腹管</w:t>
      </w:r>
    </w:p>
    <w:p w14:paraId="4C2A91C7">
      <w:pPr>
        <w:pStyle w:val="54"/>
        <w:jc w:val="center"/>
        <w:rPr>
          <w:sz w:val="24"/>
        </w:rPr>
      </w:pPr>
    </w:p>
    <w:p w14:paraId="4FB3EDC6">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1</w:t>
      </w:r>
      <w:r>
        <w:rPr>
          <w:rFonts w:ascii="Times New Roman" w:hAnsi="Times New Roman" w:eastAsia="仿宋_GB2312"/>
          <w:snapToGrid w:val="0"/>
          <w:kern w:val="0"/>
          <w:sz w:val="32"/>
          <w:szCs w:val="32"/>
        </w:rPr>
        <w:t>.2型号规格</w:t>
      </w:r>
    </w:p>
    <w:p w14:paraId="2E1D40F9">
      <w:pPr>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对于同一注册单元申报产品存在多种型号规格的，应当明确各型号规格之间的区别，应当采用表格加说明性文字的图片、图表，对各型号规格的结构组成（或配置）、功能、产品特征和运行模式、技术参数、性能指标等方面的差异进行描述</w:t>
      </w:r>
      <w:r>
        <w:rPr>
          <w:rFonts w:eastAsia="仿宋_GB2312"/>
          <w:snapToGrid w:val="0"/>
          <w:kern w:val="0"/>
          <w:sz w:val="32"/>
          <w:szCs w:val="32"/>
        </w:rPr>
        <w:t>。</w:t>
      </w:r>
    </w:p>
    <w:p w14:paraId="453644DE">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1.3包装说明</w:t>
      </w:r>
    </w:p>
    <w:p w14:paraId="059A21D1">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申请人应详细描述申报产品中注册单元所有产品组成的包装情况，说明包装清单和包装方式，提供包装图示。</w:t>
      </w:r>
    </w:p>
    <w:p w14:paraId="24FF9479">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1.4研发历程</w:t>
      </w:r>
    </w:p>
    <w:p w14:paraId="6119FEDD">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应描述申报产品的研发背景和目的，如申报产品的研发历史概述、历次注册申请提交的信息。</w:t>
      </w:r>
    </w:p>
    <w:p w14:paraId="4D44E35F">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1.5与同类和/或前代产品的参考和比较</w:t>
      </w:r>
    </w:p>
    <w:p w14:paraId="5A287712">
      <w:pPr>
        <w:pStyle w:val="54"/>
        <w:spacing w:line="520" w:lineRule="exact"/>
        <w:ind w:firstLine="640" w:firstLineChars="200"/>
        <w:rPr>
          <w:rFonts w:ascii="Times New Roman" w:hAnsi="Times New Roman" w:eastAsia="仿宋_GB2312"/>
          <w:snapToGrid w:val="0"/>
          <w:sz w:val="32"/>
          <w:szCs w:val="32"/>
        </w:rPr>
      </w:pPr>
      <w:r>
        <w:rPr>
          <w:rFonts w:hint="eastAsia" w:ascii="Times New Roman" w:hAnsi="Times New Roman" w:eastAsia="仿宋_GB2312"/>
          <w:snapToGrid w:val="0"/>
          <w:sz w:val="32"/>
          <w:szCs w:val="32"/>
        </w:rPr>
        <w:t>对于研发参考的同类产品或前代产品，应说明选择其作为研发参考的原因。同时列表说明申报产品与研发参考产品在工作原理、结构组成、性能指标及适用范围等方面的异同。</w:t>
      </w:r>
    </w:p>
    <w:p w14:paraId="77F95891">
      <w:pPr>
        <w:spacing w:line="520" w:lineRule="exact"/>
        <w:ind w:firstLine="640" w:firstLineChars="200"/>
        <w:outlineLvl w:val="2"/>
        <w:rPr>
          <w:rFonts w:eastAsia="仿宋_GB2312"/>
        </w:rPr>
      </w:pPr>
      <w:r>
        <w:rPr>
          <w:rFonts w:hint="eastAsia" w:eastAsia="仿宋_GB2312"/>
          <w:sz w:val="32"/>
          <w:szCs w:val="32"/>
        </w:rPr>
        <w:t>2.适用范围和禁忌证</w:t>
      </w:r>
    </w:p>
    <w:p w14:paraId="00B0E9DA">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2.1</w:t>
      </w:r>
      <w:r>
        <w:rPr>
          <w:rFonts w:ascii="Times New Roman" w:hAnsi="Times New Roman" w:eastAsia="仿宋_GB2312"/>
          <w:snapToGrid w:val="0"/>
          <w:kern w:val="0"/>
          <w:sz w:val="32"/>
          <w:szCs w:val="32"/>
        </w:rPr>
        <w:t>适用范围</w:t>
      </w:r>
    </w:p>
    <w:p w14:paraId="5B96C2D7">
      <w:pPr>
        <w:pStyle w:val="60"/>
        <w:overflowPunct w:val="0"/>
        <w:autoSpaceDE w:val="0"/>
        <w:autoSpaceDN w:val="0"/>
        <w:spacing w:line="520" w:lineRule="exact"/>
        <w:ind w:right="210" w:firstLine="640"/>
        <w:outlineLvl w:val="3"/>
        <w:rPr>
          <w:rFonts w:eastAsia="仿宋_GB2312" w:cs="仿宋_GB2312"/>
          <w:snapToGrid w:val="0"/>
          <w:kern w:val="0"/>
          <w:sz w:val="32"/>
          <w:szCs w:val="32"/>
        </w:rPr>
      </w:pPr>
      <w:r>
        <w:rPr>
          <w:rFonts w:hint="eastAsia" w:eastAsia="仿宋_GB2312" w:cs="仿宋_GB2312"/>
          <w:snapToGrid w:val="0"/>
          <w:kern w:val="0"/>
          <w:sz w:val="32"/>
          <w:szCs w:val="32"/>
        </w:rPr>
        <w:t>产品具体适用范围应与申报产品功能、临床应用范围相一致。气腹机的预期用途一般可限定为：产品适用于在腹腔内窥镜手术中气腹建立和维持，提供手术操作和视野空间。</w:t>
      </w:r>
    </w:p>
    <w:p w14:paraId="3083662B">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2.2</w:t>
      </w:r>
      <w:r>
        <w:rPr>
          <w:rFonts w:ascii="Times New Roman" w:hAnsi="Times New Roman" w:eastAsia="仿宋_GB2312"/>
          <w:snapToGrid w:val="0"/>
          <w:kern w:val="0"/>
          <w:sz w:val="32"/>
          <w:szCs w:val="32"/>
        </w:rPr>
        <w:t>预期使用环境</w:t>
      </w:r>
    </w:p>
    <w:p w14:paraId="00D676FC">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需</w:t>
      </w:r>
      <w:r>
        <w:rPr>
          <w:rFonts w:eastAsia="仿宋_GB2312"/>
          <w:snapToGrid w:val="0"/>
          <w:kern w:val="0"/>
          <w:sz w:val="32"/>
          <w:szCs w:val="32"/>
        </w:rPr>
        <w:t>明确设备使用场</w:t>
      </w:r>
      <w:r>
        <w:rPr>
          <w:rFonts w:hint="eastAsia" w:eastAsia="仿宋_GB2312"/>
          <w:snapToGrid w:val="0"/>
          <w:kern w:val="0"/>
          <w:sz w:val="32"/>
          <w:szCs w:val="32"/>
        </w:rPr>
        <w:t>所</w:t>
      </w:r>
      <w:r>
        <w:rPr>
          <w:rFonts w:eastAsia="仿宋_GB2312"/>
          <w:snapToGrid w:val="0"/>
          <w:kern w:val="0"/>
          <w:sz w:val="32"/>
          <w:szCs w:val="32"/>
        </w:rPr>
        <w:t>和使用环境要求。</w:t>
      </w:r>
    </w:p>
    <w:p w14:paraId="55ACF976">
      <w:pPr>
        <w:overflowPunct w:val="0"/>
        <w:autoSpaceDE w:val="0"/>
        <w:autoSpaceDN w:val="0"/>
        <w:spacing w:line="520" w:lineRule="exact"/>
        <w:ind w:firstLine="640" w:firstLineChars="200"/>
        <w:rPr>
          <w:rFonts w:eastAsia="仿宋_GB2312"/>
          <w:snapToGrid w:val="0"/>
          <w:kern w:val="0"/>
          <w:sz w:val="32"/>
          <w:szCs w:val="32"/>
        </w:rPr>
      </w:pPr>
      <w:r>
        <w:rPr>
          <w:rFonts w:eastAsia="仿宋_GB2312"/>
          <w:snapToGrid w:val="0"/>
          <w:kern w:val="0"/>
          <w:sz w:val="32"/>
          <w:szCs w:val="32"/>
        </w:rPr>
        <w:t>设备使用场</w:t>
      </w:r>
      <w:r>
        <w:rPr>
          <w:rFonts w:hint="eastAsia" w:eastAsia="仿宋_GB2312"/>
          <w:snapToGrid w:val="0"/>
          <w:kern w:val="0"/>
          <w:sz w:val="32"/>
          <w:szCs w:val="32"/>
        </w:rPr>
        <w:t>所</w:t>
      </w:r>
      <w:r>
        <w:rPr>
          <w:rFonts w:eastAsia="仿宋_GB2312"/>
          <w:snapToGrid w:val="0"/>
          <w:kern w:val="0"/>
          <w:sz w:val="32"/>
          <w:szCs w:val="32"/>
        </w:rPr>
        <w:t>包括：医疗机构等。</w:t>
      </w:r>
    </w:p>
    <w:p w14:paraId="4A46E56D">
      <w:pPr>
        <w:overflowPunct w:val="0"/>
        <w:autoSpaceDE w:val="0"/>
        <w:autoSpaceDN w:val="0"/>
        <w:spacing w:line="520" w:lineRule="exact"/>
        <w:ind w:firstLine="640" w:firstLineChars="200"/>
        <w:rPr>
          <w:rFonts w:eastAsia="仿宋_GB2312"/>
          <w:snapToGrid w:val="0"/>
          <w:kern w:val="0"/>
          <w:sz w:val="32"/>
          <w:szCs w:val="32"/>
        </w:rPr>
      </w:pPr>
      <w:r>
        <w:rPr>
          <w:rFonts w:eastAsia="仿宋_GB2312"/>
          <w:snapToGrid w:val="0"/>
          <w:kern w:val="0"/>
          <w:sz w:val="32"/>
          <w:szCs w:val="32"/>
        </w:rPr>
        <w:t>使用环境要求</w:t>
      </w:r>
      <w:r>
        <w:rPr>
          <w:rFonts w:hint="eastAsia" w:eastAsia="仿宋_GB2312"/>
          <w:snapToGrid w:val="0"/>
          <w:kern w:val="0"/>
          <w:sz w:val="32"/>
          <w:szCs w:val="32"/>
        </w:rPr>
        <w:t>需</w:t>
      </w:r>
      <w:r>
        <w:rPr>
          <w:rFonts w:eastAsia="仿宋_GB2312"/>
          <w:snapToGrid w:val="0"/>
          <w:kern w:val="0"/>
          <w:sz w:val="32"/>
          <w:szCs w:val="32"/>
        </w:rPr>
        <w:t>至少包括：使用的适宜温度、湿度、大气压。</w:t>
      </w:r>
    </w:p>
    <w:p w14:paraId="207E20F2">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2.3适用人群</w:t>
      </w:r>
    </w:p>
    <w:p w14:paraId="0BC7E32E">
      <w:pPr>
        <w:pStyle w:val="60"/>
        <w:overflowPunct w:val="0"/>
        <w:autoSpaceDE w:val="0"/>
        <w:autoSpaceDN w:val="0"/>
        <w:spacing w:line="520" w:lineRule="exact"/>
        <w:ind w:right="210" w:firstLine="640"/>
        <w:outlineLvl w:val="3"/>
        <w:rPr>
          <w:rFonts w:ascii="Times New Roman" w:hAnsi="Times New Roman" w:eastAsia="仿宋_GB2312"/>
          <w:snapToGrid w:val="0"/>
          <w:kern w:val="0"/>
          <w:sz w:val="32"/>
          <w:szCs w:val="32"/>
        </w:rPr>
      </w:pPr>
      <w:r>
        <w:rPr>
          <w:rFonts w:ascii="Times New Roman" w:hAnsi="Times New Roman" w:eastAsia="仿宋_GB2312"/>
          <w:snapToGrid w:val="0"/>
          <w:kern w:val="0"/>
          <w:sz w:val="32"/>
          <w:szCs w:val="32"/>
        </w:rPr>
        <w:t>应详述</w:t>
      </w:r>
      <w:r>
        <w:rPr>
          <w:rFonts w:hint="eastAsia" w:ascii="Times New Roman" w:hAnsi="Times New Roman" w:eastAsia="仿宋_GB2312"/>
          <w:snapToGrid w:val="0"/>
          <w:kern w:val="0"/>
          <w:sz w:val="32"/>
          <w:szCs w:val="32"/>
        </w:rPr>
        <w:t>申报</w:t>
      </w:r>
      <w:r>
        <w:rPr>
          <w:rFonts w:ascii="Times New Roman" w:hAnsi="Times New Roman" w:eastAsia="仿宋_GB2312"/>
          <w:snapToGrid w:val="0"/>
          <w:kern w:val="0"/>
          <w:sz w:val="32"/>
          <w:szCs w:val="32"/>
        </w:rPr>
        <w:t>产品的适用人群。</w:t>
      </w:r>
    </w:p>
    <w:p w14:paraId="4F80AF2B">
      <w:pPr>
        <w:overflowPunct w:val="0"/>
        <w:autoSpaceDE w:val="0"/>
        <w:autoSpaceDN w:val="0"/>
        <w:adjustRightInd w:val="0"/>
        <w:spacing w:line="520" w:lineRule="exact"/>
        <w:ind w:firstLine="640" w:firstLineChars="200"/>
        <w:rPr>
          <w:rFonts w:eastAsia="仿宋_GB2312"/>
          <w:snapToGrid w:val="0"/>
          <w:kern w:val="0"/>
          <w:sz w:val="32"/>
          <w:szCs w:val="32"/>
        </w:rPr>
      </w:pPr>
      <w:r>
        <w:rPr>
          <w:rFonts w:eastAsia="仿宋_GB2312"/>
          <w:snapToGrid w:val="0"/>
          <w:kern w:val="0"/>
          <w:sz w:val="32"/>
          <w:szCs w:val="32"/>
        </w:rPr>
        <w:t>2.4禁忌证</w:t>
      </w:r>
    </w:p>
    <w:p w14:paraId="6B4F122E">
      <w:pPr>
        <w:pStyle w:val="60"/>
        <w:overflowPunct w:val="0"/>
        <w:autoSpaceDE w:val="0"/>
        <w:autoSpaceDN w:val="0"/>
        <w:spacing w:line="520" w:lineRule="exact"/>
        <w:ind w:right="210" w:firstLine="640"/>
        <w:outlineLvl w:val="3"/>
        <w:rPr>
          <w:rFonts w:eastAsia="仿宋_GB2312" w:cs="仿宋_GB2312"/>
          <w:snapToGrid w:val="0"/>
          <w:kern w:val="0"/>
          <w:sz w:val="32"/>
          <w:szCs w:val="32"/>
        </w:rPr>
      </w:pPr>
      <w:r>
        <w:rPr>
          <w:rFonts w:hint="eastAsia" w:ascii="Times New Roman" w:hAnsi="Times New Roman" w:eastAsia="仿宋_GB2312"/>
          <w:snapToGrid w:val="0"/>
          <w:kern w:val="0"/>
          <w:sz w:val="32"/>
          <w:szCs w:val="32"/>
        </w:rPr>
        <w:t>应说明申报产品临床应用的禁忌证，应当明确说明申报产品不适宜应用的特定人群或特定情况等信息。</w:t>
      </w:r>
      <w:r>
        <w:rPr>
          <w:rFonts w:hint="eastAsia" w:eastAsia="仿宋_GB2312" w:cs="仿宋_GB2312"/>
          <w:snapToGrid w:val="0"/>
          <w:kern w:val="0"/>
          <w:sz w:val="32"/>
          <w:szCs w:val="32"/>
        </w:rPr>
        <w:t>与气腹机配合使用的腹腔内窥镜的禁忌症即是气腹机产品的禁忌症。目前已知的腹腔内窥镜禁忌症，如：有严重的心血管疾病、肺功能不全；各种类型的肠梗阻及弥漫性腹膜炎；腹腔 / 盆腔感染相关疾病（急性腹部炎症、急性弥漫性腹膜炎、感染性腹膜炎、弥漫性腹膜炎、脓肿、盆腔脓肿、腹腔 / 盆腔急性感染性疾病），疝类（膈疝、横膈疝、股疝、腹壁疝、各类疝）等；腹部肿块大于妊娠4个月或中、晚期妊娠者；凝血功能障碍、血液病等；严重内出血；既往有腹部手术史，有广泛的腹部瘢痕或腹腔内广泛黏连者；低血容量休克；腹腔 / 腹壁结构异常相关（腹壁广泛粘连、腹腔内广泛黏连、广泛腹部疤痕、既往腹部手术史、直径 &gt; 10cm 的腹腔肿瘤、腹腔内巨大肿瘤、腹壁侧支循环过多）；其他（精神失常不能合作者、过度肥胖、肥胖症、极度肥胖或极度消瘦、病态肥胖 BMI&gt;40）。</w:t>
      </w:r>
    </w:p>
    <w:p w14:paraId="58F402C4">
      <w:pPr>
        <w:spacing w:line="520" w:lineRule="exact"/>
        <w:ind w:firstLine="640" w:firstLineChars="200"/>
        <w:rPr>
          <w:rFonts w:eastAsia="仿宋_GB2312"/>
          <w:kern w:val="0"/>
          <w:sz w:val="32"/>
          <w:szCs w:val="32"/>
        </w:rPr>
      </w:pPr>
      <w:r>
        <w:rPr>
          <w:rFonts w:eastAsia="仿宋_GB2312"/>
          <w:kern w:val="0"/>
          <w:sz w:val="32"/>
          <w:szCs w:val="32"/>
        </w:rPr>
        <w:t>3.申报产品上市历史</w:t>
      </w:r>
    </w:p>
    <w:p w14:paraId="68A4AB91">
      <w:pPr>
        <w:spacing w:line="520" w:lineRule="exact"/>
        <w:ind w:firstLine="640" w:firstLineChars="200"/>
        <w:rPr>
          <w:rFonts w:ascii="Calibri" w:hAnsi="Calibri" w:eastAsia="仿宋_GB2312" w:cs="仿宋_GB2312"/>
          <w:snapToGrid w:val="0"/>
          <w:kern w:val="0"/>
          <w:sz w:val="32"/>
          <w:szCs w:val="32"/>
        </w:rPr>
      </w:pPr>
      <w:r>
        <w:rPr>
          <w:rFonts w:hint="eastAsia" w:ascii="Calibri" w:hAnsi="Calibri" w:eastAsia="仿宋_GB2312" w:cs="仿宋_GB2312"/>
          <w:snapToGrid w:val="0"/>
          <w:kern w:val="0"/>
          <w:sz w:val="32"/>
          <w:szCs w:val="32"/>
        </w:rPr>
        <w:t>如适用，提交申报产品在各国家或地区的上市批准时间、销售情况。如有不良事件和召回，分别对申报产品上市后发生的不良事件、召回的发生时间、申请人采取的处理和解决方案、相关部门的调查处理情况等进行描述。</w:t>
      </w:r>
    </w:p>
    <w:p w14:paraId="34D3CA71">
      <w:pPr>
        <w:spacing w:line="520" w:lineRule="exact"/>
        <w:ind w:firstLine="640" w:firstLineChars="200"/>
        <w:rPr>
          <w:rFonts w:ascii="Calibri" w:hAnsi="Calibri" w:eastAsia="仿宋_GB2312" w:cs="仿宋_GB2312"/>
          <w:snapToGrid w:val="0"/>
          <w:kern w:val="0"/>
          <w:sz w:val="32"/>
          <w:szCs w:val="32"/>
        </w:rPr>
      </w:pPr>
      <w:r>
        <w:rPr>
          <w:rFonts w:hint="eastAsia" w:ascii="Calibri" w:hAnsi="Calibri" w:eastAsia="仿宋_GB2312" w:cs="仿宋_GB2312"/>
          <w:snapToGrid w:val="0"/>
          <w:kern w:val="0"/>
          <w:sz w:val="32"/>
          <w:szCs w:val="32"/>
        </w:rPr>
        <w:t>4.其他</w:t>
      </w:r>
    </w:p>
    <w:p w14:paraId="40D0819F">
      <w:pPr>
        <w:spacing w:line="520" w:lineRule="exact"/>
        <w:ind w:firstLine="640" w:firstLineChars="200"/>
        <w:rPr>
          <w:rFonts w:ascii="Calibri" w:hAnsi="Calibri" w:eastAsia="仿宋_GB2312" w:cs="仿宋_GB2312"/>
          <w:snapToGrid w:val="0"/>
          <w:kern w:val="0"/>
          <w:sz w:val="32"/>
          <w:szCs w:val="32"/>
        </w:rPr>
      </w:pPr>
      <w:r>
        <w:rPr>
          <w:rFonts w:hint="eastAsia" w:ascii="Calibri" w:hAnsi="Calibri" w:eastAsia="仿宋_GB2312" w:cs="仿宋_GB2312"/>
          <w:snapToGrid w:val="0"/>
          <w:kern w:val="0"/>
          <w:sz w:val="32"/>
          <w:szCs w:val="32"/>
        </w:rPr>
        <w:t>4.1如果气腹机只是用于腹腔内窥镜手术中的气腹建立和维持，和其他设备（内窥镜、图像处理器/摄像系统及其他附件等）并有没有接口交互控制设备，则不需要明确其他设备的注册证信息和接口要求。</w:t>
      </w:r>
    </w:p>
    <w:p w14:paraId="113363CA">
      <w:pPr>
        <w:spacing w:line="520" w:lineRule="exact"/>
        <w:ind w:firstLine="640" w:firstLineChars="200"/>
        <w:rPr>
          <w:rFonts w:eastAsia="仿宋_GB2312"/>
          <w:snapToGrid w:val="0"/>
          <w:kern w:val="0"/>
          <w:sz w:val="32"/>
          <w:szCs w:val="32"/>
        </w:rPr>
      </w:pPr>
      <w:r>
        <w:rPr>
          <w:rFonts w:hint="eastAsia" w:ascii="Calibri" w:hAnsi="Calibri" w:eastAsia="仿宋_GB2312" w:cs="仿宋_GB2312"/>
          <w:snapToGrid w:val="0"/>
          <w:kern w:val="0"/>
          <w:sz w:val="32"/>
          <w:szCs w:val="32"/>
        </w:rPr>
        <w:t>4.2如果气腹机在使用中和其他设备（内窥镜、图像处理器/摄像系统及其他附件等）有接口通信交互并控制其他设备，或被其他设备控制，则需要明确与该气腹机配合使用的其他设备注册证信息（包含设备型号，软件版本等），接口要求等。</w:t>
      </w:r>
    </w:p>
    <w:p w14:paraId="146DA743">
      <w:pPr>
        <w:overflowPunct w:val="0"/>
        <w:autoSpaceDE w:val="0"/>
        <w:autoSpaceDN w:val="0"/>
        <w:spacing w:line="520" w:lineRule="exact"/>
        <w:ind w:left="221" w:firstLine="200"/>
        <w:outlineLvl w:val="1"/>
        <w:rPr>
          <w:rFonts w:eastAsia="楷体_GB2312"/>
          <w:sz w:val="32"/>
          <w:szCs w:val="32"/>
        </w:rPr>
      </w:pPr>
      <w:bookmarkStart w:id="3" w:name="_Toc432753649"/>
      <w:r>
        <w:rPr>
          <w:rFonts w:hint="eastAsia" w:eastAsia="楷体_GB2312"/>
          <w:sz w:val="32"/>
          <w:szCs w:val="32"/>
        </w:rPr>
        <w:t>（三）非</w:t>
      </w:r>
      <w:r>
        <w:rPr>
          <w:rFonts w:eastAsia="楷体_GB2312"/>
          <w:sz w:val="32"/>
          <w:szCs w:val="32"/>
        </w:rPr>
        <w:t>临床</w:t>
      </w:r>
      <w:r>
        <w:rPr>
          <w:rFonts w:hint="eastAsia" w:eastAsia="楷体_GB2312"/>
          <w:sz w:val="32"/>
          <w:szCs w:val="32"/>
        </w:rPr>
        <w:t>资料</w:t>
      </w:r>
    </w:p>
    <w:p w14:paraId="0CEC0883">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1.产品风险管理资料</w:t>
      </w:r>
    </w:p>
    <w:p w14:paraId="393B0759">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注册申请人需对产品全生命周期实施风险管理，依据GB/T 42062 《医疗器械 风险管理对医疗器械的应用》，提供产品风险管理报告。</w:t>
      </w:r>
    </w:p>
    <w:p w14:paraId="5FF9396A">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申请人需重点说明：申报产品的研制阶段已对有关可能的危险及产生的风险进行了估计和评价，针对性地实施了降低风险的技术和管理方面的措施。产品性能测试对上述措施的有效性进行了验证，达到了通用和专用标准的要求。申请人对所有剩余风险进行了评价，全部达到可接受的水平。产品风险分析资料需为申请人关于产品安全性的承诺提供支持。</w:t>
      </w:r>
    </w:p>
    <w:p w14:paraId="2402BDE7">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1.1风险管理报告一般包括以下内容：</w:t>
      </w:r>
    </w:p>
    <w:p w14:paraId="7F290FE8">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1.1.1申报产品的风险管理组织。</w:t>
      </w:r>
    </w:p>
    <w:p w14:paraId="0D5E585D">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1.1.2申报产品的组成。</w:t>
      </w:r>
    </w:p>
    <w:p w14:paraId="2FF1F43B">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1.1.3申报产品符合的安全标准。</w:t>
      </w:r>
    </w:p>
    <w:p w14:paraId="06B76DB6">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1.1.4申报产品的预期用途，与安全性有关的特征的判定。</w:t>
      </w:r>
    </w:p>
    <w:p w14:paraId="655EF40C">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1.1.5对申报产品的可能危险作出判定（见附表1）。</w:t>
      </w:r>
    </w:p>
    <w:p w14:paraId="09C9C593">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1.1.6对所判定的危险采取的降低风险的控制措施。</w:t>
      </w:r>
    </w:p>
    <w:p w14:paraId="22CCBAF4">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1.1.7对采取控制措施后的剩余风险进行估计和评价。</w:t>
      </w:r>
    </w:p>
    <w:p w14:paraId="3DFF7EAB">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1.1.8对风险管理计划的实施情况进行评审。</w:t>
      </w:r>
    </w:p>
    <w:p w14:paraId="531AC1C1">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1.1.9对生产和生产后活动收集与评审信息。</w:t>
      </w:r>
    </w:p>
    <w:p w14:paraId="0899F73F">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1.2产品的危险（源）示例</w:t>
      </w:r>
    </w:p>
    <w:p w14:paraId="7C8DFD5B">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1.2.1能量危险（源）</w:t>
      </w:r>
    </w:p>
    <w:p w14:paraId="12DD0EF1">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电磁能：可能共同使用的设备（高频手术设备、配合使用的其他器械等）对气腹机的电磁干扰，静电放电对气腹机产生干扰，气腹机产生的电磁场对可能共同使用的设备的影响等。</w:t>
      </w:r>
    </w:p>
    <w:p w14:paraId="3E92F1EA">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漏电流：可触及金属部分、外壳、应用部分与带电部分隔离/保护不够，漏电流超出允许值，伤害使用者或患者。</w:t>
      </w:r>
    </w:p>
    <w:p w14:paraId="201A9A1C">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坠落：坠落导致机械部件松动、导致测量错误、误差过大或显示异常等。机体从高处落下、被践踏使显示屏没有显示。</w:t>
      </w:r>
    </w:p>
    <w:p w14:paraId="73F989E1">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1.2.2生物学和化学危险（源）</w:t>
      </w:r>
    </w:p>
    <w:p w14:paraId="32980A11">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使用的清洁剂的残留引发的危险（源），反复多次使用清洁剂引起的气腹机塑料面板开裂等。</w:t>
      </w:r>
    </w:p>
    <w:p w14:paraId="18423EBA">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1.2.3操作危险（源）</w:t>
      </w:r>
    </w:p>
    <w:p w14:paraId="1CF24934">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1.2.3.1气腹机出气端所接的气腹针堵塞或阀门未打开造成充气缓慢或气腹机发出过压报警。</w:t>
      </w:r>
    </w:p>
    <w:p w14:paraId="0EA4251D">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1.2.3.2气腹机持续采用连接气腹针供气的方式造成手术时供气不足气腹不稳。</w:t>
      </w:r>
    </w:p>
    <w:p w14:paraId="30922F93">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1.2.3.3气腹机CO</w:t>
      </w:r>
      <w:r>
        <w:rPr>
          <w:rFonts w:hint="eastAsia" w:eastAsia="仿宋_GB2312"/>
          <w:snapToGrid w:val="0"/>
          <w:kern w:val="0"/>
          <w:szCs w:val="21"/>
        </w:rPr>
        <w:t>2</w:t>
      </w:r>
      <w:r>
        <w:rPr>
          <w:rFonts w:hint="eastAsia" w:eastAsia="仿宋_GB2312"/>
          <w:snapToGrid w:val="0"/>
          <w:kern w:val="0"/>
          <w:sz w:val="32"/>
          <w:szCs w:val="32"/>
        </w:rPr>
        <w:t>气体供气气压过高引起气腹机过压保护造成气腹机不工作。</w:t>
      </w:r>
    </w:p>
    <w:p w14:paraId="7B486F4D">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1.2.3.4气腹机设定压力过高造成患者不适。</w:t>
      </w:r>
    </w:p>
    <w:p w14:paraId="7E0EFE94">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1.2.4信息危险（源）</w:t>
      </w:r>
    </w:p>
    <w:p w14:paraId="494CF88B">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标记缺少或不正确，标记的位置不正确，不能被正确地识别，不能永久贴牢和清楚易认等。</w:t>
      </w:r>
    </w:p>
    <w:p w14:paraId="2CEFAA33">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napToGrid w:val="0"/>
          <w:kern w:val="0"/>
          <w:sz w:val="32"/>
          <w:szCs w:val="32"/>
        </w:rPr>
        <w:t>包括说明书中未对限制充分告知，未对不正确的操作、与其他设备共同使用时易产生的危险（源）进行警告，未正确标示储运条件，清洁方法、更换过滤器等。</w:t>
      </w:r>
    </w:p>
    <w:p w14:paraId="601B1ECC">
      <w:pPr>
        <w:spacing w:line="520" w:lineRule="exact"/>
        <w:ind w:firstLine="560" w:firstLineChars="200"/>
        <w:jc w:val="center"/>
        <w:rPr>
          <w:rFonts w:ascii="黑体" w:hAnsi="黑体" w:eastAsia="黑体"/>
          <w:sz w:val="28"/>
          <w:szCs w:val="28"/>
        </w:rPr>
      </w:pPr>
      <w:r>
        <w:rPr>
          <w:rFonts w:ascii="黑体" w:hAnsi="黑体" w:eastAsia="黑体"/>
          <w:sz w:val="28"/>
          <w:szCs w:val="28"/>
        </w:rPr>
        <w:t>表</w:t>
      </w:r>
      <w:r>
        <w:rPr>
          <w:rFonts w:hint="eastAsia" w:ascii="黑体" w:hAnsi="黑体" w:eastAsia="黑体"/>
          <w:sz w:val="28"/>
          <w:szCs w:val="28"/>
        </w:rPr>
        <w:t>1</w:t>
      </w:r>
      <w:r>
        <w:rPr>
          <w:rFonts w:ascii="黑体" w:hAnsi="黑体" w:eastAsia="黑体"/>
          <w:sz w:val="28"/>
          <w:szCs w:val="28"/>
        </w:rPr>
        <w:t xml:space="preserve"> </w:t>
      </w:r>
      <w:r>
        <w:rPr>
          <w:rFonts w:hint="eastAsia" w:ascii="黑体" w:hAnsi="黑体" w:eastAsia="黑体"/>
          <w:sz w:val="28"/>
          <w:szCs w:val="28"/>
        </w:rPr>
        <w:t xml:space="preserve"> </w:t>
      </w:r>
      <w:r>
        <w:rPr>
          <w:rFonts w:ascii="黑体" w:hAnsi="黑体" w:eastAsia="黑体"/>
          <w:sz w:val="28"/>
          <w:szCs w:val="28"/>
        </w:rPr>
        <w:t>初始事件和环境</w:t>
      </w:r>
    </w:p>
    <w:tbl>
      <w:tblPr>
        <w:tblStyle w:val="16"/>
        <w:tblW w:w="96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0"/>
        <w:gridCol w:w="7244"/>
      </w:tblGrid>
      <w:tr w14:paraId="7FA7D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0" w:type="dxa"/>
            <w:vAlign w:val="center"/>
          </w:tcPr>
          <w:p w14:paraId="6EED5C9A">
            <w:pPr>
              <w:autoSpaceDE w:val="0"/>
              <w:autoSpaceDN w:val="0"/>
              <w:adjustRightInd w:val="0"/>
              <w:spacing w:line="480" w:lineRule="exact"/>
              <w:ind w:right="-67" w:rightChars="-32"/>
              <w:jc w:val="center"/>
              <w:rPr>
                <w:rFonts w:ascii="黑体" w:hAnsi="黑体" w:eastAsia="黑体"/>
                <w:kern w:val="0"/>
                <w:sz w:val="28"/>
                <w:szCs w:val="28"/>
              </w:rPr>
            </w:pPr>
            <w:r>
              <w:rPr>
                <w:rFonts w:ascii="黑体" w:hAnsi="黑体" w:eastAsia="黑体"/>
                <w:kern w:val="0"/>
                <w:sz w:val="28"/>
                <w:szCs w:val="28"/>
              </w:rPr>
              <w:t>通用类别</w:t>
            </w:r>
          </w:p>
        </w:tc>
        <w:tc>
          <w:tcPr>
            <w:tcW w:w="7244" w:type="dxa"/>
            <w:vAlign w:val="center"/>
          </w:tcPr>
          <w:p w14:paraId="2550C7FD">
            <w:pPr>
              <w:autoSpaceDE w:val="0"/>
              <w:autoSpaceDN w:val="0"/>
              <w:adjustRightInd w:val="0"/>
              <w:spacing w:line="480" w:lineRule="exact"/>
              <w:ind w:right="-67" w:rightChars="-32"/>
              <w:jc w:val="center"/>
              <w:rPr>
                <w:rFonts w:ascii="黑体" w:hAnsi="黑体" w:eastAsia="黑体"/>
                <w:kern w:val="0"/>
                <w:sz w:val="28"/>
                <w:szCs w:val="28"/>
              </w:rPr>
            </w:pPr>
            <w:r>
              <w:rPr>
                <w:rFonts w:ascii="黑体" w:hAnsi="黑体" w:eastAsia="黑体"/>
                <w:kern w:val="0"/>
                <w:sz w:val="28"/>
                <w:szCs w:val="28"/>
              </w:rPr>
              <w:t>初始时间和环境示例</w:t>
            </w:r>
          </w:p>
        </w:tc>
      </w:tr>
      <w:tr w14:paraId="451DF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 w:hRule="atLeast"/>
          <w:jc w:val="center"/>
        </w:trPr>
        <w:tc>
          <w:tcPr>
            <w:tcW w:w="2360" w:type="dxa"/>
            <w:vAlign w:val="center"/>
          </w:tcPr>
          <w:p w14:paraId="546B6F23">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不完整的要求</w:t>
            </w:r>
          </w:p>
        </w:tc>
        <w:tc>
          <w:tcPr>
            <w:tcW w:w="7244" w:type="dxa"/>
            <w:vAlign w:val="center"/>
          </w:tcPr>
          <w:p w14:paraId="7C2C50DB">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性能要求不符合</w:t>
            </w:r>
          </w:p>
          <w:p w14:paraId="3E3F6F55">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测量准确性等不符合要求</w:t>
            </w:r>
          </w:p>
          <w:p w14:paraId="1E38D45D">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说明书未对气腹机的使用操作方法进行准确的描述与说明</w:t>
            </w:r>
          </w:p>
        </w:tc>
      </w:tr>
      <w:tr w14:paraId="3E8CC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2360" w:type="dxa"/>
            <w:vAlign w:val="center"/>
          </w:tcPr>
          <w:p w14:paraId="58166C13">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制造过程</w:t>
            </w:r>
          </w:p>
        </w:tc>
        <w:tc>
          <w:tcPr>
            <w:tcW w:w="7244" w:type="dxa"/>
            <w:vAlign w:val="center"/>
          </w:tcPr>
          <w:p w14:paraId="78ACBB37">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控制程序（包括软件）修改未经验证，导致产品的测量误差不符合要求</w:t>
            </w:r>
            <w:r>
              <w:rPr>
                <w:rFonts w:hint="eastAsia" w:eastAsia="仿宋_GB2312"/>
                <w:kern w:val="0"/>
                <w:sz w:val="28"/>
                <w:szCs w:val="28"/>
              </w:rPr>
              <w:t>。</w:t>
            </w:r>
          </w:p>
          <w:p w14:paraId="2322D7BF">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生产过程中关键工序控制点未进行检测，导致部件、整机不合格</w:t>
            </w:r>
            <w:r>
              <w:rPr>
                <w:rFonts w:hint="eastAsia" w:eastAsia="仿宋_GB2312"/>
                <w:kern w:val="0"/>
                <w:sz w:val="28"/>
                <w:szCs w:val="28"/>
              </w:rPr>
              <w:t>。</w:t>
            </w:r>
          </w:p>
          <w:p w14:paraId="7EC5F7C5">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供方的控制不充分：外购件、外协件供方选择不当，外购件、外协件未进行有效进货检验等</w:t>
            </w:r>
            <w:r>
              <w:rPr>
                <w:rFonts w:hint="eastAsia" w:eastAsia="仿宋_GB2312"/>
                <w:kern w:val="0"/>
                <w:sz w:val="28"/>
                <w:szCs w:val="28"/>
              </w:rPr>
              <w:t>。</w:t>
            </w:r>
          </w:p>
        </w:tc>
      </w:tr>
      <w:tr w14:paraId="02540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0" w:type="dxa"/>
            <w:vAlign w:val="center"/>
          </w:tcPr>
          <w:p w14:paraId="0D9D179A">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运输和贮存</w:t>
            </w:r>
          </w:p>
        </w:tc>
        <w:tc>
          <w:tcPr>
            <w:tcW w:w="7244" w:type="dxa"/>
            <w:vAlign w:val="center"/>
          </w:tcPr>
          <w:p w14:paraId="2DD2FC7B">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不适当的包装</w:t>
            </w:r>
          </w:p>
          <w:p w14:paraId="644FB339">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不恰当的环境条件等</w:t>
            </w:r>
          </w:p>
        </w:tc>
      </w:tr>
      <w:tr w14:paraId="14E7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0" w:type="dxa"/>
            <w:vAlign w:val="center"/>
          </w:tcPr>
          <w:p w14:paraId="59A4F459">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环境因素</w:t>
            </w:r>
          </w:p>
        </w:tc>
        <w:tc>
          <w:tcPr>
            <w:tcW w:w="7244" w:type="dxa"/>
            <w:vAlign w:val="center"/>
          </w:tcPr>
          <w:p w14:paraId="39DC295A">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过冷、过热的环境</w:t>
            </w:r>
          </w:p>
          <w:p w14:paraId="48C4612F">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不适当的能量供应</w:t>
            </w:r>
          </w:p>
          <w:p w14:paraId="4FA68214">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电磁场等</w:t>
            </w:r>
          </w:p>
        </w:tc>
      </w:tr>
      <w:tr w14:paraId="70E65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60" w:type="dxa"/>
            <w:vAlign w:val="center"/>
          </w:tcPr>
          <w:p w14:paraId="6125A268">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清洁、消毒和灭菌</w:t>
            </w:r>
          </w:p>
        </w:tc>
        <w:tc>
          <w:tcPr>
            <w:tcW w:w="7244" w:type="dxa"/>
            <w:vAlign w:val="center"/>
          </w:tcPr>
          <w:p w14:paraId="08E05BC4">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使用者未按要求进行清洁、更换过滤器等</w:t>
            </w:r>
          </w:p>
        </w:tc>
      </w:tr>
      <w:tr w14:paraId="0779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360" w:type="dxa"/>
            <w:vAlign w:val="center"/>
          </w:tcPr>
          <w:p w14:paraId="64C2612A">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处置和废弃</w:t>
            </w:r>
          </w:p>
        </w:tc>
        <w:tc>
          <w:tcPr>
            <w:tcW w:w="7244" w:type="dxa"/>
            <w:vAlign w:val="center"/>
          </w:tcPr>
          <w:p w14:paraId="1D041EFA">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产品使用后处置问题等</w:t>
            </w:r>
          </w:p>
        </w:tc>
      </w:tr>
      <w:tr w14:paraId="01ABE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9" w:hRule="atLeast"/>
          <w:jc w:val="center"/>
        </w:trPr>
        <w:tc>
          <w:tcPr>
            <w:tcW w:w="2360" w:type="dxa"/>
            <w:vAlign w:val="center"/>
          </w:tcPr>
          <w:p w14:paraId="72780FB7">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人为因素</w:t>
            </w:r>
          </w:p>
        </w:tc>
        <w:tc>
          <w:tcPr>
            <w:tcW w:w="7244" w:type="dxa"/>
            <w:vAlign w:val="center"/>
          </w:tcPr>
          <w:p w14:paraId="578CDA54">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设计缺陷引发的使用错误等</w:t>
            </w:r>
          </w:p>
          <w:p w14:paraId="371A2FE8">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——易混淆的或缺少使用说明书</w:t>
            </w:r>
          </w:p>
          <w:p w14:paraId="7B49583C">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——不正确的测量和计量</w:t>
            </w:r>
          </w:p>
        </w:tc>
      </w:tr>
      <w:tr w14:paraId="56A5F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2360" w:type="dxa"/>
            <w:vAlign w:val="center"/>
          </w:tcPr>
          <w:p w14:paraId="453F7736">
            <w:pPr>
              <w:autoSpaceDE w:val="0"/>
              <w:autoSpaceDN w:val="0"/>
              <w:adjustRightInd w:val="0"/>
              <w:spacing w:line="480" w:lineRule="exact"/>
              <w:ind w:right="-67" w:rightChars="-32"/>
              <w:jc w:val="center"/>
              <w:rPr>
                <w:rFonts w:eastAsia="仿宋_GB2312"/>
                <w:kern w:val="0"/>
                <w:sz w:val="28"/>
                <w:szCs w:val="28"/>
              </w:rPr>
            </w:pPr>
            <w:r>
              <w:rPr>
                <w:rFonts w:eastAsia="仿宋_GB2312"/>
                <w:kern w:val="0"/>
                <w:sz w:val="28"/>
                <w:szCs w:val="28"/>
              </w:rPr>
              <w:t>失效模式</w:t>
            </w:r>
          </w:p>
        </w:tc>
        <w:tc>
          <w:tcPr>
            <w:tcW w:w="7244" w:type="dxa"/>
            <w:vAlign w:val="center"/>
          </w:tcPr>
          <w:p w14:paraId="0AB7FB32">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由于老化、磨损和重复使用而导致功能退化/疲劳失效等</w:t>
            </w:r>
          </w:p>
        </w:tc>
      </w:tr>
    </w:tbl>
    <w:p w14:paraId="1CE76B00">
      <w:pPr>
        <w:spacing w:line="520" w:lineRule="exact"/>
        <w:jc w:val="center"/>
        <w:rPr>
          <w:rFonts w:ascii="黑体" w:hAnsi="黑体" w:eastAsia="黑体"/>
          <w:sz w:val="28"/>
          <w:szCs w:val="28"/>
        </w:rPr>
      </w:pPr>
      <w:r>
        <w:rPr>
          <w:rFonts w:ascii="黑体" w:hAnsi="黑体" w:eastAsia="黑体"/>
          <w:sz w:val="28"/>
          <w:szCs w:val="28"/>
        </w:rPr>
        <w:t>表</w:t>
      </w:r>
      <w:r>
        <w:rPr>
          <w:rFonts w:hint="eastAsia" w:ascii="黑体" w:hAnsi="黑体" w:eastAsia="黑体"/>
          <w:sz w:val="28"/>
          <w:szCs w:val="28"/>
        </w:rPr>
        <w:t xml:space="preserve">2  </w:t>
      </w:r>
      <w:r>
        <w:rPr>
          <w:rFonts w:ascii="黑体" w:hAnsi="黑体" w:eastAsia="黑体"/>
          <w:sz w:val="28"/>
          <w:szCs w:val="28"/>
        </w:rPr>
        <w:t>危险（源）、可预见的事件序列、危险情况和</w:t>
      </w:r>
    </w:p>
    <w:p w14:paraId="787E0A0E">
      <w:pPr>
        <w:spacing w:line="520" w:lineRule="exact"/>
        <w:jc w:val="center"/>
        <w:rPr>
          <w:rFonts w:ascii="黑体" w:hAnsi="黑体" w:eastAsia="黑体"/>
          <w:sz w:val="28"/>
          <w:szCs w:val="28"/>
        </w:rPr>
      </w:pPr>
      <w:r>
        <w:rPr>
          <w:rFonts w:ascii="黑体" w:hAnsi="黑体" w:eastAsia="黑体"/>
          <w:sz w:val="28"/>
          <w:szCs w:val="28"/>
        </w:rPr>
        <w:t>可</w:t>
      </w:r>
      <w:r>
        <w:rPr>
          <w:rFonts w:hint="eastAsia" w:ascii="黑体" w:hAnsi="黑体" w:eastAsia="黑体"/>
          <w:sz w:val="28"/>
          <w:szCs w:val="28"/>
        </w:rPr>
        <w:t>能</w:t>
      </w:r>
      <w:r>
        <w:rPr>
          <w:rFonts w:ascii="黑体" w:hAnsi="黑体" w:eastAsia="黑体"/>
          <w:sz w:val="28"/>
          <w:szCs w:val="28"/>
        </w:rPr>
        <w:t>发生的损害之间的关系示例</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3060"/>
        <w:gridCol w:w="2666"/>
        <w:gridCol w:w="2337"/>
      </w:tblGrid>
      <w:tr w14:paraId="17111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Align w:val="center"/>
          </w:tcPr>
          <w:p w14:paraId="7799A435">
            <w:pPr>
              <w:autoSpaceDE w:val="0"/>
              <w:autoSpaceDN w:val="0"/>
              <w:adjustRightInd w:val="0"/>
              <w:spacing w:line="440" w:lineRule="exact"/>
              <w:ind w:right="-67" w:rightChars="-32"/>
              <w:jc w:val="center"/>
              <w:rPr>
                <w:rFonts w:ascii="黑体" w:hAnsi="黑体" w:eastAsia="黑体"/>
                <w:kern w:val="0"/>
                <w:sz w:val="28"/>
                <w:szCs w:val="28"/>
              </w:rPr>
            </w:pPr>
            <w:r>
              <w:rPr>
                <w:rFonts w:ascii="黑体" w:hAnsi="黑体" w:eastAsia="黑体"/>
                <w:kern w:val="0"/>
                <w:sz w:val="28"/>
                <w:szCs w:val="28"/>
              </w:rPr>
              <w:t>危险（源）</w:t>
            </w:r>
          </w:p>
        </w:tc>
        <w:tc>
          <w:tcPr>
            <w:tcW w:w="3060" w:type="dxa"/>
            <w:vAlign w:val="center"/>
          </w:tcPr>
          <w:p w14:paraId="316FF1E6">
            <w:pPr>
              <w:autoSpaceDE w:val="0"/>
              <w:autoSpaceDN w:val="0"/>
              <w:adjustRightInd w:val="0"/>
              <w:spacing w:line="440" w:lineRule="exact"/>
              <w:ind w:right="-67" w:rightChars="-32"/>
              <w:rPr>
                <w:rFonts w:ascii="黑体" w:hAnsi="黑体" w:eastAsia="黑体"/>
                <w:kern w:val="0"/>
                <w:sz w:val="28"/>
                <w:szCs w:val="28"/>
              </w:rPr>
            </w:pPr>
            <w:r>
              <w:rPr>
                <w:rFonts w:ascii="黑体" w:hAnsi="黑体" w:eastAsia="黑体"/>
                <w:kern w:val="0"/>
                <w:sz w:val="28"/>
                <w:szCs w:val="28"/>
              </w:rPr>
              <w:t>可预见的事件序列</w:t>
            </w:r>
          </w:p>
        </w:tc>
        <w:tc>
          <w:tcPr>
            <w:tcW w:w="2666" w:type="dxa"/>
            <w:vAlign w:val="center"/>
          </w:tcPr>
          <w:p w14:paraId="29A105A3">
            <w:pPr>
              <w:autoSpaceDE w:val="0"/>
              <w:autoSpaceDN w:val="0"/>
              <w:adjustRightInd w:val="0"/>
              <w:spacing w:line="440" w:lineRule="exact"/>
              <w:ind w:right="-67" w:rightChars="-32"/>
              <w:rPr>
                <w:rFonts w:ascii="黑体" w:hAnsi="黑体" w:eastAsia="黑体"/>
                <w:kern w:val="0"/>
                <w:sz w:val="28"/>
                <w:szCs w:val="28"/>
              </w:rPr>
            </w:pPr>
            <w:r>
              <w:rPr>
                <w:rFonts w:ascii="黑体" w:hAnsi="黑体" w:eastAsia="黑体"/>
                <w:kern w:val="0"/>
                <w:sz w:val="28"/>
                <w:szCs w:val="28"/>
              </w:rPr>
              <w:t>危险情况</w:t>
            </w:r>
          </w:p>
        </w:tc>
        <w:tc>
          <w:tcPr>
            <w:tcW w:w="2337" w:type="dxa"/>
            <w:vAlign w:val="center"/>
          </w:tcPr>
          <w:p w14:paraId="63485B37">
            <w:pPr>
              <w:autoSpaceDE w:val="0"/>
              <w:autoSpaceDN w:val="0"/>
              <w:adjustRightInd w:val="0"/>
              <w:spacing w:line="440" w:lineRule="exact"/>
              <w:ind w:right="-67" w:rightChars="-32"/>
              <w:rPr>
                <w:rFonts w:ascii="黑体" w:hAnsi="黑体" w:eastAsia="黑体"/>
                <w:kern w:val="0"/>
                <w:sz w:val="28"/>
                <w:szCs w:val="28"/>
              </w:rPr>
            </w:pPr>
            <w:r>
              <w:rPr>
                <w:rFonts w:ascii="黑体" w:hAnsi="黑体" w:eastAsia="黑体"/>
                <w:kern w:val="0"/>
                <w:sz w:val="28"/>
                <w:szCs w:val="28"/>
              </w:rPr>
              <w:t>可能发生的损害</w:t>
            </w:r>
          </w:p>
        </w:tc>
      </w:tr>
      <w:tr w14:paraId="3DB52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Merge w:val="restart"/>
            <w:vAlign w:val="center"/>
          </w:tcPr>
          <w:p w14:paraId="1A6011FB">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电磁能量</w:t>
            </w:r>
          </w:p>
        </w:tc>
        <w:tc>
          <w:tcPr>
            <w:tcW w:w="3060" w:type="dxa"/>
            <w:vAlign w:val="center"/>
          </w:tcPr>
          <w:p w14:paraId="5B8E7B41">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在强电磁辐射源边使用气腹机测量</w:t>
            </w:r>
          </w:p>
        </w:tc>
        <w:tc>
          <w:tcPr>
            <w:tcW w:w="2666" w:type="dxa"/>
            <w:vAlign w:val="center"/>
          </w:tcPr>
          <w:p w14:paraId="0A23492F">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电磁干扰程序运行/抗</w:t>
            </w:r>
            <w:r>
              <w:rPr>
                <w:rFonts w:hint="eastAsia" w:eastAsia="仿宋_GB2312"/>
                <w:kern w:val="0"/>
                <w:sz w:val="28"/>
                <w:szCs w:val="28"/>
              </w:rPr>
              <w:t>干扰</w:t>
            </w:r>
            <w:r>
              <w:rPr>
                <w:rFonts w:eastAsia="仿宋_GB2312"/>
                <w:kern w:val="0"/>
                <w:sz w:val="28"/>
                <w:szCs w:val="28"/>
              </w:rPr>
              <w:t>电磁配置不当或无配置</w:t>
            </w:r>
          </w:p>
        </w:tc>
        <w:tc>
          <w:tcPr>
            <w:tcW w:w="2337" w:type="dxa"/>
            <w:vAlign w:val="center"/>
          </w:tcPr>
          <w:p w14:paraId="32F4BD05">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导致反馈系统测量错误、测量结果误差过大。</w:t>
            </w:r>
          </w:p>
        </w:tc>
      </w:tr>
      <w:tr w14:paraId="592CC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1512" w:type="dxa"/>
            <w:vMerge w:val="continue"/>
            <w:vAlign w:val="center"/>
          </w:tcPr>
          <w:p w14:paraId="3B502C9D">
            <w:pPr>
              <w:autoSpaceDE w:val="0"/>
              <w:autoSpaceDN w:val="0"/>
              <w:adjustRightInd w:val="0"/>
              <w:spacing w:line="440" w:lineRule="exact"/>
              <w:ind w:right="-67" w:rightChars="-32"/>
              <w:jc w:val="center"/>
              <w:rPr>
                <w:rFonts w:eastAsia="仿宋_GB2312"/>
                <w:kern w:val="0"/>
                <w:sz w:val="28"/>
                <w:szCs w:val="28"/>
              </w:rPr>
            </w:pPr>
          </w:p>
        </w:tc>
        <w:tc>
          <w:tcPr>
            <w:tcW w:w="3060" w:type="dxa"/>
            <w:vAlign w:val="center"/>
          </w:tcPr>
          <w:p w14:paraId="46C5D734">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静电放电</w:t>
            </w:r>
          </w:p>
        </w:tc>
        <w:tc>
          <w:tcPr>
            <w:tcW w:w="2666" w:type="dxa"/>
            <w:vAlign w:val="center"/>
          </w:tcPr>
          <w:p w14:paraId="50E646ED">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干扰程序运行/接地不良或无接地</w:t>
            </w:r>
          </w:p>
        </w:tc>
        <w:tc>
          <w:tcPr>
            <w:tcW w:w="2337" w:type="dxa"/>
            <w:vAlign w:val="center"/>
          </w:tcPr>
          <w:p w14:paraId="72BA9095">
            <w:pPr>
              <w:autoSpaceDE w:val="0"/>
              <w:autoSpaceDN w:val="0"/>
              <w:adjustRightInd w:val="0"/>
              <w:spacing w:line="440" w:lineRule="exact"/>
              <w:ind w:right="-67" w:rightChars="-32"/>
              <w:rPr>
                <w:rFonts w:eastAsia="仿宋_GB2312"/>
                <w:spacing w:val="-8"/>
                <w:kern w:val="0"/>
                <w:sz w:val="28"/>
                <w:szCs w:val="28"/>
              </w:rPr>
            </w:pPr>
            <w:r>
              <w:rPr>
                <w:rFonts w:eastAsia="仿宋_GB2312"/>
                <w:spacing w:val="-8"/>
                <w:kern w:val="0"/>
                <w:sz w:val="28"/>
                <w:szCs w:val="28"/>
              </w:rPr>
              <w:t>导致测量结果误差过大、或数据擦除。</w:t>
            </w:r>
          </w:p>
        </w:tc>
      </w:tr>
      <w:tr w14:paraId="52ED2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Align w:val="center"/>
          </w:tcPr>
          <w:p w14:paraId="7DE9BCC0">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漏电流</w:t>
            </w:r>
          </w:p>
        </w:tc>
        <w:tc>
          <w:tcPr>
            <w:tcW w:w="3060" w:type="dxa"/>
            <w:vAlign w:val="center"/>
          </w:tcPr>
          <w:p w14:paraId="0CED6637">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产品漏电流超标</w:t>
            </w:r>
          </w:p>
        </w:tc>
        <w:tc>
          <w:tcPr>
            <w:tcW w:w="2666" w:type="dxa"/>
            <w:vAlign w:val="center"/>
          </w:tcPr>
          <w:p w14:paraId="4F38DBD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 xml:space="preserve">外壳、可触及金属与带电部分隔离/保护不够 </w:t>
            </w:r>
          </w:p>
        </w:tc>
        <w:tc>
          <w:tcPr>
            <w:tcW w:w="2337" w:type="dxa"/>
            <w:vAlign w:val="center"/>
          </w:tcPr>
          <w:p w14:paraId="31DE4371">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漏电流超出允许值，导致对人身电击伤害。</w:t>
            </w:r>
          </w:p>
        </w:tc>
      </w:tr>
      <w:tr w14:paraId="4E6C3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Align w:val="center"/>
          </w:tcPr>
          <w:p w14:paraId="21396632">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热能</w:t>
            </w:r>
          </w:p>
        </w:tc>
        <w:tc>
          <w:tcPr>
            <w:tcW w:w="3060" w:type="dxa"/>
            <w:vAlign w:val="center"/>
          </w:tcPr>
          <w:p w14:paraId="127E474B">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电子元器件发热</w:t>
            </w:r>
          </w:p>
        </w:tc>
        <w:tc>
          <w:tcPr>
            <w:tcW w:w="2666" w:type="dxa"/>
            <w:vAlign w:val="center"/>
          </w:tcPr>
          <w:p w14:paraId="23095F0F">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使用环境过热/电流过大</w:t>
            </w:r>
          </w:p>
        </w:tc>
        <w:tc>
          <w:tcPr>
            <w:tcW w:w="2337" w:type="dxa"/>
            <w:vAlign w:val="center"/>
          </w:tcPr>
          <w:p w14:paraId="68923209">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产品损坏。</w:t>
            </w:r>
          </w:p>
        </w:tc>
      </w:tr>
      <w:tr w14:paraId="51D8F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jc w:val="center"/>
        </w:trPr>
        <w:tc>
          <w:tcPr>
            <w:tcW w:w="1512" w:type="dxa"/>
            <w:vMerge w:val="restart"/>
            <w:vAlign w:val="center"/>
          </w:tcPr>
          <w:p w14:paraId="0A34DD21">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机械能</w:t>
            </w:r>
          </w:p>
        </w:tc>
        <w:tc>
          <w:tcPr>
            <w:tcW w:w="3060" w:type="dxa"/>
            <w:vAlign w:val="center"/>
          </w:tcPr>
          <w:p w14:paraId="056246FC">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气腹机摔落、践踏后使气腹机外表破损</w:t>
            </w:r>
          </w:p>
        </w:tc>
        <w:tc>
          <w:tcPr>
            <w:tcW w:w="2666" w:type="dxa"/>
            <w:vAlign w:val="center"/>
          </w:tcPr>
          <w:p w14:paraId="64DD2267">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造成气腹机外壳出现锋棱</w:t>
            </w:r>
          </w:p>
        </w:tc>
        <w:tc>
          <w:tcPr>
            <w:tcW w:w="2337" w:type="dxa"/>
            <w:vAlign w:val="center"/>
          </w:tcPr>
          <w:p w14:paraId="167CED17">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被气腹机划伤。</w:t>
            </w:r>
          </w:p>
        </w:tc>
      </w:tr>
      <w:tr w14:paraId="268F7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6" w:hRule="atLeast"/>
          <w:jc w:val="center"/>
        </w:trPr>
        <w:tc>
          <w:tcPr>
            <w:tcW w:w="1512" w:type="dxa"/>
            <w:vMerge w:val="continue"/>
            <w:vAlign w:val="center"/>
          </w:tcPr>
          <w:p w14:paraId="16A45153">
            <w:pPr>
              <w:autoSpaceDE w:val="0"/>
              <w:autoSpaceDN w:val="0"/>
              <w:adjustRightInd w:val="0"/>
              <w:spacing w:line="440" w:lineRule="exact"/>
              <w:ind w:right="-67" w:rightChars="-32"/>
              <w:jc w:val="center"/>
              <w:rPr>
                <w:rFonts w:eastAsia="仿宋_GB2312"/>
                <w:kern w:val="0"/>
                <w:sz w:val="28"/>
                <w:szCs w:val="28"/>
              </w:rPr>
            </w:pPr>
          </w:p>
        </w:tc>
        <w:tc>
          <w:tcPr>
            <w:tcW w:w="3060" w:type="dxa"/>
            <w:vAlign w:val="center"/>
          </w:tcPr>
          <w:p w14:paraId="7FB0459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气腹机摔落、践踏后使气腹机压力控制系统受损</w:t>
            </w:r>
          </w:p>
        </w:tc>
        <w:tc>
          <w:tcPr>
            <w:tcW w:w="2666" w:type="dxa"/>
            <w:vAlign w:val="center"/>
          </w:tcPr>
          <w:p w14:paraId="0005FE2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气腹机输出异常</w:t>
            </w:r>
          </w:p>
        </w:tc>
        <w:tc>
          <w:tcPr>
            <w:tcW w:w="2337" w:type="dxa"/>
            <w:vAlign w:val="center"/>
          </w:tcPr>
          <w:p w14:paraId="1C0841F3">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导致气腹机无气输出或输出压力控制异常。</w:t>
            </w:r>
          </w:p>
        </w:tc>
      </w:tr>
      <w:tr w14:paraId="7A076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Merge w:val="continue"/>
            <w:vAlign w:val="center"/>
          </w:tcPr>
          <w:p w14:paraId="1742FA00">
            <w:pPr>
              <w:autoSpaceDE w:val="0"/>
              <w:autoSpaceDN w:val="0"/>
              <w:adjustRightInd w:val="0"/>
              <w:spacing w:line="440" w:lineRule="exact"/>
              <w:ind w:right="-67" w:rightChars="-32"/>
              <w:jc w:val="center"/>
              <w:rPr>
                <w:rFonts w:eastAsia="仿宋_GB2312"/>
                <w:kern w:val="0"/>
                <w:sz w:val="28"/>
                <w:szCs w:val="28"/>
              </w:rPr>
            </w:pPr>
          </w:p>
        </w:tc>
        <w:tc>
          <w:tcPr>
            <w:tcW w:w="3060" w:type="dxa"/>
            <w:vAlign w:val="center"/>
          </w:tcPr>
          <w:p w14:paraId="00C1814D">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坠落导致机械部件松动</w:t>
            </w:r>
          </w:p>
        </w:tc>
        <w:tc>
          <w:tcPr>
            <w:tcW w:w="2666" w:type="dxa"/>
            <w:vAlign w:val="center"/>
          </w:tcPr>
          <w:p w14:paraId="116F6F3F">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气腹机内部气路系统漏气</w:t>
            </w:r>
          </w:p>
        </w:tc>
        <w:tc>
          <w:tcPr>
            <w:tcW w:w="2337" w:type="dxa"/>
            <w:vAlign w:val="center"/>
          </w:tcPr>
          <w:p w14:paraId="2AE25F9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造成手术室内二氧化碳含量偏高，气腹机向腹腔供气不足。</w:t>
            </w:r>
          </w:p>
        </w:tc>
      </w:tr>
      <w:tr w14:paraId="26AEC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Merge w:val="continue"/>
            <w:vAlign w:val="center"/>
          </w:tcPr>
          <w:p w14:paraId="6CABCAF7">
            <w:pPr>
              <w:autoSpaceDE w:val="0"/>
              <w:autoSpaceDN w:val="0"/>
              <w:adjustRightInd w:val="0"/>
              <w:spacing w:line="440" w:lineRule="exact"/>
              <w:ind w:right="-67" w:rightChars="-32"/>
              <w:jc w:val="center"/>
              <w:rPr>
                <w:rFonts w:eastAsia="仿宋_GB2312"/>
                <w:kern w:val="0"/>
                <w:sz w:val="28"/>
                <w:szCs w:val="28"/>
              </w:rPr>
            </w:pPr>
          </w:p>
        </w:tc>
        <w:tc>
          <w:tcPr>
            <w:tcW w:w="3060" w:type="dxa"/>
            <w:vAlign w:val="center"/>
          </w:tcPr>
          <w:p w14:paraId="3DAE3844">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机体从高处落下、被践踏</w:t>
            </w:r>
          </w:p>
        </w:tc>
        <w:tc>
          <w:tcPr>
            <w:tcW w:w="2666" w:type="dxa"/>
            <w:vAlign w:val="center"/>
          </w:tcPr>
          <w:p w14:paraId="5EE1F377">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液晶显示屏破碎</w:t>
            </w:r>
          </w:p>
        </w:tc>
        <w:tc>
          <w:tcPr>
            <w:tcW w:w="2337" w:type="dxa"/>
            <w:vAlign w:val="center"/>
          </w:tcPr>
          <w:p w14:paraId="28A53F99">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使显示屏没有显示导致无法进行流量与压力设定，产品不能正常用工作。</w:t>
            </w:r>
          </w:p>
        </w:tc>
      </w:tr>
      <w:tr w14:paraId="35AAE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1512" w:type="dxa"/>
            <w:vMerge w:val="restart"/>
            <w:vAlign w:val="center"/>
          </w:tcPr>
          <w:p w14:paraId="37FF756D">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不正确的测量</w:t>
            </w:r>
          </w:p>
        </w:tc>
        <w:tc>
          <w:tcPr>
            <w:tcW w:w="3060" w:type="dxa"/>
            <w:vAlign w:val="center"/>
          </w:tcPr>
          <w:p w14:paraId="70B30953">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压力传感器损坏</w:t>
            </w:r>
          </w:p>
        </w:tc>
        <w:tc>
          <w:tcPr>
            <w:tcW w:w="2666" w:type="dxa"/>
            <w:vAlign w:val="center"/>
          </w:tcPr>
          <w:p w14:paraId="648F19B0">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输出气体压力失控</w:t>
            </w:r>
          </w:p>
        </w:tc>
        <w:tc>
          <w:tcPr>
            <w:tcW w:w="2337" w:type="dxa"/>
            <w:vAlign w:val="center"/>
          </w:tcPr>
          <w:p w14:paraId="4BA796BF">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腹腔内的压力最高可达低压减压阀的输出压力（例如40kPa），是出厂预置压力10倍以上。</w:t>
            </w:r>
          </w:p>
        </w:tc>
      </w:tr>
      <w:tr w14:paraId="5155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512" w:type="dxa"/>
            <w:vMerge w:val="continue"/>
            <w:vAlign w:val="center"/>
          </w:tcPr>
          <w:p w14:paraId="3417065C">
            <w:pPr>
              <w:autoSpaceDE w:val="0"/>
              <w:autoSpaceDN w:val="0"/>
              <w:adjustRightInd w:val="0"/>
              <w:spacing w:line="440" w:lineRule="exact"/>
              <w:ind w:right="-67" w:rightChars="-32"/>
              <w:jc w:val="center"/>
              <w:rPr>
                <w:rFonts w:eastAsia="仿宋_GB2312"/>
                <w:kern w:val="0"/>
                <w:sz w:val="28"/>
                <w:szCs w:val="28"/>
              </w:rPr>
            </w:pPr>
          </w:p>
        </w:tc>
        <w:tc>
          <w:tcPr>
            <w:tcW w:w="3060" w:type="dxa"/>
            <w:vAlign w:val="center"/>
          </w:tcPr>
          <w:p w14:paraId="2A32DF82">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压力校准不正确</w:t>
            </w:r>
          </w:p>
        </w:tc>
        <w:tc>
          <w:tcPr>
            <w:tcW w:w="2666" w:type="dxa"/>
            <w:vAlign w:val="center"/>
          </w:tcPr>
          <w:p w14:paraId="0875462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设定压力与腔内实际压力超出允许的偏差范围</w:t>
            </w:r>
          </w:p>
        </w:tc>
        <w:tc>
          <w:tcPr>
            <w:tcW w:w="2337" w:type="dxa"/>
            <w:vAlign w:val="center"/>
          </w:tcPr>
          <w:p w14:paraId="09547FD7">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造成手术时手术区域压力不足或过高。</w:t>
            </w:r>
          </w:p>
        </w:tc>
      </w:tr>
      <w:tr w14:paraId="28E9F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vAlign w:val="center"/>
          </w:tcPr>
          <w:p w14:paraId="5F93F2BC">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生物学</w:t>
            </w:r>
          </w:p>
        </w:tc>
        <w:tc>
          <w:tcPr>
            <w:tcW w:w="3060" w:type="dxa"/>
            <w:vAlign w:val="center"/>
          </w:tcPr>
          <w:p w14:paraId="6A3AAE50">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不按要求进行过滤器的更换</w:t>
            </w:r>
          </w:p>
        </w:tc>
        <w:tc>
          <w:tcPr>
            <w:tcW w:w="2666" w:type="dxa"/>
            <w:vAlign w:val="center"/>
          </w:tcPr>
          <w:p w14:paraId="7F7559D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输入人体的气体不能满足要求</w:t>
            </w:r>
          </w:p>
        </w:tc>
        <w:tc>
          <w:tcPr>
            <w:tcW w:w="2337" w:type="dxa"/>
            <w:vAlign w:val="center"/>
          </w:tcPr>
          <w:p w14:paraId="391BF776">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造成手术部位感染。</w:t>
            </w:r>
          </w:p>
        </w:tc>
      </w:tr>
      <w:tr w14:paraId="4014E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512" w:type="dxa"/>
            <w:vMerge w:val="restart"/>
            <w:vAlign w:val="center"/>
          </w:tcPr>
          <w:p w14:paraId="65AD461F">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操作错误</w:t>
            </w:r>
          </w:p>
        </w:tc>
        <w:tc>
          <w:tcPr>
            <w:tcW w:w="3060" w:type="dxa"/>
            <w:tcBorders>
              <w:bottom w:val="single" w:color="auto" w:sz="4" w:space="0"/>
            </w:tcBorders>
            <w:vAlign w:val="center"/>
          </w:tcPr>
          <w:p w14:paraId="7B8A4EEC">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气腹机出气端所接的气腹针堵塞或阀门未打开</w:t>
            </w:r>
          </w:p>
        </w:tc>
        <w:tc>
          <w:tcPr>
            <w:tcW w:w="2666" w:type="dxa"/>
            <w:vAlign w:val="center"/>
          </w:tcPr>
          <w:p w14:paraId="78E860F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造成充气缓慢或气腹机发出过压报警</w:t>
            </w:r>
          </w:p>
        </w:tc>
        <w:tc>
          <w:tcPr>
            <w:tcW w:w="2337" w:type="dxa"/>
            <w:vAlign w:val="center"/>
          </w:tcPr>
          <w:p w14:paraId="40EB4692">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气腹无法建立和维持。</w:t>
            </w:r>
          </w:p>
        </w:tc>
      </w:tr>
      <w:tr w14:paraId="64395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512" w:type="dxa"/>
            <w:vMerge w:val="continue"/>
            <w:vAlign w:val="center"/>
          </w:tcPr>
          <w:p w14:paraId="13E49073">
            <w:pPr>
              <w:autoSpaceDE w:val="0"/>
              <w:autoSpaceDN w:val="0"/>
              <w:adjustRightInd w:val="0"/>
              <w:spacing w:line="440" w:lineRule="exact"/>
              <w:ind w:right="-67" w:rightChars="-32"/>
              <w:jc w:val="center"/>
              <w:rPr>
                <w:rFonts w:eastAsia="仿宋_GB2312"/>
                <w:kern w:val="0"/>
                <w:sz w:val="28"/>
                <w:szCs w:val="28"/>
              </w:rPr>
            </w:pPr>
          </w:p>
        </w:tc>
        <w:tc>
          <w:tcPr>
            <w:tcW w:w="3060" w:type="dxa"/>
            <w:tcBorders>
              <w:bottom w:val="single" w:color="auto" w:sz="4" w:space="0"/>
            </w:tcBorders>
            <w:vAlign w:val="center"/>
          </w:tcPr>
          <w:p w14:paraId="414EA99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气腹机持续采用连接气腹针供气的方式</w:t>
            </w:r>
          </w:p>
        </w:tc>
        <w:tc>
          <w:tcPr>
            <w:tcW w:w="2666" w:type="dxa"/>
            <w:vAlign w:val="center"/>
          </w:tcPr>
          <w:p w14:paraId="4BF4A8A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造成手术时供气不足气腹不稳</w:t>
            </w:r>
          </w:p>
        </w:tc>
        <w:tc>
          <w:tcPr>
            <w:tcW w:w="2337" w:type="dxa"/>
            <w:vAlign w:val="center"/>
          </w:tcPr>
          <w:p w14:paraId="462E8934">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气腹无法维持。</w:t>
            </w:r>
          </w:p>
        </w:tc>
      </w:tr>
      <w:tr w14:paraId="179BB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512" w:type="dxa"/>
            <w:vMerge w:val="continue"/>
            <w:vAlign w:val="center"/>
          </w:tcPr>
          <w:p w14:paraId="1CCBCFE0">
            <w:pPr>
              <w:autoSpaceDE w:val="0"/>
              <w:autoSpaceDN w:val="0"/>
              <w:adjustRightInd w:val="0"/>
              <w:spacing w:line="440" w:lineRule="exact"/>
              <w:ind w:right="-67" w:rightChars="-32"/>
              <w:jc w:val="center"/>
              <w:rPr>
                <w:rFonts w:eastAsia="仿宋_GB2312"/>
                <w:kern w:val="0"/>
                <w:sz w:val="28"/>
                <w:szCs w:val="28"/>
              </w:rPr>
            </w:pPr>
          </w:p>
        </w:tc>
        <w:tc>
          <w:tcPr>
            <w:tcW w:w="3060" w:type="dxa"/>
            <w:tcBorders>
              <w:bottom w:val="single" w:color="auto" w:sz="4" w:space="0"/>
            </w:tcBorders>
            <w:vAlign w:val="center"/>
          </w:tcPr>
          <w:p w14:paraId="25C19F99">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向气腹机供气CO</w:t>
            </w:r>
            <w:r>
              <w:rPr>
                <w:rFonts w:eastAsia="仿宋_GB2312"/>
                <w:kern w:val="0"/>
                <w:sz w:val="28"/>
                <w:szCs w:val="28"/>
                <w:vertAlign w:val="subscript"/>
              </w:rPr>
              <w:t>2</w:t>
            </w:r>
            <w:r>
              <w:rPr>
                <w:rFonts w:eastAsia="仿宋_GB2312"/>
                <w:kern w:val="0"/>
                <w:sz w:val="28"/>
                <w:szCs w:val="28"/>
              </w:rPr>
              <w:t>气体气压过高</w:t>
            </w:r>
          </w:p>
        </w:tc>
        <w:tc>
          <w:tcPr>
            <w:tcW w:w="2666" w:type="dxa"/>
            <w:vAlign w:val="center"/>
          </w:tcPr>
          <w:p w14:paraId="2C997F11">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引起气腹机过压保护，气腹机不工作</w:t>
            </w:r>
          </w:p>
        </w:tc>
        <w:tc>
          <w:tcPr>
            <w:tcW w:w="2337" w:type="dxa"/>
            <w:vAlign w:val="center"/>
          </w:tcPr>
          <w:p w14:paraId="3413BF85">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气腹无法建立。</w:t>
            </w:r>
          </w:p>
        </w:tc>
      </w:tr>
      <w:tr w14:paraId="2441A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1512" w:type="dxa"/>
            <w:vMerge w:val="continue"/>
            <w:vAlign w:val="center"/>
          </w:tcPr>
          <w:p w14:paraId="6E5D10EB">
            <w:pPr>
              <w:autoSpaceDE w:val="0"/>
              <w:autoSpaceDN w:val="0"/>
              <w:adjustRightInd w:val="0"/>
              <w:spacing w:line="440" w:lineRule="exact"/>
              <w:ind w:right="-67" w:rightChars="-32"/>
              <w:jc w:val="center"/>
              <w:rPr>
                <w:rFonts w:eastAsia="仿宋_GB2312"/>
                <w:kern w:val="0"/>
                <w:sz w:val="28"/>
                <w:szCs w:val="28"/>
              </w:rPr>
            </w:pPr>
          </w:p>
        </w:tc>
        <w:tc>
          <w:tcPr>
            <w:tcW w:w="3060" w:type="dxa"/>
            <w:tcBorders>
              <w:bottom w:val="single" w:color="auto" w:sz="4" w:space="0"/>
            </w:tcBorders>
            <w:vAlign w:val="center"/>
          </w:tcPr>
          <w:p w14:paraId="0A325738">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气腹机设定压力过高</w:t>
            </w:r>
          </w:p>
        </w:tc>
        <w:tc>
          <w:tcPr>
            <w:tcW w:w="2666" w:type="dxa"/>
            <w:vAlign w:val="center"/>
          </w:tcPr>
          <w:p w14:paraId="41D1D190">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手术时患者气腹腹压不是适宜的</w:t>
            </w:r>
          </w:p>
        </w:tc>
        <w:tc>
          <w:tcPr>
            <w:tcW w:w="2337" w:type="dxa"/>
            <w:vAlign w:val="center"/>
          </w:tcPr>
          <w:p w14:paraId="211CACDB">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造成患者不适。</w:t>
            </w:r>
          </w:p>
        </w:tc>
      </w:tr>
      <w:tr w14:paraId="5AD14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512" w:type="dxa"/>
            <w:vMerge w:val="restart"/>
            <w:vAlign w:val="center"/>
          </w:tcPr>
          <w:p w14:paraId="3D5FE7DF">
            <w:pPr>
              <w:autoSpaceDE w:val="0"/>
              <w:autoSpaceDN w:val="0"/>
              <w:adjustRightInd w:val="0"/>
              <w:spacing w:line="440" w:lineRule="exact"/>
              <w:ind w:right="-67" w:rightChars="-32"/>
              <w:jc w:val="center"/>
              <w:rPr>
                <w:rFonts w:eastAsia="仿宋_GB2312"/>
                <w:kern w:val="0"/>
                <w:sz w:val="28"/>
                <w:szCs w:val="28"/>
              </w:rPr>
            </w:pPr>
            <w:r>
              <w:rPr>
                <w:rFonts w:eastAsia="仿宋_GB2312"/>
                <w:kern w:val="0"/>
                <w:sz w:val="28"/>
                <w:szCs w:val="28"/>
              </w:rPr>
              <w:t>不完整的说明书</w:t>
            </w:r>
          </w:p>
        </w:tc>
        <w:tc>
          <w:tcPr>
            <w:tcW w:w="3060" w:type="dxa"/>
            <w:tcBorders>
              <w:top w:val="single" w:color="auto" w:sz="4" w:space="0"/>
              <w:bottom w:val="single" w:color="auto" w:sz="4" w:space="0"/>
            </w:tcBorders>
            <w:vAlign w:val="center"/>
          </w:tcPr>
          <w:p w14:paraId="32458FD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未对错误操作进行说明</w:t>
            </w:r>
          </w:p>
        </w:tc>
        <w:tc>
          <w:tcPr>
            <w:tcW w:w="2666" w:type="dxa"/>
            <w:vAlign w:val="center"/>
          </w:tcPr>
          <w:p w14:paraId="296E9A54">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见“操作错误”</w:t>
            </w:r>
          </w:p>
        </w:tc>
        <w:tc>
          <w:tcPr>
            <w:tcW w:w="2337" w:type="dxa"/>
            <w:vAlign w:val="center"/>
          </w:tcPr>
          <w:p w14:paraId="7BF968E4">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气腹无法建立或维持，造成手术无法正常开展。</w:t>
            </w:r>
          </w:p>
        </w:tc>
      </w:tr>
      <w:tr w14:paraId="6F7E5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1512" w:type="dxa"/>
            <w:vMerge w:val="continue"/>
            <w:vAlign w:val="center"/>
          </w:tcPr>
          <w:p w14:paraId="0DE17A26">
            <w:pPr>
              <w:autoSpaceDE w:val="0"/>
              <w:autoSpaceDN w:val="0"/>
              <w:adjustRightInd w:val="0"/>
              <w:spacing w:line="440" w:lineRule="exact"/>
              <w:ind w:right="-67" w:rightChars="-32"/>
              <w:jc w:val="center"/>
              <w:rPr>
                <w:rFonts w:eastAsia="仿宋_GB2312"/>
                <w:kern w:val="0"/>
                <w:sz w:val="28"/>
                <w:szCs w:val="28"/>
              </w:rPr>
            </w:pPr>
          </w:p>
        </w:tc>
        <w:tc>
          <w:tcPr>
            <w:tcW w:w="3060" w:type="dxa"/>
            <w:tcBorders>
              <w:top w:val="single" w:color="auto" w:sz="4" w:space="0"/>
            </w:tcBorders>
            <w:vAlign w:val="center"/>
          </w:tcPr>
          <w:p w14:paraId="08F7F84E">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不正确的产品贮存条件</w:t>
            </w:r>
          </w:p>
        </w:tc>
        <w:tc>
          <w:tcPr>
            <w:tcW w:w="2666" w:type="dxa"/>
            <w:vAlign w:val="center"/>
          </w:tcPr>
          <w:p w14:paraId="17FE43D6">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器件老化，部件寿命降低</w:t>
            </w:r>
          </w:p>
        </w:tc>
        <w:tc>
          <w:tcPr>
            <w:tcW w:w="2337" w:type="dxa"/>
            <w:vAlign w:val="center"/>
          </w:tcPr>
          <w:p w14:paraId="43D6A443">
            <w:pPr>
              <w:autoSpaceDE w:val="0"/>
              <w:autoSpaceDN w:val="0"/>
              <w:adjustRightInd w:val="0"/>
              <w:spacing w:line="440" w:lineRule="exact"/>
              <w:ind w:right="-67" w:rightChars="-32"/>
              <w:rPr>
                <w:rFonts w:eastAsia="仿宋_GB2312"/>
                <w:kern w:val="0"/>
                <w:sz w:val="28"/>
                <w:szCs w:val="28"/>
              </w:rPr>
            </w:pPr>
            <w:r>
              <w:rPr>
                <w:rFonts w:eastAsia="仿宋_GB2312"/>
                <w:kern w:val="0"/>
                <w:sz w:val="28"/>
                <w:szCs w:val="28"/>
              </w:rPr>
              <w:t>产品寿命降低，设备故障率提高。</w:t>
            </w:r>
          </w:p>
        </w:tc>
      </w:tr>
    </w:tbl>
    <w:p w14:paraId="786B33A5">
      <w:pPr>
        <w:pStyle w:val="54"/>
      </w:pPr>
    </w:p>
    <w:bookmarkEnd w:id="3"/>
    <w:p w14:paraId="4C792851">
      <w:pPr>
        <w:overflowPunct w:val="0"/>
        <w:autoSpaceDE w:val="0"/>
        <w:autoSpaceDN w:val="0"/>
        <w:spacing w:line="520" w:lineRule="exact"/>
        <w:ind w:firstLine="640" w:firstLineChars="200"/>
        <w:outlineLvl w:val="2"/>
        <w:rPr>
          <w:rFonts w:eastAsia="仿宋"/>
          <w:sz w:val="32"/>
          <w:szCs w:val="32"/>
        </w:rPr>
      </w:pPr>
      <w:bookmarkStart w:id="4" w:name="_Toc432753650"/>
      <w:r>
        <w:rPr>
          <w:rFonts w:hint="eastAsia" w:eastAsia="仿宋"/>
          <w:sz w:val="32"/>
          <w:szCs w:val="32"/>
        </w:rPr>
        <w:t>2.安全和性能的基本原则</w:t>
      </w:r>
    </w:p>
    <w:p w14:paraId="78ADB12F">
      <w:pPr>
        <w:overflowPunct w:val="0"/>
        <w:autoSpaceDE w:val="0"/>
        <w:autoSpaceDN w:val="0"/>
        <w:spacing w:line="520" w:lineRule="exact"/>
        <w:ind w:firstLine="640" w:firstLineChars="200"/>
        <w:outlineLvl w:val="2"/>
        <w:rPr>
          <w:rFonts w:eastAsia="仿宋"/>
          <w:sz w:val="32"/>
          <w:szCs w:val="32"/>
        </w:rPr>
      </w:pPr>
      <w:r>
        <w:rPr>
          <w:rFonts w:hint="eastAsia" w:eastAsia="仿宋"/>
          <w:sz w:val="32"/>
          <w:szCs w:val="32"/>
        </w:rPr>
        <w:t>参考《医疗器械安全和性能基本原则符合性技术指南》的要求，根据《医疗器械安全和性能的基本原则》中的各项要求明确适用性。对于不适用的要求，应当逐项说明不适用的理由。对于适用要求，应逐项说明为符合要求所采用的方法，以及证明其符合性的文件。关于证明各项要求符合性的文件，如果包含在产品注册申报资料中，应当说明其在申报资料中的具体位置。对于未包含在产品注册申报资料中的文件，应当注明该证明文件名称及其在质量管理体系文件中的编号。</w:t>
      </w:r>
    </w:p>
    <w:p w14:paraId="57413ECE">
      <w:pPr>
        <w:overflowPunct w:val="0"/>
        <w:autoSpaceDE w:val="0"/>
        <w:autoSpaceDN w:val="0"/>
        <w:spacing w:line="520" w:lineRule="exact"/>
        <w:ind w:firstLine="640" w:firstLineChars="200"/>
        <w:outlineLvl w:val="2"/>
        <w:rPr>
          <w:rFonts w:eastAsia="仿宋_GB2312" w:cs="仿宋_GB2312"/>
          <w:snapToGrid w:val="0"/>
          <w:kern w:val="0"/>
          <w:sz w:val="32"/>
          <w:szCs w:val="32"/>
        </w:rPr>
      </w:pPr>
      <w:r>
        <w:rPr>
          <w:rFonts w:hint="eastAsia" w:eastAsia="仿宋"/>
          <w:sz w:val="32"/>
          <w:szCs w:val="32"/>
        </w:rPr>
        <w:t>3.</w:t>
      </w:r>
      <w:r>
        <w:rPr>
          <w:rFonts w:hint="eastAsia" w:eastAsia="仿宋_GB2312" w:cs="仿宋_GB2312"/>
          <w:snapToGrid w:val="0"/>
          <w:kern w:val="0"/>
          <w:sz w:val="32"/>
          <w:szCs w:val="32"/>
        </w:rPr>
        <w:t>产品技术要求</w:t>
      </w:r>
      <w:bookmarkEnd w:id="4"/>
      <w:r>
        <w:rPr>
          <w:rFonts w:hint="eastAsia" w:eastAsia="仿宋_GB2312" w:cs="仿宋_GB2312"/>
          <w:snapToGrid w:val="0"/>
          <w:kern w:val="0"/>
          <w:sz w:val="32"/>
          <w:szCs w:val="32"/>
        </w:rPr>
        <w:t>及</w:t>
      </w:r>
      <w:r>
        <w:rPr>
          <w:rFonts w:eastAsia="仿宋_GB2312" w:cs="仿宋_GB2312"/>
          <w:snapToGrid w:val="0"/>
          <w:kern w:val="0"/>
          <w:sz w:val="32"/>
          <w:szCs w:val="32"/>
        </w:rPr>
        <w:t>检</w:t>
      </w:r>
      <w:r>
        <w:rPr>
          <w:rFonts w:hint="eastAsia" w:eastAsia="仿宋_GB2312" w:cs="仿宋_GB2312"/>
          <w:snapToGrid w:val="0"/>
          <w:kern w:val="0"/>
          <w:sz w:val="32"/>
          <w:szCs w:val="32"/>
        </w:rPr>
        <w:t>验</w:t>
      </w:r>
      <w:r>
        <w:rPr>
          <w:rFonts w:eastAsia="仿宋_GB2312" w:cs="仿宋_GB2312"/>
          <w:snapToGrid w:val="0"/>
          <w:kern w:val="0"/>
          <w:sz w:val="32"/>
          <w:szCs w:val="32"/>
        </w:rPr>
        <w:t>报告</w:t>
      </w:r>
    </w:p>
    <w:p w14:paraId="1DD02939">
      <w:pPr>
        <w:pStyle w:val="14"/>
        <w:widowControl/>
        <w:ind w:firstLine="640"/>
        <w:jc w:val="both"/>
        <w:rPr>
          <w:rFonts w:eastAsia="仿宋_GB2312"/>
          <w:sz w:val="32"/>
          <w:szCs w:val="32"/>
        </w:rPr>
      </w:pPr>
      <w:r>
        <w:rPr>
          <w:rFonts w:hint="eastAsia" w:eastAsia="仿宋_GB2312"/>
          <w:snapToGrid w:val="0"/>
          <w:sz w:val="32"/>
          <w:szCs w:val="32"/>
        </w:rPr>
        <w:t>3</w:t>
      </w:r>
      <w:r>
        <w:rPr>
          <w:rFonts w:eastAsia="仿宋_GB2312"/>
          <w:snapToGrid w:val="0"/>
          <w:sz w:val="32"/>
          <w:szCs w:val="32"/>
        </w:rPr>
        <w:t>.1产品适用标准情况</w:t>
      </w:r>
    </w:p>
    <w:p w14:paraId="5D43C413">
      <w:pPr>
        <w:spacing w:line="520" w:lineRule="exact"/>
        <w:jc w:val="center"/>
        <w:rPr>
          <w:rFonts w:eastAsia="方正小标宋简体"/>
          <w:kern w:val="0"/>
          <w:sz w:val="28"/>
          <w:szCs w:val="28"/>
        </w:rPr>
      </w:pPr>
      <w:r>
        <w:rPr>
          <w:rFonts w:hint="eastAsia" w:eastAsia="方正小标宋简体"/>
          <w:kern w:val="0"/>
          <w:sz w:val="28"/>
          <w:szCs w:val="28"/>
        </w:rPr>
        <w:t>表1相关产品标准</w:t>
      </w:r>
    </w:p>
    <w:tbl>
      <w:tblPr>
        <w:tblStyle w:val="16"/>
        <w:tblW w:w="82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5448"/>
      </w:tblGrid>
      <w:tr w14:paraId="4993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35" w:type="dxa"/>
            <w:vAlign w:val="center"/>
          </w:tcPr>
          <w:p w14:paraId="1A56EC11">
            <w:pPr>
              <w:autoSpaceDE w:val="0"/>
              <w:autoSpaceDN w:val="0"/>
              <w:adjustRightInd w:val="0"/>
              <w:spacing w:line="480" w:lineRule="exact"/>
              <w:ind w:right="-67" w:rightChars="-32"/>
              <w:jc w:val="center"/>
              <w:rPr>
                <w:rFonts w:ascii="黑体" w:hAnsi="黑体" w:eastAsia="黑体"/>
                <w:kern w:val="0"/>
                <w:sz w:val="28"/>
                <w:szCs w:val="28"/>
              </w:rPr>
            </w:pPr>
            <w:bookmarkStart w:id="5" w:name="_Hlk198626370"/>
            <w:r>
              <w:rPr>
                <w:rFonts w:hint="eastAsia" w:ascii="黑体" w:hAnsi="黑体" w:eastAsia="黑体"/>
                <w:kern w:val="0"/>
                <w:sz w:val="28"/>
                <w:szCs w:val="28"/>
              </w:rPr>
              <w:t>标准编号</w:t>
            </w:r>
          </w:p>
        </w:tc>
        <w:tc>
          <w:tcPr>
            <w:tcW w:w="5448" w:type="dxa"/>
            <w:vAlign w:val="center"/>
          </w:tcPr>
          <w:p w14:paraId="5F496668">
            <w:pPr>
              <w:spacing w:line="480" w:lineRule="exact"/>
              <w:jc w:val="center"/>
              <w:rPr>
                <w:rFonts w:ascii="黑体" w:hAnsi="黑体" w:eastAsia="黑体"/>
                <w:kern w:val="0"/>
                <w:sz w:val="28"/>
                <w:szCs w:val="28"/>
              </w:rPr>
            </w:pPr>
            <w:r>
              <w:rPr>
                <w:rFonts w:hint="eastAsia" w:ascii="黑体" w:hAnsi="黑体" w:eastAsia="黑体"/>
                <w:kern w:val="0"/>
                <w:sz w:val="28"/>
                <w:szCs w:val="28"/>
              </w:rPr>
              <w:t>标准名称</w:t>
            </w:r>
          </w:p>
        </w:tc>
      </w:tr>
      <w:tr w14:paraId="00797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6ADCB80B"/>
          <w:p w14:paraId="5A2B13E7">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GB</w:t>
            </w:r>
            <w:r>
              <w:rPr>
                <w:rFonts w:hint="eastAsia" w:eastAsia="仿宋_GB2312"/>
                <w:kern w:val="0"/>
                <w:sz w:val="28"/>
                <w:szCs w:val="28"/>
              </w:rPr>
              <w:t xml:space="preserve"> </w:t>
            </w:r>
            <w:r>
              <w:rPr>
                <w:rFonts w:eastAsia="仿宋_GB2312"/>
                <w:kern w:val="0"/>
                <w:sz w:val="28"/>
                <w:szCs w:val="28"/>
              </w:rPr>
              <w:t>9706.1</w:t>
            </w:r>
          </w:p>
        </w:tc>
        <w:tc>
          <w:tcPr>
            <w:tcW w:w="5448" w:type="dxa"/>
          </w:tcPr>
          <w:p w14:paraId="6D91D4FB">
            <w:pPr>
              <w:autoSpaceDE w:val="0"/>
              <w:autoSpaceDN w:val="0"/>
              <w:adjustRightInd w:val="0"/>
              <w:spacing w:line="480" w:lineRule="exact"/>
              <w:ind w:right="-67" w:rightChars="-32"/>
              <w:rPr>
                <w:rFonts w:eastAsia="仿宋_GB2312"/>
                <w:kern w:val="0"/>
                <w:sz w:val="28"/>
                <w:szCs w:val="28"/>
              </w:rPr>
            </w:pPr>
            <w:r>
              <w:fldChar w:fldCharType="begin"/>
            </w:r>
            <w:r>
              <w:instrText xml:space="preserve"> HYPERLINK "https://std.samr.gov.cn/gb/search/gbDetailed?id=A327FCEA3046B9B7E05397BE0A0A8A97" \t "_blank" </w:instrText>
            </w:r>
            <w:r>
              <w:fldChar w:fldCharType="separate"/>
            </w:r>
            <w:r>
              <w:rPr>
                <w:rStyle w:val="24"/>
                <w:rFonts w:eastAsia="仿宋_GB2312"/>
                <w:color w:val="auto"/>
                <w:kern w:val="0"/>
                <w:sz w:val="28"/>
                <w:szCs w:val="28"/>
              </w:rPr>
              <w:t>医用电气设备 第1部分：基本安全和基本性能的通用要求</w:t>
            </w:r>
            <w:r>
              <w:rPr>
                <w:rStyle w:val="24"/>
                <w:rFonts w:eastAsia="仿宋_GB2312"/>
                <w:color w:val="auto"/>
                <w:kern w:val="0"/>
                <w:sz w:val="28"/>
                <w:szCs w:val="28"/>
              </w:rPr>
              <w:fldChar w:fldCharType="end"/>
            </w:r>
          </w:p>
        </w:tc>
      </w:tr>
      <w:tr w14:paraId="61311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6B67DD00">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GB 9706.218</w:t>
            </w:r>
          </w:p>
        </w:tc>
        <w:tc>
          <w:tcPr>
            <w:tcW w:w="5448" w:type="dxa"/>
          </w:tcPr>
          <w:p w14:paraId="48DE89F8">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《医用电气设备 第2-18部分：内窥镜设备的基本安全与基本性能专用要求》</w:t>
            </w:r>
          </w:p>
        </w:tc>
      </w:tr>
      <w:tr w14:paraId="70543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43796A7B">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YY 0843</w:t>
            </w:r>
          </w:p>
        </w:tc>
        <w:tc>
          <w:tcPr>
            <w:tcW w:w="5448" w:type="dxa"/>
          </w:tcPr>
          <w:p w14:paraId="3572EC75">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医用内窥镜 内窥镜功能供给装置 气腹机</w:t>
            </w:r>
          </w:p>
        </w:tc>
      </w:tr>
      <w:tr w14:paraId="66C21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0D54E3A9">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GB/T 14710</w:t>
            </w:r>
          </w:p>
        </w:tc>
        <w:tc>
          <w:tcPr>
            <w:tcW w:w="5448" w:type="dxa"/>
          </w:tcPr>
          <w:p w14:paraId="785C2BDC">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医用电器环境要求及试验方法</w:t>
            </w:r>
          </w:p>
        </w:tc>
      </w:tr>
      <w:tr w14:paraId="4B2E9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1EF14DCA"/>
          <w:p w14:paraId="435A39B2"/>
          <w:p w14:paraId="354D79F3">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GB/T 16886.1</w:t>
            </w:r>
          </w:p>
        </w:tc>
        <w:tc>
          <w:tcPr>
            <w:tcW w:w="5448" w:type="dxa"/>
          </w:tcPr>
          <w:p w14:paraId="033D3914">
            <w:pPr>
              <w:autoSpaceDE w:val="0"/>
              <w:autoSpaceDN w:val="0"/>
              <w:adjustRightInd w:val="0"/>
              <w:spacing w:line="480" w:lineRule="exact"/>
              <w:ind w:right="-67" w:rightChars="-32"/>
              <w:jc w:val="left"/>
              <w:rPr>
                <w:rFonts w:eastAsia="仿宋_GB2312"/>
                <w:kern w:val="0"/>
                <w:sz w:val="28"/>
                <w:szCs w:val="28"/>
              </w:rPr>
            </w:pPr>
            <w:r>
              <w:fldChar w:fldCharType="begin"/>
            </w:r>
            <w:r>
              <w:instrText xml:space="preserve"> HYPERLINK "https://std.samr.gov.cn/gb/search/gbDetailed?id=DD3D95E5C0E471EBE05397BE0A0AF33F" \t "_blank" </w:instrText>
            </w:r>
            <w:r>
              <w:fldChar w:fldCharType="separate"/>
            </w:r>
            <w:r>
              <w:rPr>
                <w:rStyle w:val="24"/>
                <w:rFonts w:eastAsia="仿宋_GB2312"/>
                <w:color w:val="auto"/>
                <w:kern w:val="0"/>
                <w:sz w:val="28"/>
                <w:szCs w:val="28"/>
              </w:rPr>
              <w:t>医疗器械生物学评价 第1部分：风险管理过程中的评价与试验</w:t>
            </w:r>
            <w:r>
              <w:rPr>
                <w:rStyle w:val="24"/>
                <w:rFonts w:eastAsia="仿宋_GB2312"/>
                <w:color w:val="auto"/>
                <w:kern w:val="0"/>
                <w:sz w:val="28"/>
                <w:szCs w:val="28"/>
              </w:rPr>
              <w:fldChar w:fldCharType="end"/>
            </w:r>
          </w:p>
        </w:tc>
      </w:tr>
      <w:tr w14:paraId="7AEA1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835" w:type="dxa"/>
            <w:vAlign w:val="center"/>
          </w:tcPr>
          <w:p w14:paraId="598DD8FF"/>
          <w:p w14:paraId="08DF1913"/>
          <w:p w14:paraId="0E13CD4C">
            <w:pPr>
              <w:autoSpaceDE w:val="0"/>
              <w:autoSpaceDN w:val="0"/>
              <w:adjustRightInd w:val="0"/>
              <w:spacing w:line="480" w:lineRule="exact"/>
              <w:ind w:right="-67" w:rightChars="-32"/>
              <w:rPr>
                <w:rFonts w:eastAsia="仿宋_GB2312"/>
                <w:kern w:val="0"/>
                <w:sz w:val="28"/>
                <w:szCs w:val="28"/>
              </w:rPr>
            </w:pPr>
            <w:r>
              <w:rPr>
                <w:rFonts w:hint="eastAsia" w:eastAsia="仿宋_GB2312"/>
                <w:kern w:val="0"/>
                <w:sz w:val="28"/>
                <w:szCs w:val="28"/>
              </w:rPr>
              <w:t>GB/T 16886.5</w:t>
            </w:r>
          </w:p>
        </w:tc>
        <w:tc>
          <w:tcPr>
            <w:tcW w:w="5448" w:type="dxa"/>
          </w:tcPr>
          <w:p w14:paraId="177FF755">
            <w:pPr>
              <w:autoSpaceDE w:val="0"/>
              <w:autoSpaceDN w:val="0"/>
              <w:adjustRightInd w:val="0"/>
              <w:spacing w:line="480" w:lineRule="exact"/>
              <w:ind w:right="-67" w:rightChars="-32"/>
              <w:jc w:val="left"/>
              <w:rPr>
                <w:rFonts w:eastAsia="仿宋_GB2312"/>
                <w:kern w:val="0"/>
                <w:sz w:val="28"/>
                <w:szCs w:val="28"/>
              </w:rPr>
            </w:pPr>
            <w:r>
              <w:fldChar w:fldCharType="begin"/>
            </w:r>
            <w:r>
              <w:instrText xml:space="preserve"> HYPERLINK "https://std.samr.gov.cn/gb/search/gbDetailed?id=71F772D823B2D3A7E05397BE0A0AB82A" \t "_blank" </w:instrText>
            </w:r>
            <w:r>
              <w:fldChar w:fldCharType="separate"/>
            </w:r>
            <w:r>
              <w:rPr>
                <w:rStyle w:val="24"/>
                <w:rFonts w:eastAsia="仿宋_GB2312"/>
                <w:color w:val="auto"/>
                <w:kern w:val="0"/>
                <w:sz w:val="28"/>
                <w:szCs w:val="28"/>
              </w:rPr>
              <w:t>医疗器械生物学评价 第5部分：体外细胞毒性试验</w:t>
            </w:r>
            <w:r>
              <w:rPr>
                <w:rStyle w:val="24"/>
                <w:rFonts w:eastAsia="仿宋_GB2312"/>
                <w:color w:val="auto"/>
                <w:kern w:val="0"/>
                <w:sz w:val="28"/>
                <w:szCs w:val="28"/>
              </w:rPr>
              <w:fldChar w:fldCharType="end"/>
            </w:r>
          </w:p>
        </w:tc>
      </w:tr>
      <w:tr w14:paraId="72BB2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22A81EA5">
            <w:r>
              <w:rPr>
                <w:rFonts w:eastAsia="仿宋_GB2312"/>
                <w:kern w:val="0"/>
                <w:sz w:val="28"/>
                <w:szCs w:val="28"/>
              </w:rPr>
              <w:t>GB/T 16886.10</w:t>
            </w:r>
          </w:p>
          <w:p w14:paraId="57208190"/>
          <w:p w14:paraId="4AFAD18B">
            <w:pPr>
              <w:autoSpaceDE w:val="0"/>
              <w:autoSpaceDN w:val="0"/>
              <w:adjustRightInd w:val="0"/>
              <w:spacing w:line="480" w:lineRule="exact"/>
              <w:ind w:right="-67" w:rightChars="-32"/>
              <w:rPr>
                <w:rFonts w:eastAsia="仿宋_GB2312"/>
                <w:kern w:val="0"/>
                <w:sz w:val="28"/>
                <w:szCs w:val="28"/>
              </w:rPr>
            </w:pPr>
          </w:p>
        </w:tc>
        <w:tc>
          <w:tcPr>
            <w:tcW w:w="5448" w:type="dxa"/>
          </w:tcPr>
          <w:p w14:paraId="30ECF3B0">
            <w:pPr>
              <w:jc w:val="left"/>
              <w:rPr>
                <w:rFonts w:eastAsia="仿宋_GB2312"/>
                <w:kern w:val="0"/>
                <w:sz w:val="28"/>
                <w:szCs w:val="28"/>
              </w:rPr>
            </w:pPr>
            <w:r>
              <w:fldChar w:fldCharType="begin"/>
            </w:r>
            <w:r>
              <w:instrText xml:space="preserve"> HYPERLINK "https://std.samr.gov.cn/gb/search/gbDetailed?id=208E903AB73C79F3E06397BE0A0AB2B9" \t "_blank" </w:instrText>
            </w:r>
            <w:r>
              <w:fldChar w:fldCharType="separate"/>
            </w:r>
            <w:r>
              <w:rPr>
                <w:rStyle w:val="24"/>
                <w:rFonts w:eastAsia="仿宋_GB2312"/>
                <w:color w:val="auto"/>
                <w:kern w:val="0"/>
                <w:sz w:val="28"/>
                <w:szCs w:val="28"/>
              </w:rPr>
              <w:t>医疗器械生物学评价　第10部分：皮肤致敏试验</w:t>
            </w:r>
            <w:r>
              <w:rPr>
                <w:rStyle w:val="24"/>
                <w:rFonts w:eastAsia="仿宋_GB2312"/>
                <w:color w:val="auto"/>
                <w:kern w:val="0"/>
                <w:sz w:val="28"/>
                <w:szCs w:val="28"/>
              </w:rPr>
              <w:fldChar w:fldCharType="end"/>
            </w:r>
          </w:p>
        </w:tc>
      </w:tr>
      <w:tr w14:paraId="24FB8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Align w:val="center"/>
          </w:tcPr>
          <w:p w14:paraId="7AF5F69F"/>
          <w:p w14:paraId="42C47D63">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YY 9706.102</w:t>
            </w:r>
          </w:p>
        </w:tc>
        <w:tc>
          <w:tcPr>
            <w:tcW w:w="5448" w:type="dxa"/>
          </w:tcPr>
          <w:p w14:paraId="7F397E98">
            <w:pPr>
              <w:autoSpaceDE w:val="0"/>
              <w:autoSpaceDN w:val="0"/>
              <w:adjustRightInd w:val="0"/>
              <w:spacing w:line="480" w:lineRule="exact"/>
              <w:ind w:right="-67" w:rightChars="-32"/>
              <w:rPr>
                <w:rFonts w:eastAsia="仿宋_GB2312"/>
                <w:kern w:val="0"/>
                <w:sz w:val="28"/>
                <w:szCs w:val="28"/>
              </w:rPr>
            </w:pPr>
            <w:r>
              <w:fldChar w:fldCharType="begin"/>
            </w:r>
            <w:r>
              <w:instrText xml:space="preserve"> HYPERLINK "https://std.samr.gov.cn/hb/search/stdHBDetailed?id=BFEAFC933D025285E05397BE0A0A7BFB" \t "_blank" </w:instrText>
            </w:r>
            <w:r>
              <w:fldChar w:fldCharType="separate"/>
            </w:r>
            <w:r>
              <w:rPr>
                <w:rStyle w:val="24"/>
                <w:rFonts w:eastAsia="仿宋_GB2312"/>
                <w:color w:val="auto"/>
                <w:kern w:val="0"/>
                <w:sz w:val="28"/>
                <w:szCs w:val="28"/>
              </w:rPr>
              <w:t>医用电气设备 第1-2部分：基本安全和基本性能的通用要求 并列标准：电磁兼容 要求和试验</w:t>
            </w:r>
            <w:r>
              <w:rPr>
                <w:rStyle w:val="24"/>
                <w:rFonts w:eastAsia="仿宋_GB2312"/>
                <w:color w:val="auto"/>
                <w:kern w:val="0"/>
                <w:sz w:val="28"/>
                <w:szCs w:val="28"/>
              </w:rPr>
              <w:fldChar w:fldCharType="end"/>
            </w:r>
          </w:p>
        </w:tc>
      </w:tr>
      <w:tr w14:paraId="68EFA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jc w:val="center"/>
        </w:trPr>
        <w:tc>
          <w:tcPr>
            <w:tcW w:w="2835" w:type="dxa"/>
          </w:tcPr>
          <w:p w14:paraId="208606FE">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GB/T 42062</w:t>
            </w:r>
          </w:p>
        </w:tc>
        <w:tc>
          <w:tcPr>
            <w:tcW w:w="5448" w:type="dxa"/>
          </w:tcPr>
          <w:p w14:paraId="0044721B">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医疗器械 风险管理对医疗器械的应用</w:t>
            </w:r>
          </w:p>
        </w:tc>
      </w:tr>
      <w:tr w14:paraId="18750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2835" w:type="dxa"/>
            <w:vAlign w:val="center"/>
          </w:tcPr>
          <w:p w14:paraId="3149ED4B">
            <w:pPr>
              <w:autoSpaceDE w:val="0"/>
              <w:autoSpaceDN w:val="0"/>
              <w:adjustRightInd w:val="0"/>
              <w:spacing w:line="480" w:lineRule="exact"/>
              <w:ind w:right="-67" w:rightChars="-32"/>
              <w:rPr>
                <w:rFonts w:eastAsia="仿宋_GB2312"/>
                <w:kern w:val="0"/>
                <w:sz w:val="28"/>
                <w:szCs w:val="28"/>
              </w:rPr>
            </w:pPr>
            <w:r>
              <w:rPr>
                <w:rFonts w:eastAsia="仿宋_GB2312"/>
                <w:kern w:val="0"/>
                <w:sz w:val="28"/>
                <w:szCs w:val="28"/>
              </w:rPr>
              <w:t>YY/T 0466.1</w:t>
            </w:r>
          </w:p>
        </w:tc>
        <w:tc>
          <w:tcPr>
            <w:tcW w:w="5448" w:type="dxa"/>
          </w:tcPr>
          <w:p w14:paraId="57D1C5CE">
            <w:pPr>
              <w:autoSpaceDE w:val="0"/>
              <w:autoSpaceDN w:val="0"/>
              <w:adjustRightInd w:val="0"/>
              <w:spacing w:line="480" w:lineRule="exact"/>
              <w:ind w:right="-67" w:rightChars="-32"/>
              <w:jc w:val="left"/>
              <w:rPr>
                <w:rFonts w:eastAsia="仿宋_GB2312"/>
                <w:kern w:val="0"/>
                <w:sz w:val="28"/>
                <w:szCs w:val="28"/>
              </w:rPr>
            </w:pPr>
            <w:r>
              <w:rPr>
                <w:rFonts w:eastAsia="仿宋_GB2312"/>
                <w:kern w:val="0"/>
                <w:sz w:val="28"/>
                <w:szCs w:val="28"/>
              </w:rPr>
              <w:t>医疗器械 用于制造商提供信息的符号 第1部分：通用要求</w:t>
            </w:r>
          </w:p>
        </w:tc>
      </w:tr>
      <w:bookmarkEnd w:id="5"/>
    </w:tbl>
    <w:p w14:paraId="0DC13DA5">
      <w:pPr>
        <w:pStyle w:val="54"/>
      </w:pPr>
    </w:p>
    <w:p w14:paraId="23A64F19">
      <w:pPr>
        <w:pStyle w:val="54"/>
        <w:jc w:val="center"/>
      </w:pPr>
    </w:p>
    <w:p w14:paraId="17299279">
      <w:pPr>
        <w:spacing w:line="520" w:lineRule="exact"/>
        <w:ind w:firstLine="560" w:firstLineChars="200"/>
        <w:jc w:val="left"/>
        <w:rPr>
          <w:rFonts w:eastAsia="仿宋_GB2312"/>
          <w:sz w:val="32"/>
          <w:szCs w:val="32"/>
        </w:rPr>
      </w:pPr>
      <w:r>
        <w:rPr>
          <w:rFonts w:eastAsia="仿宋_GB2312"/>
          <w:sz w:val="28"/>
          <w:szCs w:val="28"/>
        </w:rPr>
        <w:t>注：以上标准适用最新版本。</w:t>
      </w:r>
    </w:p>
    <w:p w14:paraId="139693F4">
      <w:pPr>
        <w:spacing w:line="520" w:lineRule="exact"/>
        <w:ind w:firstLine="640" w:firstLineChars="200"/>
        <w:rPr>
          <w:rFonts w:eastAsia="仿宋_GB2312"/>
          <w:snapToGrid w:val="0"/>
          <w:kern w:val="0"/>
          <w:sz w:val="32"/>
          <w:szCs w:val="32"/>
        </w:rPr>
      </w:pPr>
      <w:r>
        <w:rPr>
          <w:rFonts w:eastAsia="仿宋_GB2312"/>
          <w:sz w:val="32"/>
          <w:szCs w:val="32"/>
        </w:rPr>
        <w:t>上述标准包括了产品技术要求和其他相关材料中经常涉及的标准，注册申请人应关注上述国家标准和行业标准的有效性。</w:t>
      </w:r>
    </w:p>
    <w:p w14:paraId="073CA40C">
      <w:pPr>
        <w:overflowPunct w:val="0"/>
        <w:autoSpaceDE w:val="0"/>
        <w:autoSpaceDN w:val="0"/>
        <w:spacing w:line="520" w:lineRule="exact"/>
        <w:ind w:firstLine="640" w:firstLineChars="200"/>
        <w:outlineLvl w:val="3"/>
        <w:rPr>
          <w:rFonts w:eastAsia="仿宋_GB2312"/>
          <w:snapToGrid w:val="0"/>
          <w:kern w:val="0"/>
          <w:sz w:val="32"/>
          <w:szCs w:val="32"/>
        </w:rPr>
      </w:pPr>
      <w:r>
        <w:rPr>
          <w:rFonts w:hint="eastAsia" w:eastAsia="仿宋_GB2312"/>
          <w:snapToGrid w:val="0"/>
          <w:kern w:val="0"/>
          <w:sz w:val="32"/>
          <w:szCs w:val="32"/>
        </w:rPr>
        <w:t>3.2</w:t>
      </w:r>
      <w:r>
        <w:rPr>
          <w:rFonts w:eastAsia="仿宋_GB2312"/>
          <w:snapToGrid w:val="0"/>
          <w:kern w:val="0"/>
          <w:sz w:val="32"/>
          <w:szCs w:val="32"/>
        </w:rPr>
        <w:t>产品技术要求</w:t>
      </w:r>
    </w:p>
    <w:p w14:paraId="66576A3E">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依据</w:t>
      </w:r>
      <w:r>
        <w:rPr>
          <w:rFonts w:eastAsia="仿宋_GB2312"/>
          <w:snapToGrid w:val="0"/>
          <w:kern w:val="0"/>
          <w:sz w:val="32"/>
          <w:szCs w:val="32"/>
        </w:rPr>
        <w:t>《医疗器械产品技术要求编写指导原则》进行编制。</w:t>
      </w:r>
      <w:r>
        <w:rPr>
          <w:rFonts w:hint="eastAsia" w:eastAsia="仿宋_GB2312"/>
          <w:snapToGrid w:val="0"/>
          <w:kern w:val="0"/>
          <w:sz w:val="32"/>
          <w:szCs w:val="32"/>
        </w:rPr>
        <w:t>内容应包括产品名称、产品型号/规格及其划分说明、性能指标、检验方法和产品技术要求编号。其中，产品名称、产品型号/规格及其划分说明的内容应与综述资料的相应内容保持一致，性能指标、检验方法的内容可依据行业标准YY 0843，对产品本身明确了要求。不同企业可根据自身产品的技术特点制定性能指标要求，但不得低于相关强制性国家标准、行业标准的要求。如对标准中有部分条款不适用，企业应提交编制说明充分阐述不适用的原因。</w:t>
      </w:r>
    </w:p>
    <w:p w14:paraId="377FBCF1">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性能要求包括但不限于如下条款。</w:t>
      </w:r>
    </w:p>
    <w:p w14:paraId="4297CCEA">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3.2.1一般性能</w:t>
      </w:r>
    </w:p>
    <w:p w14:paraId="6141DFBB">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根据产品的主要功能和预期用途，产品的技术指标主要包括接口规格、设置气压的可调节范围、气压预置的准确性、气压显示的准确性、过压报警功能、过压释放功能、欠压补充时间、设置流量的调节范围、流量设置的准确性、流量显示的准确性、显示耗气量的准确性、气体过滤器的过滤性能及灭菌耐受性、电气安全性能、持久性、电磁兼容、管路的相关要求（如适用</w:t>
      </w:r>
      <w:r>
        <w:rPr>
          <w:rFonts w:hint="eastAsia" w:eastAsia="仿宋_GB2312"/>
          <w:snapToGrid w:val="0"/>
          <w:kern w:val="0"/>
          <w:sz w:val="32"/>
          <w:szCs w:val="32"/>
          <w:lang w:eastAsia="zh-CN"/>
        </w:rPr>
        <w:t>，</w:t>
      </w:r>
      <w:r>
        <w:rPr>
          <w:rFonts w:hint="eastAsia" w:eastAsia="仿宋_GB2312"/>
          <w:snapToGrid w:val="0"/>
          <w:kern w:val="0"/>
          <w:sz w:val="32"/>
          <w:szCs w:val="32"/>
          <w:lang w:val="en-US" w:eastAsia="zh-CN"/>
        </w:rPr>
        <w:t>管路接口、尺寸和材质要求</w:t>
      </w:r>
      <w:r>
        <w:rPr>
          <w:rFonts w:hint="eastAsia" w:eastAsia="仿宋_GB2312"/>
          <w:snapToGrid w:val="0"/>
          <w:kern w:val="0"/>
          <w:sz w:val="32"/>
          <w:szCs w:val="32"/>
        </w:rPr>
        <w:t>）、过温要求</w:t>
      </w:r>
      <w:r>
        <w:rPr>
          <w:rFonts w:hint="eastAsia" w:eastAsia="仿宋_GB2312"/>
          <w:snapToGrid w:val="0"/>
          <w:kern w:val="0"/>
          <w:sz w:val="32"/>
          <w:szCs w:val="32"/>
        </w:rPr>
        <w:tab/>
      </w:r>
      <w:r>
        <w:rPr>
          <w:rFonts w:hint="eastAsia" w:eastAsia="仿宋_GB2312"/>
          <w:snapToGrid w:val="0"/>
          <w:kern w:val="0"/>
          <w:sz w:val="32"/>
          <w:szCs w:val="32"/>
        </w:rPr>
        <w:t>（如适用）、机械安全阀相关的要求（如适用）等。气腹机产品型号/规格及其划分说明应明确软件版本信息，包括：软件名称、型号规格、发布版本、版本命名规则、运行环境。并且，性能指标应明确软件全部临床功能。</w:t>
      </w:r>
    </w:p>
    <w:p w14:paraId="2D895E4C">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3.2.2安全要求：安全要求应符合GB 9706.1、GB 9706.218标准规定</w:t>
      </w:r>
    </w:p>
    <w:p w14:paraId="64D0A5BA">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3.2.3电磁兼容性要求：应符合YY 9706.102的要求。</w:t>
      </w:r>
    </w:p>
    <w:p w14:paraId="2AC1E3A7">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3.2.4附录</w:t>
      </w:r>
    </w:p>
    <w:p w14:paraId="3E533BC4">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应列明产品的基本安全特征。</w:t>
      </w:r>
    </w:p>
    <w:p w14:paraId="2CE91913">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3.3检验报告</w:t>
      </w:r>
    </w:p>
    <w:p w14:paraId="53C11124">
      <w:pPr>
        <w:spacing w:line="560" w:lineRule="exact"/>
        <w:ind w:firstLine="640" w:firstLineChars="200"/>
        <w:rPr>
          <w:rFonts w:eastAsia="仿宋_GB2312"/>
          <w:sz w:val="32"/>
          <w:szCs w:val="32"/>
        </w:rPr>
      </w:pPr>
      <w:r>
        <w:rPr>
          <w:rFonts w:eastAsia="仿宋_GB2312"/>
          <w:sz w:val="32"/>
          <w:szCs w:val="32"/>
        </w:rPr>
        <w:t>可提交以下任一形式的检验报告：</w:t>
      </w:r>
    </w:p>
    <w:p w14:paraId="499C66E1">
      <w:pPr>
        <w:spacing w:line="560" w:lineRule="exact"/>
        <w:ind w:firstLine="640" w:firstLineChars="200"/>
        <w:rPr>
          <w:rFonts w:eastAsia="仿宋_GB2312"/>
          <w:sz w:val="32"/>
          <w:szCs w:val="32"/>
        </w:rPr>
      </w:pPr>
      <w:r>
        <w:rPr>
          <w:rFonts w:hint="eastAsia" w:eastAsia="仿宋_GB2312"/>
          <w:sz w:val="32"/>
          <w:szCs w:val="32"/>
        </w:rPr>
        <w:t>3.3.1</w:t>
      </w:r>
      <w:r>
        <w:rPr>
          <w:rFonts w:eastAsia="仿宋_GB2312"/>
          <w:sz w:val="32"/>
          <w:szCs w:val="32"/>
        </w:rPr>
        <w:t>申请人出具的自检报告；</w:t>
      </w:r>
    </w:p>
    <w:p w14:paraId="7F93683C">
      <w:pPr>
        <w:pStyle w:val="54"/>
        <w:spacing w:line="560" w:lineRule="exact"/>
        <w:ind w:firstLine="640" w:firstLineChars="200"/>
        <w:rPr>
          <w:rFonts w:ascii="Times New Roman" w:hAnsi="Times New Roman" w:eastAsia="仿宋_GB2312"/>
          <w:sz w:val="32"/>
          <w:szCs w:val="32"/>
        </w:rPr>
      </w:pPr>
      <w:r>
        <w:rPr>
          <w:rFonts w:hint="eastAsia" w:ascii="Times New Roman" w:hAnsi="Times New Roman" w:eastAsia="仿宋_GB2312"/>
          <w:kern w:val="2"/>
          <w:sz w:val="32"/>
          <w:szCs w:val="32"/>
        </w:rPr>
        <w:t>3.3.2</w:t>
      </w:r>
      <w:r>
        <w:rPr>
          <w:rFonts w:ascii="Times New Roman" w:hAnsi="Times New Roman" w:eastAsia="仿宋_GB2312"/>
          <w:sz w:val="32"/>
          <w:szCs w:val="32"/>
        </w:rPr>
        <w:t>委托有资质的医疗器械检验机构出具的检验报告。</w:t>
      </w:r>
    </w:p>
    <w:p w14:paraId="3DC13C7E">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检验报告提供软件版本界面照片或列明软件版本信息，有用户界面的软件体现软件发布版本、软件完整版本，无用户界面的软件体现软件完整版本。</w:t>
      </w:r>
    </w:p>
    <w:p w14:paraId="7800A690">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z w:val="32"/>
          <w:szCs w:val="32"/>
        </w:rPr>
        <w:t>3.4</w:t>
      </w:r>
      <w:r>
        <w:rPr>
          <w:rFonts w:hint="eastAsia" w:eastAsia="仿宋_GB2312"/>
          <w:snapToGrid w:val="0"/>
          <w:kern w:val="0"/>
          <w:sz w:val="32"/>
          <w:szCs w:val="32"/>
        </w:rPr>
        <w:t>同一注册单元内注册检验典型产品确定原则和实例</w:t>
      </w:r>
    </w:p>
    <w:p w14:paraId="583B0382">
      <w:pPr>
        <w:pStyle w:val="60"/>
        <w:overflowPunct w:val="0"/>
        <w:autoSpaceDE w:val="0"/>
        <w:autoSpaceDN w:val="0"/>
        <w:spacing w:line="520" w:lineRule="exact"/>
        <w:ind w:right="210" w:firstLine="640"/>
        <w:rPr>
          <w:rFonts w:ascii="Times New Roman" w:hAnsi="Times New Roman" w:eastAsia="仿宋_GB2312"/>
          <w:sz w:val="32"/>
          <w:szCs w:val="32"/>
        </w:rPr>
      </w:pPr>
      <w:r>
        <w:rPr>
          <w:rFonts w:hint="eastAsia" w:eastAsia="仿宋_GB2312"/>
          <w:sz w:val="32"/>
          <w:szCs w:val="32"/>
        </w:rPr>
        <w:t>3.</w:t>
      </w:r>
      <w:r>
        <w:rPr>
          <w:rFonts w:hint="eastAsia" w:eastAsia="仿宋_GB2312"/>
          <w:snapToGrid w:val="0"/>
          <w:kern w:val="0"/>
          <w:sz w:val="32"/>
          <w:szCs w:val="32"/>
        </w:rPr>
        <w:t>4</w:t>
      </w:r>
      <w:r>
        <w:rPr>
          <w:rFonts w:hint="eastAsia" w:ascii="Times New Roman" w:hAnsi="Times New Roman" w:eastAsia="仿宋_GB2312"/>
          <w:sz w:val="32"/>
          <w:szCs w:val="32"/>
        </w:rPr>
        <w:t>.1典型产品应是同一注册单元内能够代表本单元内其他产品安全性和有效性的产品。</w:t>
      </w:r>
    </w:p>
    <w:p w14:paraId="2953EC01">
      <w:pPr>
        <w:pStyle w:val="60"/>
        <w:overflowPunct w:val="0"/>
        <w:autoSpaceDE w:val="0"/>
        <w:autoSpaceDN w:val="0"/>
        <w:spacing w:line="520" w:lineRule="exact"/>
        <w:ind w:right="210" w:firstLine="640"/>
        <w:rPr>
          <w:rFonts w:ascii="Times New Roman" w:hAnsi="Times New Roman" w:eastAsia="仿宋_GB2312"/>
          <w:sz w:val="32"/>
          <w:szCs w:val="32"/>
        </w:rPr>
      </w:pPr>
      <w:r>
        <w:rPr>
          <w:rFonts w:hint="eastAsia" w:eastAsia="仿宋_GB2312"/>
          <w:sz w:val="32"/>
          <w:szCs w:val="32"/>
        </w:rPr>
        <w:t>3.</w:t>
      </w:r>
      <w:r>
        <w:rPr>
          <w:rFonts w:hint="eastAsia" w:eastAsia="仿宋_GB2312"/>
          <w:snapToGrid w:val="0"/>
          <w:kern w:val="0"/>
          <w:sz w:val="32"/>
          <w:szCs w:val="32"/>
        </w:rPr>
        <w:t>4</w:t>
      </w:r>
      <w:r>
        <w:rPr>
          <w:rFonts w:hint="eastAsia" w:ascii="Times New Roman" w:hAnsi="Times New Roman" w:eastAsia="仿宋_GB2312"/>
          <w:sz w:val="32"/>
          <w:szCs w:val="32"/>
        </w:rPr>
        <w:t>.2应考虑功能最齐全、结构最复杂、风险最高的产品。</w:t>
      </w:r>
    </w:p>
    <w:p w14:paraId="031461BC">
      <w:pPr>
        <w:overflowPunct w:val="0"/>
        <w:autoSpaceDE w:val="0"/>
        <w:autoSpaceDN w:val="0"/>
        <w:spacing w:line="520" w:lineRule="exact"/>
        <w:ind w:firstLine="640" w:firstLineChars="200"/>
        <w:outlineLvl w:val="2"/>
        <w:rPr>
          <w:rFonts w:eastAsia="仿宋_GB2312"/>
          <w:snapToGrid w:val="0"/>
          <w:kern w:val="0"/>
          <w:sz w:val="32"/>
          <w:szCs w:val="32"/>
        </w:rPr>
      </w:pPr>
      <w:r>
        <w:rPr>
          <w:rFonts w:hint="eastAsia" w:eastAsia="仿宋_GB2312"/>
          <w:sz w:val="32"/>
          <w:szCs w:val="32"/>
        </w:rPr>
        <w:t>3.</w:t>
      </w:r>
      <w:r>
        <w:rPr>
          <w:rFonts w:hint="eastAsia" w:eastAsia="仿宋_GB2312"/>
          <w:snapToGrid w:val="0"/>
          <w:kern w:val="0"/>
          <w:sz w:val="32"/>
          <w:szCs w:val="32"/>
        </w:rPr>
        <w:t>4</w:t>
      </w:r>
      <w:r>
        <w:rPr>
          <w:rFonts w:hint="eastAsia" w:ascii="Times New Roman" w:hAnsi="Times New Roman" w:eastAsia="仿宋_GB2312"/>
          <w:sz w:val="32"/>
          <w:szCs w:val="32"/>
        </w:rPr>
        <w:t>.3注册单</w:t>
      </w:r>
      <w:r>
        <w:rPr>
          <w:rFonts w:hint="eastAsia" w:eastAsia="仿宋_GB2312"/>
          <w:snapToGrid w:val="0"/>
          <w:kern w:val="0"/>
          <w:sz w:val="32"/>
          <w:szCs w:val="32"/>
        </w:rPr>
        <w:t>元内各种产品的主要安全指标、性能指标不能被某一产品全部涵盖时，则应选择涵盖安全指标、性能指标最多的产品作为典型产品，同时还应考虑其他产品中未被典型产品所涵盖的安全指标及性能指标。</w:t>
      </w:r>
      <w:r>
        <w:rPr>
          <w:rFonts w:eastAsia="仿宋_GB2312"/>
          <w:snapToGrid w:val="0"/>
          <w:kern w:val="0"/>
          <w:sz w:val="32"/>
          <w:szCs w:val="32"/>
        </w:rPr>
        <w:t>典型产品应是同一注册单元内能够代表本单元内其他产品安全性和有效性的产品，应考虑功能最齐全、结构最复杂、气压调节范围最大、精度最高、风险最高的产品。</w:t>
      </w:r>
      <w:r>
        <w:rPr>
          <w:rFonts w:hint="eastAsia" w:eastAsia="仿宋_GB2312"/>
          <w:snapToGrid w:val="0"/>
          <w:kern w:val="0"/>
          <w:sz w:val="32"/>
          <w:szCs w:val="32"/>
        </w:rPr>
        <w:t>并应对差异部分及由差异部分引起的其他相关安全性和有效性变化的部分进行检验。</w:t>
      </w:r>
      <w:r>
        <w:rPr>
          <w:rFonts w:eastAsia="仿宋_GB2312"/>
          <w:snapToGrid w:val="0"/>
          <w:kern w:val="0"/>
          <w:sz w:val="32"/>
          <w:szCs w:val="32"/>
        </w:rPr>
        <w:t>举例：气腹机中气体最大流量输出量不同的产品，应选择流量输出最大的作为典型型号。</w:t>
      </w:r>
    </w:p>
    <w:p w14:paraId="28728037">
      <w:pPr>
        <w:pStyle w:val="60"/>
        <w:overflowPunct w:val="0"/>
        <w:autoSpaceDE w:val="0"/>
        <w:autoSpaceDN w:val="0"/>
        <w:spacing w:line="520" w:lineRule="exact"/>
        <w:ind w:right="210" w:firstLine="640"/>
        <w:rPr>
          <w:rFonts w:eastAsia="仿宋_GB2312"/>
          <w:snapToGrid w:val="0"/>
          <w:kern w:val="0"/>
          <w:sz w:val="32"/>
          <w:szCs w:val="32"/>
        </w:rPr>
      </w:pPr>
      <w:r>
        <w:rPr>
          <w:rFonts w:hint="eastAsia" w:eastAsia="仿宋_GB2312"/>
          <w:sz w:val="32"/>
          <w:szCs w:val="32"/>
        </w:rPr>
        <w:t>3.</w:t>
      </w:r>
      <w:r>
        <w:rPr>
          <w:rFonts w:hint="eastAsia" w:eastAsia="仿宋_GB2312"/>
          <w:snapToGrid w:val="0"/>
          <w:kern w:val="0"/>
          <w:sz w:val="32"/>
          <w:szCs w:val="32"/>
        </w:rPr>
        <w:t>4.4当没有充足证据能够证明同一注册单元内不同型号规格产品之间电磁兼容性能可以覆盖时，应选取每一型号规格产品进行电磁兼容项目检测。</w:t>
      </w:r>
      <w:r>
        <w:rPr>
          <w:rFonts w:eastAsia="仿宋_GB2312"/>
          <w:snapToGrid w:val="0"/>
          <w:kern w:val="0"/>
          <w:sz w:val="32"/>
          <w:szCs w:val="32"/>
        </w:rPr>
        <w:t>医疗器械检测机构对涉及电磁兼容性能的检测出具检测报告，对于检测过程中发现的重大问题，如基本性能判据、型号覆盖等问题，应在检测报告备注中详细载明有关问题并注明自身意见，以供具体技术审查部门参考。电磁兼容检测引起产品电气安全变化的应对电气安全变化部分进行检测。</w:t>
      </w:r>
    </w:p>
    <w:p w14:paraId="36F06064">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4.研究资料</w:t>
      </w:r>
    </w:p>
    <w:p w14:paraId="146756B8">
      <w:pPr>
        <w:spacing w:line="520" w:lineRule="exact"/>
        <w:ind w:firstLine="640" w:firstLineChars="200"/>
        <w:outlineLvl w:val="2"/>
        <w:rPr>
          <w:rFonts w:eastAsia="仿宋_GB2312"/>
          <w:sz w:val="32"/>
          <w:szCs w:val="32"/>
        </w:rPr>
      </w:pPr>
      <w:r>
        <w:rPr>
          <w:rFonts w:hint="eastAsia" w:eastAsia="仿宋_GB2312"/>
          <w:sz w:val="32"/>
          <w:szCs w:val="32"/>
        </w:rPr>
        <w:t>4.</w:t>
      </w:r>
      <w:r>
        <w:rPr>
          <w:rFonts w:eastAsia="仿宋_GB2312"/>
          <w:sz w:val="32"/>
          <w:szCs w:val="32"/>
        </w:rPr>
        <w:t>1化学和物理性能研究</w:t>
      </w:r>
    </w:p>
    <w:p w14:paraId="07A7A7D4">
      <w:pPr>
        <w:spacing w:line="520" w:lineRule="exact"/>
        <w:ind w:firstLine="640" w:firstLineChars="200"/>
        <w:rPr>
          <w:rFonts w:eastAsia="仿宋_GB2312"/>
          <w:sz w:val="32"/>
          <w:szCs w:val="32"/>
          <w:highlight w:val="none"/>
        </w:rPr>
      </w:pPr>
      <w:r>
        <w:rPr>
          <w:rFonts w:eastAsia="仿宋_GB2312"/>
          <w:sz w:val="32"/>
          <w:szCs w:val="32"/>
        </w:rPr>
        <w:t>在开展产品性能研究时，应对产品技术要求中所涉及的功能性、安全性及质量控制指标研究。研究资料应从产品设计角度出发详细说明指标确定的依据。</w:t>
      </w:r>
    </w:p>
    <w:p w14:paraId="0D4E1DF4">
      <w:pPr>
        <w:overflowPunct w:val="0"/>
        <w:autoSpaceDE w:val="0"/>
        <w:autoSpaceDN w:val="0"/>
        <w:spacing w:line="520" w:lineRule="exact"/>
        <w:ind w:firstLine="640" w:firstLineChars="200"/>
        <w:rPr>
          <w:rFonts w:eastAsia="仿宋_GB2312"/>
          <w:sz w:val="32"/>
          <w:szCs w:val="32"/>
          <w:highlight w:val="none"/>
        </w:rPr>
      </w:pPr>
      <w:r>
        <w:rPr>
          <w:rFonts w:hint="eastAsia" w:eastAsia="仿宋_GB2312"/>
          <w:sz w:val="32"/>
          <w:szCs w:val="32"/>
          <w:highlight w:val="none"/>
        </w:rPr>
        <w:t>4</w:t>
      </w:r>
      <w:r>
        <w:rPr>
          <w:rFonts w:eastAsia="仿宋_GB2312"/>
          <w:sz w:val="32"/>
          <w:szCs w:val="32"/>
          <w:highlight w:val="none"/>
        </w:rPr>
        <w:t>.2电气系统安全性研究</w:t>
      </w:r>
    </w:p>
    <w:p w14:paraId="094AE33E">
      <w:pPr>
        <w:overflowPunct w:val="0"/>
        <w:autoSpaceDE w:val="0"/>
        <w:autoSpaceDN w:val="0"/>
        <w:spacing w:line="520" w:lineRule="exact"/>
        <w:ind w:firstLine="640" w:firstLineChars="200"/>
        <w:rPr>
          <w:rFonts w:eastAsia="仿宋_GB2312"/>
          <w:sz w:val="32"/>
          <w:szCs w:val="32"/>
          <w:highlight w:val="none"/>
        </w:rPr>
      </w:pPr>
      <w:r>
        <w:rPr>
          <w:rFonts w:eastAsia="仿宋_GB2312"/>
          <w:sz w:val="32"/>
          <w:szCs w:val="32"/>
          <w:highlight w:val="none"/>
        </w:rPr>
        <w:t>应当提供电气安全性、机械和环境保护以及电磁兼容性的研究资料，说明适用的标准以及开展的研究。</w:t>
      </w:r>
    </w:p>
    <w:p w14:paraId="52840FA6">
      <w:pPr>
        <w:overflowPunct w:val="0"/>
        <w:autoSpaceDE w:val="0"/>
        <w:autoSpaceDN w:val="0"/>
        <w:spacing w:line="520" w:lineRule="exact"/>
        <w:ind w:firstLine="640" w:firstLineChars="200"/>
        <w:outlineLvl w:val="2"/>
        <w:rPr>
          <w:rFonts w:eastAsia="仿宋_GB2312" w:cs="仿宋_GB2312"/>
          <w:snapToGrid w:val="0"/>
          <w:kern w:val="0"/>
          <w:sz w:val="32"/>
          <w:szCs w:val="32"/>
        </w:rPr>
      </w:pPr>
      <w:r>
        <w:rPr>
          <w:rFonts w:hint="eastAsia" w:eastAsia="仿宋_GB2312" w:cs="仿宋_GB2312"/>
          <w:snapToGrid w:val="0"/>
          <w:kern w:val="0"/>
          <w:sz w:val="32"/>
          <w:szCs w:val="32"/>
        </w:rPr>
        <w:t>4</w:t>
      </w:r>
      <w:r>
        <w:rPr>
          <w:rFonts w:eastAsia="仿宋_GB2312" w:cs="仿宋_GB2312"/>
          <w:snapToGrid w:val="0"/>
          <w:kern w:val="0"/>
          <w:sz w:val="32"/>
          <w:szCs w:val="32"/>
        </w:rPr>
        <w:t>.</w:t>
      </w:r>
      <w:r>
        <w:rPr>
          <w:rFonts w:hint="eastAsia" w:eastAsia="仿宋_GB2312" w:cs="仿宋_GB2312"/>
          <w:snapToGrid w:val="0"/>
          <w:kern w:val="0"/>
          <w:sz w:val="32"/>
          <w:szCs w:val="32"/>
        </w:rPr>
        <w:t>3软件</w:t>
      </w:r>
      <w:r>
        <w:rPr>
          <w:rFonts w:eastAsia="仿宋_GB2312" w:cs="仿宋_GB2312"/>
          <w:snapToGrid w:val="0"/>
          <w:kern w:val="0"/>
          <w:sz w:val="32"/>
          <w:szCs w:val="32"/>
        </w:rPr>
        <w:t>研究</w:t>
      </w:r>
    </w:p>
    <w:p w14:paraId="37A1A3A8">
      <w:pPr>
        <w:spacing w:line="520" w:lineRule="exact"/>
        <w:ind w:firstLine="640" w:firstLineChars="200"/>
        <w:rPr>
          <w:rFonts w:eastAsia="仿宋_GB2312"/>
          <w:sz w:val="32"/>
          <w:szCs w:val="28"/>
        </w:rPr>
      </w:pPr>
      <w:r>
        <w:rPr>
          <w:rFonts w:hint="eastAsia" w:eastAsia="仿宋_GB2312"/>
          <w:sz w:val="32"/>
          <w:szCs w:val="28"/>
        </w:rPr>
        <w:t>产品结构组成包含作为医疗器械组成部分的软件，应参照《医疗器械软件注册审查指导原则（2022年修订版）》的要求提供研究资料，内容包括基本信息、实现过程、核心功能、结论等内容，详尽程度取决于软件安全性级别，该类产品一般为中等。其中，基本信息包括软件标识、安全性级别、结构功能、物理拓扑、运行环境、注册历史，实现过程包括开发概况、风险管理、需求规范、生存周期、验证与确认、可追溯性分析、缺陷管理、更新历史。应明确核心功能、核心算法、预期用途的对应关系。并在产品技术要求中规定相应的性能指标。</w:t>
      </w:r>
    </w:p>
    <w:p w14:paraId="6558376B">
      <w:pPr>
        <w:spacing w:line="520" w:lineRule="exact"/>
        <w:ind w:firstLine="640" w:firstLineChars="200"/>
        <w:rPr>
          <w:rFonts w:eastAsia="仿宋_GB2312"/>
          <w:sz w:val="32"/>
          <w:szCs w:val="28"/>
        </w:rPr>
      </w:pPr>
      <w:r>
        <w:rPr>
          <w:rFonts w:hint="eastAsia" w:eastAsia="仿宋_GB2312"/>
          <w:sz w:val="32"/>
          <w:szCs w:val="28"/>
        </w:rPr>
        <w:t>产品若具备电子数据交换、远程控制或用户访问</w:t>
      </w:r>
      <w:r>
        <w:rPr>
          <w:rFonts w:hint="eastAsia"/>
          <w:sz w:val="32"/>
          <w:szCs w:val="28"/>
        </w:rPr>
        <w:t>等</w:t>
      </w:r>
      <w:r>
        <w:rPr>
          <w:rFonts w:hint="eastAsia" w:eastAsia="仿宋_GB2312"/>
          <w:sz w:val="32"/>
          <w:szCs w:val="28"/>
        </w:rPr>
        <w:t>功能，应当参照《医疗器械网络安全注册审查指导原则（2022年修订版）》提供研究资料，基本信息包括软件信息、数据架构、网络安全能力、网络安全补丁、安全软件，实现过程包括风险管理、需求规范、验证与确认、可追溯性分析、更新维护计划，漏洞评估明确已知漏洞相关信息。应提交网络安全描述文档，并在产品技术要求中规定相应的性能指标。</w:t>
      </w:r>
    </w:p>
    <w:p w14:paraId="3D98B170">
      <w:pPr>
        <w:spacing w:line="520" w:lineRule="exact"/>
        <w:ind w:firstLine="640" w:firstLineChars="200"/>
        <w:rPr>
          <w:rFonts w:eastAsia="仿宋_GB2312"/>
          <w:bCs/>
          <w:sz w:val="32"/>
          <w:szCs w:val="28"/>
        </w:rPr>
      </w:pPr>
      <w:r>
        <w:rPr>
          <w:rFonts w:hint="eastAsia" w:eastAsia="仿宋_GB2312"/>
          <w:sz w:val="32"/>
          <w:szCs w:val="28"/>
        </w:rPr>
        <w:t>通过电子接口与其他医疗器械或非医疗器械交换并使用信息，应提供互操作性研究资料，包括基本信息、需求规范、风险管理、验证与确认、维护计划等内容</w:t>
      </w:r>
      <w:r>
        <w:rPr>
          <w:rFonts w:hint="eastAsia" w:eastAsia="仿宋_GB2312"/>
          <w:bCs/>
          <w:sz w:val="32"/>
          <w:szCs w:val="28"/>
        </w:rPr>
        <w:t>。</w:t>
      </w:r>
    </w:p>
    <w:p w14:paraId="2E540359">
      <w:pPr>
        <w:pStyle w:val="54"/>
        <w:rPr>
          <w:rFonts w:eastAsia="仿宋_GB2312"/>
        </w:rPr>
      </w:pPr>
      <w:r>
        <w:rPr>
          <w:rFonts w:hint="eastAsia" w:eastAsia="仿宋_GB2312"/>
          <w:bCs/>
          <w:sz w:val="32"/>
          <w:szCs w:val="28"/>
        </w:rPr>
        <w:t>注册申请人需在软件研究资料中</w:t>
      </w:r>
      <w:r>
        <w:rPr>
          <w:rFonts w:ascii="Times New Roman" w:hAnsi="Times New Roman" w:eastAsia="仿宋_GB2312"/>
          <w:bCs/>
          <w:sz w:val="32"/>
          <w:szCs w:val="28"/>
        </w:rPr>
        <w:t>提交GB/T 25000.51自</w:t>
      </w:r>
      <w:r>
        <w:rPr>
          <w:rFonts w:hint="eastAsia" w:eastAsia="仿宋_GB2312"/>
          <w:bCs/>
          <w:sz w:val="32"/>
          <w:szCs w:val="28"/>
        </w:rPr>
        <w:t>测报告，亦可提交自检报告或检验报告代替自测报告。</w:t>
      </w:r>
    </w:p>
    <w:p w14:paraId="7ED37C3D">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4.4生物学特性研究</w:t>
      </w:r>
    </w:p>
    <w:p w14:paraId="6822179A">
      <w:pPr>
        <w:ind w:firstLine="640" w:firstLineChars="200"/>
        <w:rPr>
          <w:rFonts w:eastAsia="仿宋_GB2312"/>
          <w:snapToGrid w:val="0"/>
          <w:kern w:val="0"/>
          <w:sz w:val="32"/>
          <w:szCs w:val="32"/>
        </w:rPr>
      </w:pPr>
      <w:r>
        <w:rPr>
          <w:rFonts w:hint="eastAsia" w:eastAsia="仿宋_GB2312"/>
          <w:snapToGrid w:val="0"/>
          <w:kern w:val="0"/>
          <w:sz w:val="32"/>
          <w:szCs w:val="32"/>
        </w:rPr>
        <w:t>依据 GB /T 16886.1标准要求开展生物学评价。对不同接触类型的部件应分别进行评价。直接接触的</w:t>
      </w:r>
      <w:r>
        <w:rPr>
          <w:rFonts w:eastAsia="仿宋_GB2312"/>
          <w:sz w:val="32"/>
          <w:szCs w:val="32"/>
        </w:rPr>
        <w:t>应描述气腹机产品与人体接触部件的材料，以及在使用过程中与皮肤组织接触的性质和时间</w:t>
      </w:r>
      <w:r>
        <w:rPr>
          <w:rFonts w:hint="eastAsia" w:eastAsia="仿宋_GB2312"/>
          <w:snapToGrid w:val="0"/>
          <w:kern w:val="0"/>
          <w:sz w:val="32"/>
          <w:szCs w:val="32"/>
        </w:rPr>
        <w:t>。</w:t>
      </w:r>
      <w:r>
        <w:rPr>
          <w:rFonts w:eastAsia="仿宋_GB2312"/>
          <w:sz w:val="32"/>
          <w:szCs w:val="32"/>
        </w:rPr>
        <w:t>通常，气腹机产品与人体</w:t>
      </w:r>
      <w:r>
        <w:rPr>
          <w:rFonts w:hint="eastAsia" w:eastAsia="仿宋_GB2312"/>
          <w:sz w:val="32"/>
          <w:szCs w:val="32"/>
        </w:rPr>
        <w:t>直接</w:t>
      </w:r>
      <w:r>
        <w:rPr>
          <w:rFonts w:eastAsia="仿宋_GB2312"/>
          <w:sz w:val="32"/>
          <w:szCs w:val="32"/>
        </w:rPr>
        <w:t>接触的部件为气腹管，根据接触性能和时间考虑评价细胞毒性、致敏、刺激或皮内反应试验。</w:t>
      </w:r>
      <w:r>
        <w:rPr>
          <w:rFonts w:hint="eastAsia" w:eastAsia="仿宋_GB2312"/>
          <w:sz w:val="32"/>
          <w:szCs w:val="32"/>
        </w:rPr>
        <w:t>间接接触的</w:t>
      </w:r>
      <w:r>
        <w:rPr>
          <w:rFonts w:hint="eastAsia" w:eastAsia="仿宋_GB2312"/>
          <w:snapToGrid w:val="0"/>
          <w:kern w:val="0"/>
          <w:sz w:val="32"/>
          <w:szCs w:val="32"/>
        </w:rPr>
        <w:t>依据YY/T1778.1要求开展生物学评价。生物学评价时，还应考虑是否产生可沥滤物。若豁免进行试验的项目宜给出充分理由和论证。</w:t>
      </w:r>
    </w:p>
    <w:p w14:paraId="795E4474">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4.5</w:t>
      </w:r>
      <w:r>
        <w:rPr>
          <w:rFonts w:eastAsia="仿宋_GB2312"/>
          <w:sz w:val="32"/>
          <w:szCs w:val="32"/>
        </w:rPr>
        <w:t>清洁、消毒、灭菌研究</w:t>
      </w:r>
    </w:p>
    <w:p w14:paraId="07246096">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气腹机属于终端用户灭菌/消毒产品，可重复使用气体过滤器的灭菌应根据YY 0843标准的要求确定。气腹机管路需消毒，应提供使用次数或年限。</w:t>
      </w:r>
    </w:p>
    <w:p w14:paraId="1F4DF96F">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bookmarkStart w:id="6" w:name="OLE_LINK1"/>
      <w:r>
        <w:rPr>
          <w:rFonts w:hint="eastAsia" w:ascii="Times New Roman" w:hAnsi="Times New Roman" w:eastAsia="仿宋_GB2312"/>
          <w:snapToGrid w:val="0"/>
          <w:kern w:val="0"/>
          <w:sz w:val="32"/>
          <w:szCs w:val="32"/>
        </w:rPr>
        <w:t>5.</w:t>
      </w:r>
      <w:bookmarkEnd w:id="6"/>
      <w:r>
        <w:rPr>
          <w:rFonts w:hint="eastAsia" w:ascii="Times New Roman" w:hAnsi="Times New Roman" w:eastAsia="仿宋_GB2312"/>
          <w:snapToGrid w:val="0"/>
          <w:kern w:val="0"/>
          <w:sz w:val="32"/>
          <w:szCs w:val="32"/>
        </w:rPr>
        <w:t>稳定性研究</w:t>
      </w:r>
    </w:p>
    <w:p w14:paraId="3E413E8D">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5.1使用稳定性</w:t>
      </w:r>
    </w:p>
    <w:p w14:paraId="628BDD69">
      <w:pPr>
        <w:pStyle w:val="60"/>
        <w:overflowPunct w:val="0"/>
        <w:autoSpaceDE w:val="0"/>
        <w:autoSpaceDN w:val="0"/>
        <w:spacing w:line="520" w:lineRule="exact"/>
        <w:ind w:right="210" w:firstLine="640"/>
        <w:rPr>
          <w:rFonts w:hint="eastAsia"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参照《有源医疗器械使用期限注册技术审查指导原则》提供产品使用稳定性的验证资料。可以对该产品进行使用状态列举，完整分析出临床使用的情况，直接进行产品的老化试验研究；也可以将产品（系统）分解为不同子系统/部件（如将产品分为关键部件及非关键部件等）</w:t>
      </w:r>
      <w:r>
        <w:rPr>
          <w:rFonts w:hint="eastAsia" w:ascii="Times New Roman" w:hAnsi="Times New Roman" w:eastAsia="仿宋_GB2312"/>
          <w:snapToGrid w:val="0"/>
          <w:kern w:val="0"/>
          <w:sz w:val="32"/>
          <w:szCs w:val="32"/>
          <w:lang w:eastAsia="zh-CN"/>
        </w:rPr>
        <w:t>，</w:t>
      </w:r>
      <w:r>
        <w:rPr>
          <w:rFonts w:hint="eastAsia" w:ascii="Times New Roman" w:hAnsi="Times New Roman" w:eastAsia="仿宋_GB2312" w:cs="Times New Roman"/>
          <w:i w:val="0"/>
          <w:iCs w:val="0"/>
          <w:caps w:val="0"/>
          <w:snapToGrid w:val="0"/>
          <w:spacing w:val="0"/>
          <w:kern w:val="0"/>
          <w:sz w:val="32"/>
          <w:szCs w:val="32"/>
          <w:shd w:val="clear"/>
        </w:rPr>
        <w:t>结合机械运动部件、电磁阀、电子部件的使用寿命及材料老化周期进行综合判断，进而确定产品整体使用期限。</w:t>
      </w:r>
    </w:p>
    <w:p w14:paraId="3B264DEF">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5.2运输稳定性</w:t>
      </w:r>
    </w:p>
    <w:p w14:paraId="6C57FC7C">
      <w:pPr>
        <w:pStyle w:val="60"/>
        <w:overflowPunct w:val="0"/>
        <w:autoSpaceDE w:val="0"/>
        <w:autoSpaceDN w:val="0"/>
        <w:spacing w:line="520" w:lineRule="exact"/>
        <w:ind w:right="210" w:firstLine="640"/>
        <w:rPr>
          <w:rFonts w:hint="eastAsia"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应当提供运输稳定性和包装研究资料，证明在生产企业规定的运输条件下，运输过程中的环境条件（例如：震动、振动、温度和湿度的波动）不会对医疗器械的特性和性能，造成不利影响。</w:t>
      </w:r>
    </w:p>
    <w:p w14:paraId="5AD2460C">
      <w:pPr>
        <w:pStyle w:val="60"/>
        <w:overflowPunct w:val="0"/>
        <w:autoSpaceDE w:val="0"/>
        <w:autoSpaceDN w:val="0"/>
        <w:spacing w:line="520" w:lineRule="exact"/>
        <w:ind w:right="210" w:firstLine="640"/>
        <w:rPr>
          <w:rFonts w:hint="eastAsia"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可参考GB/T 14710等标准的要求开展环境试验研究。评价产品在各种工作环境和模拟贮存、运输环境下的适应性。也可以采用其他方法或者标准进行研究，但需说明理由。</w:t>
      </w:r>
    </w:p>
    <w:p w14:paraId="3F60899B">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6.可用性研究</w:t>
      </w:r>
    </w:p>
    <w:p w14:paraId="72ECAC57">
      <w:pPr>
        <w:pStyle w:val="60"/>
        <w:overflowPunct w:val="0"/>
        <w:autoSpaceDE w:val="0"/>
        <w:autoSpaceDN w:val="0"/>
        <w:spacing w:line="520" w:lineRule="exact"/>
        <w:ind w:right="210" w:firstLine="640"/>
        <w:rPr>
          <w:rFonts w:ascii="Times New Roman" w:hAnsi="Times New Roman" w:eastAsia="仿宋_GB2312"/>
          <w:snapToGrid w:val="0"/>
          <w:kern w:val="0"/>
          <w:sz w:val="32"/>
          <w:szCs w:val="32"/>
        </w:rPr>
      </w:pPr>
      <w:r>
        <w:rPr>
          <w:rFonts w:hint="eastAsia" w:ascii="Times New Roman" w:hAnsi="Times New Roman" w:eastAsia="仿宋_GB2312"/>
          <w:snapToGrid w:val="0"/>
          <w:kern w:val="0"/>
          <w:sz w:val="32"/>
          <w:szCs w:val="32"/>
        </w:rPr>
        <w:t>参照《医疗器械可用性工程注册审查指导原则》，按照中使用风险医疗器械要求提交使用错误评估报告，包括基本信息、使用风险级别、核心要素、同类医疗器械上市后使用问题分析、使用风险管理、结论等内容。</w:t>
      </w:r>
    </w:p>
    <w:p w14:paraId="7911EA19">
      <w:pPr>
        <w:overflowPunct w:val="0"/>
        <w:autoSpaceDE w:val="0"/>
        <w:autoSpaceDN w:val="0"/>
        <w:spacing w:line="520" w:lineRule="exact"/>
        <w:ind w:firstLine="640" w:firstLineChars="200"/>
        <w:outlineLvl w:val="1"/>
        <w:rPr>
          <w:rFonts w:eastAsia="楷体_GB2312"/>
          <w:sz w:val="32"/>
          <w:szCs w:val="32"/>
        </w:rPr>
      </w:pPr>
      <w:r>
        <w:rPr>
          <w:rFonts w:hint="eastAsia" w:eastAsia="楷体_GB2312"/>
          <w:sz w:val="32"/>
          <w:szCs w:val="32"/>
        </w:rPr>
        <w:t>7.其他资料</w:t>
      </w:r>
    </w:p>
    <w:p w14:paraId="60D39484">
      <w:pPr>
        <w:overflowPunct w:val="0"/>
        <w:autoSpaceDE w:val="0"/>
        <w:autoSpaceDN w:val="0"/>
        <w:spacing w:line="520" w:lineRule="exact"/>
        <w:ind w:firstLine="640" w:firstLineChars="200"/>
        <w:outlineLvl w:val="1"/>
        <w:rPr>
          <w:rFonts w:eastAsia="楷体_GB2312"/>
          <w:sz w:val="32"/>
          <w:szCs w:val="32"/>
        </w:rPr>
      </w:pPr>
      <w:r>
        <w:rPr>
          <w:rFonts w:hint="eastAsia" w:eastAsia="仿宋_GB2312"/>
          <w:snapToGrid w:val="0"/>
          <w:kern w:val="0"/>
          <w:sz w:val="32"/>
          <w:szCs w:val="32"/>
        </w:rPr>
        <w:t>气腹机属于免于临床评价的医疗器械，申请人应按照《列入免于临床评价医疗器械目录产品对比说明技术指导原则》的要求，从基本原理、结构组成、性能、安全性、适用范围等方面，证明产品的安全有效性</w:t>
      </w:r>
      <w:r>
        <w:rPr>
          <w:rFonts w:hint="eastAsia" w:eastAsia="楷体_GB2312"/>
          <w:sz w:val="32"/>
          <w:szCs w:val="32"/>
        </w:rPr>
        <w:t>。</w:t>
      </w:r>
    </w:p>
    <w:p w14:paraId="707ECF72">
      <w:pPr>
        <w:overflowPunct w:val="0"/>
        <w:autoSpaceDE w:val="0"/>
        <w:autoSpaceDN w:val="0"/>
        <w:spacing w:line="520" w:lineRule="exact"/>
        <w:ind w:firstLine="640" w:firstLineChars="200"/>
        <w:outlineLvl w:val="1"/>
        <w:rPr>
          <w:rFonts w:eastAsia="仿宋_GB2312"/>
          <w:snapToGrid w:val="0"/>
          <w:kern w:val="0"/>
          <w:sz w:val="32"/>
          <w:szCs w:val="32"/>
        </w:rPr>
      </w:pPr>
      <w:r>
        <w:rPr>
          <w:rFonts w:hint="eastAsia" w:eastAsia="楷体_GB2312"/>
          <w:sz w:val="32"/>
          <w:szCs w:val="32"/>
        </w:rPr>
        <w:t>（四）临床评价资料</w:t>
      </w:r>
    </w:p>
    <w:p w14:paraId="10509ED1">
      <w:pPr>
        <w:overflowPunct w:val="0"/>
        <w:autoSpaceDE w:val="0"/>
        <w:autoSpaceDN w:val="0"/>
        <w:spacing w:line="520" w:lineRule="exact"/>
        <w:ind w:firstLine="640" w:firstLineChars="200"/>
        <w:outlineLvl w:val="1"/>
        <w:rPr>
          <w:rFonts w:eastAsia="楷体_GB2312"/>
          <w:sz w:val="32"/>
          <w:szCs w:val="32"/>
        </w:rPr>
      </w:pPr>
      <w:r>
        <w:rPr>
          <w:rFonts w:hint="eastAsia" w:eastAsia="仿宋_GB2312"/>
          <w:snapToGrid w:val="0"/>
          <w:kern w:val="0"/>
          <w:sz w:val="32"/>
          <w:szCs w:val="32"/>
        </w:rPr>
        <w:t>若无法证明申报产品与《目录》所述的产品具有基本等同性，则应开展临床评价；对于采用新原理或结构，导致产品与已上市产品不具有等同性和可比性的产品，应按照</w:t>
      </w:r>
      <w:r>
        <w:rPr>
          <w:rFonts w:eastAsia="仿宋_GB2312"/>
          <w:sz w:val="32"/>
          <w:szCs w:val="32"/>
        </w:rPr>
        <w:t>《医疗器械临床评价技术指导原则》</w:t>
      </w:r>
      <w:r>
        <w:rPr>
          <w:rFonts w:hint="eastAsia" w:eastAsia="仿宋_GB2312"/>
          <w:sz w:val="32"/>
          <w:szCs w:val="32"/>
          <w:lang w:eastAsia="zh-CN"/>
        </w:rPr>
        <w:t>、</w:t>
      </w:r>
      <w:r>
        <w:rPr>
          <w:rFonts w:eastAsia="仿宋_GB2312"/>
          <w:sz w:val="32"/>
          <w:szCs w:val="32"/>
        </w:rPr>
        <w:t>《医疗器械临床评价等同性论证技术指导原则》</w:t>
      </w:r>
      <w:r>
        <w:rPr>
          <w:rFonts w:hint="eastAsia" w:eastAsia="仿宋_GB2312"/>
          <w:snapToGrid w:val="0"/>
          <w:kern w:val="0"/>
          <w:sz w:val="32"/>
          <w:szCs w:val="32"/>
        </w:rPr>
        <w:t>进行临床评价资料的提交。</w:t>
      </w:r>
    </w:p>
    <w:p w14:paraId="4156F5EA">
      <w:pPr>
        <w:overflowPunct w:val="0"/>
        <w:autoSpaceDE w:val="0"/>
        <w:autoSpaceDN w:val="0"/>
        <w:spacing w:line="520" w:lineRule="exact"/>
        <w:ind w:firstLine="640" w:firstLineChars="200"/>
        <w:outlineLvl w:val="1"/>
        <w:rPr>
          <w:rFonts w:eastAsia="楷体_GB2312"/>
          <w:sz w:val="32"/>
          <w:szCs w:val="32"/>
        </w:rPr>
      </w:pPr>
      <w:r>
        <w:rPr>
          <w:rFonts w:hint="eastAsia" w:eastAsia="楷体_GB2312"/>
          <w:sz w:val="32"/>
          <w:szCs w:val="32"/>
        </w:rPr>
        <w:t>（五）</w:t>
      </w:r>
      <w:r>
        <w:rPr>
          <w:rFonts w:eastAsia="楷体_GB2312"/>
          <w:sz w:val="32"/>
          <w:szCs w:val="32"/>
        </w:rPr>
        <w:t>产品说明书和标签</w:t>
      </w:r>
      <w:r>
        <w:rPr>
          <w:rFonts w:hint="eastAsia" w:eastAsia="楷体_GB2312"/>
          <w:sz w:val="32"/>
          <w:szCs w:val="32"/>
        </w:rPr>
        <w:t>样稿</w:t>
      </w:r>
    </w:p>
    <w:p w14:paraId="40A76E4F">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产品说明书和标签的编写要求应符合《医疗器械说明书和标签管理规定》、GB 9706.1、GB 9706.218、YY 0843、YY/T 0466.1、YY 9706.102中的相关要求，说明书、标签的内容应当真实、完整、科学，并与产品特性相一致，文字内容必须使用中文，可以附加其他语种。说明书、标签中的文字、符号、图形、表格、数据等应相互一致，并符合相关标准和规范要求。</w:t>
      </w:r>
    </w:p>
    <w:p w14:paraId="52BA3CDC">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1.说明书</w:t>
      </w:r>
    </w:p>
    <w:p w14:paraId="7663EC1C">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说明书应符合《医疗器械说明书和标签管理规定》中第十一、十二条和GB 9706.1中7.9、GB 9706.218中201.7要求，并应包括以下内容。</w:t>
      </w:r>
    </w:p>
    <w:p w14:paraId="714EEB73">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（1）气腹机输出气体压力、流量设定范围，正常工作和贮存条件。</w:t>
      </w:r>
    </w:p>
    <w:p w14:paraId="417E4735">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（2）气腹机输出气体压力的开机预置值。</w:t>
      </w:r>
    </w:p>
    <w:p w14:paraId="312561D1">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 xml:space="preserve">（3）说明书中应包括对使用警告总结的章节。 </w:t>
      </w:r>
    </w:p>
    <w:p w14:paraId="5D037089">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（4）说明书中应包括故障处理的章节。</w:t>
      </w:r>
    </w:p>
    <w:p w14:paraId="22CF9484">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（5）推荐使用的清洁、消毒和灭菌方法及程序。</w:t>
      </w:r>
    </w:p>
    <w:p w14:paraId="4446CA56">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（6）使用说明书应向使用者或操作者提供有关存在于该设备与其他装置之间的潜在的电磁干扰或其他干扰的资料，以及有关避免这些干扰的建议，如:明确不要在强电磁条件下使用。</w:t>
      </w:r>
    </w:p>
    <w:p w14:paraId="54384B99">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2.标签要求</w:t>
      </w:r>
    </w:p>
    <w:p w14:paraId="6EEB1ED0">
      <w:pPr>
        <w:overflowPunct w:val="0"/>
        <w:autoSpaceDE w:val="0"/>
        <w:autoSpaceDN w:val="0"/>
        <w:spacing w:line="520" w:lineRule="exact"/>
        <w:ind w:firstLine="640" w:firstLineChars="200"/>
        <w:rPr>
          <w:rFonts w:hint="eastAsia" w:eastAsia="仿宋_GB2312"/>
          <w:snapToGrid w:val="0"/>
          <w:kern w:val="0"/>
          <w:sz w:val="32"/>
          <w:szCs w:val="32"/>
        </w:rPr>
      </w:pPr>
      <w:r>
        <w:rPr>
          <w:rFonts w:hint="eastAsia" w:eastAsia="仿宋_GB2312"/>
          <w:snapToGrid w:val="0"/>
          <w:kern w:val="0"/>
          <w:sz w:val="32"/>
          <w:szCs w:val="32"/>
        </w:rPr>
        <w:t>产品标签内容应符合《医疗器械说明书和标签管理规定》中第十三条和GB 9706.1中7.9、GB 9706.218中201.7条的要求。</w:t>
      </w:r>
    </w:p>
    <w:p w14:paraId="7E2B4CC9">
      <w:pPr>
        <w:numPr>
          <w:ilvl w:val="-1"/>
          <w:numId w:val="0"/>
        </w:numPr>
        <w:overflowPunct w:val="0"/>
        <w:autoSpaceDE w:val="0"/>
        <w:autoSpaceDN w:val="0"/>
        <w:spacing w:line="520" w:lineRule="exact"/>
        <w:ind w:firstLine="640" w:firstLineChars="200"/>
        <w:rPr>
          <w:rFonts w:hint="eastAsia" w:ascii="Times New Roman" w:hAnsi="Times New Roman" w:eastAsia="仿宋_GB2312"/>
          <w:snapToGrid w:val="0"/>
          <w:kern w:val="0"/>
          <w:sz w:val="32"/>
          <w:szCs w:val="32"/>
        </w:rPr>
      </w:pPr>
      <w:r>
        <w:rPr>
          <w:rFonts w:hint="eastAsia" w:eastAsia="仿宋_GB2312"/>
          <w:snapToGrid w:val="0"/>
          <w:kern w:val="0"/>
          <w:sz w:val="32"/>
          <w:szCs w:val="32"/>
          <w:lang w:val="en-US" w:eastAsia="zh-CN"/>
        </w:rPr>
        <w:t>3.</w:t>
      </w:r>
      <w:r>
        <w:rPr>
          <w:rFonts w:hint="eastAsia" w:ascii="Times New Roman" w:hAnsi="Times New Roman" w:eastAsia="仿宋_GB2312"/>
          <w:snapToGrid w:val="0"/>
          <w:kern w:val="0"/>
          <w:sz w:val="32"/>
          <w:szCs w:val="32"/>
        </w:rPr>
        <w:t>包装标识</w:t>
      </w:r>
    </w:p>
    <w:p w14:paraId="6B57043E">
      <w:pPr>
        <w:numPr>
          <w:ilvl w:val="-1"/>
          <w:numId w:val="0"/>
        </w:numPr>
        <w:overflowPunct w:val="0"/>
        <w:autoSpaceDE w:val="0"/>
        <w:autoSpaceDN w:val="0"/>
        <w:spacing w:line="520" w:lineRule="exact"/>
        <w:ind w:firstLine="640" w:firstLineChars="200"/>
        <w:rPr>
          <w:rFonts w:hint="default" w:eastAsia="仿宋_GB2312"/>
          <w:snapToGrid w:val="0"/>
          <w:kern w:val="0"/>
          <w:sz w:val="32"/>
          <w:szCs w:val="32"/>
          <w:lang w:val="en-US" w:eastAsia="zh-CN"/>
        </w:rPr>
      </w:pPr>
      <w:r>
        <w:rPr>
          <w:rFonts w:hint="eastAsia" w:ascii="Times New Roman" w:hAnsi="Times New Roman" w:eastAsia="仿宋_GB2312"/>
          <w:snapToGrid w:val="0"/>
          <w:kern w:val="0"/>
          <w:sz w:val="32"/>
          <w:szCs w:val="32"/>
        </w:rPr>
        <w:t>包装标识内容应符合《医疗器械说明书和标签管理规定》、YY 0843、GB/T 191、YY 0466.1的要求。</w:t>
      </w:r>
    </w:p>
    <w:p w14:paraId="1AB169FB">
      <w:pPr>
        <w:tabs>
          <w:tab w:val="left" w:pos="6720"/>
        </w:tabs>
        <w:spacing w:line="520" w:lineRule="exact"/>
        <w:ind w:firstLine="640" w:firstLineChars="200"/>
        <w:outlineLvl w:val="0"/>
        <w:rPr>
          <w:rFonts w:eastAsia="楷体_GB2312"/>
          <w:bCs/>
          <w:sz w:val="32"/>
          <w:szCs w:val="32"/>
        </w:rPr>
      </w:pPr>
      <w:bookmarkStart w:id="7" w:name="_Toc432753647"/>
      <w:r>
        <w:rPr>
          <w:rFonts w:eastAsia="楷体_GB2312"/>
          <w:bCs/>
          <w:sz w:val="32"/>
          <w:szCs w:val="32"/>
        </w:rPr>
        <w:t>（</w:t>
      </w:r>
      <w:r>
        <w:rPr>
          <w:rFonts w:hint="eastAsia" w:eastAsia="楷体_GB2312"/>
          <w:bCs/>
          <w:sz w:val="32"/>
          <w:szCs w:val="32"/>
        </w:rPr>
        <w:t>六</w:t>
      </w:r>
      <w:r>
        <w:rPr>
          <w:rFonts w:eastAsia="楷体_GB2312"/>
          <w:bCs/>
          <w:sz w:val="32"/>
          <w:szCs w:val="32"/>
        </w:rPr>
        <w:t>）质量管理体系</w:t>
      </w:r>
      <w:bookmarkEnd w:id="7"/>
      <w:r>
        <w:rPr>
          <w:rFonts w:hint="eastAsia" w:eastAsia="楷体_GB2312"/>
          <w:bCs/>
          <w:sz w:val="32"/>
          <w:szCs w:val="32"/>
        </w:rPr>
        <w:t>文件</w:t>
      </w:r>
    </w:p>
    <w:p w14:paraId="414FF16E">
      <w:pPr>
        <w:spacing w:line="520" w:lineRule="exact"/>
        <w:ind w:firstLine="640" w:firstLineChars="200"/>
        <w:rPr>
          <w:rFonts w:eastAsia="仿宋_GB2312"/>
          <w:sz w:val="32"/>
          <w:szCs w:val="32"/>
        </w:rPr>
      </w:pPr>
      <w:r>
        <w:rPr>
          <w:rFonts w:eastAsia="仿宋_GB2312"/>
          <w:sz w:val="32"/>
          <w:szCs w:val="32"/>
        </w:rPr>
        <w:t>1.生产工艺过程及过程控制点</w:t>
      </w:r>
    </w:p>
    <w:p w14:paraId="44EA0D30">
      <w:pPr>
        <w:spacing w:line="520" w:lineRule="exact"/>
        <w:ind w:firstLine="640" w:firstLineChars="200"/>
        <w:rPr>
          <w:rFonts w:eastAsia="仿宋_GB2312"/>
          <w:sz w:val="32"/>
          <w:szCs w:val="32"/>
        </w:rPr>
      </w:pPr>
      <w:r>
        <w:rPr>
          <w:rFonts w:eastAsia="仿宋_GB2312"/>
          <w:sz w:val="32"/>
          <w:szCs w:val="32"/>
        </w:rPr>
        <w:t>注册申请人应根据申报产品的实际情况，以流程图的形式对生产工艺过程进行详细描述，并根据流程图逐一描述其中的过程控制点。工艺流程图中的关键工序和特殊工艺应以特殊</w:t>
      </w:r>
      <w:r>
        <w:rPr>
          <w:rFonts w:hint="eastAsia" w:eastAsia="仿宋_GB2312"/>
          <w:sz w:val="32"/>
          <w:szCs w:val="32"/>
        </w:rPr>
        <w:t>图形</w:t>
      </w:r>
      <w:r>
        <w:rPr>
          <w:rFonts w:eastAsia="仿宋_GB2312"/>
          <w:sz w:val="32"/>
          <w:szCs w:val="32"/>
        </w:rPr>
        <w:t>表示。</w:t>
      </w:r>
    </w:p>
    <w:p w14:paraId="1A202F99">
      <w:pPr>
        <w:spacing w:line="520" w:lineRule="exact"/>
        <w:ind w:firstLine="640" w:firstLineChars="200"/>
        <w:rPr>
          <w:rFonts w:eastAsia="仿宋_GB2312"/>
          <w:sz w:val="32"/>
          <w:szCs w:val="32"/>
        </w:rPr>
      </w:pPr>
      <w:r>
        <w:rPr>
          <w:rFonts w:hint="eastAsia" w:eastAsia="仿宋_GB2312"/>
          <w:sz w:val="32"/>
          <w:szCs w:val="32"/>
        </w:rPr>
        <w:t>气腹机</w:t>
      </w:r>
      <w:r>
        <w:rPr>
          <w:rFonts w:eastAsia="仿宋_GB2312"/>
          <w:sz w:val="32"/>
          <w:szCs w:val="32"/>
        </w:rPr>
        <w:t>产品工艺举例说明：</w:t>
      </w:r>
      <w:r>
        <w:rPr>
          <w:rFonts w:hint="eastAsia" w:eastAsia="仿宋_GB2312"/>
          <w:sz w:val="32"/>
          <w:szCs w:val="32"/>
        </w:rPr>
        <w:t>气腹机</w:t>
      </w:r>
      <w:r>
        <w:rPr>
          <w:rFonts w:eastAsia="仿宋_GB2312"/>
          <w:sz w:val="32"/>
          <w:szCs w:val="32"/>
        </w:rPr>
        <w:t>产品工艺一般包括线路板焊接、组装及程序烧录、整机装配和整机调试工序。其中，线路板焊接、程序烧录为特殊工序。整机调试属于关键工序。注：本说明仅为资料性说明，注册申请人可根据产品情况调整产品生产工艺和关键工序。</w:t>
      </w:r>
    </w:p>
    <w:p w14:paraId="0D145E4D">
      <w:pPr>
        <w:spacing w:line="520" w:lineRule="exact"/>
        <w:ind w:firstLine="640" w:firstLineChars="200"/>
        <w:rPr>
          <w:rFonts w:eastAsia="仿宋_GB2312"/>
          <w:sz w:val="32"/>
          <w:szCs w:val="32"/>
        </w:rPr>
      </w:pPr>
      <w:r>
        <w:rPr>
          <w:rFonts w:eastAsia="仿宋_GB2312"/>
          <w:sz w:val="32"/>
          <w:szCs w:val="32"/>
        </w:rPr>
        <w:t>2.研制、生产场地情况概述</w:t>
      </w:r>
    </w:p>
    <w:p w14:paraId="76141C86">
      <w:pPr>
        <w:spacing w:line="520" w:lineRule="exact"/>
        <w:ind w:firstLine="640" w:firstLineChars="200"/>
        <w:rPr>
          <w:rFonts w:eastAsia="仿宋_GB2312"/>
          <w:sz w:val="32"/>
          <w:szCs w:val="32"/>
        </w:rPr>
      </w:pPr>
      <w:r>
        <w:rPr>
          <w:rFonts w:eastAsia="仿宋_GB2312"/>
          <w:sz w:val="32"/>
          <w:szCs w:val="32"/>
        </w:rPr>
        <w:t>注册申请人应当对与申报产品有关的研制场地和生产场地情况进行概述，主要包括以下内容：</w:t>
      </w:r>
    </w:p>
    <w:p w14:paraId="7E46DDD9">
      <w:pPr>
        <w:spacing w:line="520" w:lineRule="exact"/>
        <w:ind w:firstLine="640" w:firstLineChars="200"/>
        <w:rPr>
          <w:rFonts w:eastAsia="仿宋_GB2312"/>
          <w:sz w:val="32"/>
          <w:szCs w:val="32"/>
        </w:rPr>
      </w:pPr>
      <w:r>
        <w:rPr>
          <w:rFonts w:eastAsia="仿宋_GB2312"/>
          <w:sz w:val="32"/>
          <w:szCs w:val="32"/>
        </w:rPr>
        <w:t>研制场地：地址、位置、面积、研制环境条件、研制设备、验证设备、人员等。</w:t>
      </w:r>
    </w:p>
    <w:p w14:paraId="7B949853">
      <w:pPr>
        <w:spacing w:line="520" w:lineRule="exact"/>
        <w:ind w:firstLine="640" w:firstLineChars="200"/>
        <w:rPr>
          <w:rFonts w:eastAsia="仿宋_GB2312"/>
          <w:sz w:val="32"/>
          <w:szCs w:val="32"/>
        </w:rPr>
      </w:pPr>
      <w:r>
        <w:rPr>
          <w:rFonts w:eastAsia="仿宋_GB2312"/>
          <w:sz w:val="32"/>
          <w:szCs w:val="32"/>
        </w:rPr>
        <w:t>生产场地：地址、位置、面积、生产环境条件、生产设备、工艺装备、监视和测量装置、人员等。</w:t>
      </w:r>
    </w:p>
    <w:p w14:paraId="39506E02">
      <w:pPr>
        <w:spacing w:line="520" w:lineRule="exact"/>
        <w:ind w:firstLine="640" w:firstLineChars="200"/>
      </w:pPr>
      <w:r>
        <w:rPr>
          <w:rFonts w:eastAsia="仿宋_GB2312"/>
          <w:sz w:val="32"/>
          <w:szCs w:val="32"/>
        </w:rPr>
        <w:t>如申报产品具有多个研制、生产场地，则对每一研制、生产场地的情况均应进行概述。</w:t>
      </w:r>
    </w:p>
    <w:p w14:paraId="09C6DE10">
      <w:pPr>
        <w:overflowPunct w:val="0"/>
        <w:autoSpaceDE w:val="0"/>
        <w:autoSpaceDN w:val="0"/>
        <w:spacing w:line="520" w:lineRule="exact"/>
        <w:ind w:firstLine="567"/>
        <w:outlineLvl w:val="0"/>
        <w:rPr>
          <w:rFonts w:eastAsia="黑体" w:cs="仿宋_GB2312"/>
          <w:snapToGrid w:val="0"/>
          <w:kern w:val="0"/>
          <w:sz w:val="32"/>
          <w:szCs w:val="32"/>
        </w:rPr>
      </w:pPr>
      <w:r>
        <w:rPr>
          <w:rFonts w:hint="eastAsia" w:eastAsia="黑体" w:cs="仿宋_GB2312"/>
          <w:snapToGrid w:val="0"/>
          <w:kern w:val="0"/>
          <w:sz w:val="32"/>
          <w:szCs w:val="32"/>
          <w:lang w:val="en-US" w:eastAsia="zh-CN"/>
        </w:rPr>
        <w:t>三</w:t>
      </w:r>
      <w:r>
        <w:rPr>
          <w:rFonts w:eastAsia="黑体" w:cs="仿宋_GB2312"/>
          <w:snapToGrid w:val="0"/>
          <w:kern w:val="0"/>
          <w:sz w:val="32"/>
          <w:szCs w:val="32"/>
        </w:rPr>
        <w:t>、参考文献</w:t>
      </w:r>
    </w:p>
    <w:p w14:paraId="391D3741">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[1]中华人民共和国国务院.医疗器械监督管理条例:国务院令第739号[Z].</w:t>
      </w:r>
    </w:p>
    <w:p w14:paraId="333B4C7F">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[2]国家市场监督管理总局.医疗器械注册与备案管理办法:国家市场监督管理总局令第47号[Z].</w:t>
      </w:r>
    </w:p>
    <w:p w14:paraId="1A55B789">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[3]国家食品药品监督管理总局.医疗器械说明书和标签管理规定:国家食品药品监督管理总局令第6号[Z].</w:t>
      </w:r>
    </w:p>
    <w:p w14:paraId="1367A310">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[4]国家药品监督管理局.医疗器械注册申报资料要求和批准证明文件格式:国家药监局公告2021年第121号[Z].</w:t>
      </w:r>
    </w:p>
    <w:p w14:paraId="42E7B94B">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[5]国家药品监督管理局.医疗器械临床评价技术指导原则:国家药监局通告2021年第73号[Z].</w:t>
      </w:r>
    </w:p>
    <w:p w14:paraId="6EC83069">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[6]国家药品监督管理局医疗器械审评中心.医疗器械软件注册审查指导原则（2022年修订版）:国家药监局器审中心通告2022年第9号[Z].</w:t>
      </w:r>
    </w:p>
    <w:p w14:paraId="1FDC8A11">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[7]国家药品监督管理局医疗器械审评中心.医疗器械网络安全注册审查指导原则（2022年修订版）:国家药监局器审中心通告2022年第7号[Z].</w:t>
      </w:r>
    </w:p>
    <w:p w14:paraId="06E81690">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[8]国家药品监督管理局.医疗器械产品技术要求编写指导原则:国家药监局公告2022年第8号[Z].</w:t>
      </w:r>
    </w:p>
    <w:p w14:paraId="2DFD0913">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[9]国家药品监督管理局医疗器械审评中心.医疗器械安全和性能基本原则符合性技术指南:国家药监局器审中心通告2022年第29号[Z].</w:t>
      </w:r>
    </w:p>
    <w:p w14:paraId="79605599">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[10]国家药品监督管理局.决策是否开展医疗器械临床试验技术指导原则:国家药监局关于发布医疗器械临床评价技术指导原则等5项技术指导原则通告2021年第73号[Z].</w:t>
      </w:r>
    </w:p>
    <w:p w14:paraId="1827A831">
      <w:pPr>
        <w:overflowPunct w:val="0"/>
        <w:spacing w:line="520" w:lineRule="exact"/>
        <w:ind w:firstLine="640" w:firstLineChars="200"/>
        <w:jc w:val="left"/>
        <w:rPr>
          <w:rFonts w:eastAsia="仿宋_GB2312"/>
          <w:sz w:val="32"/>
          <w:szCs w:val="32"/>
        </w:rPr>
      </w:pPr>
      <w:r>
        <w:rPr>
          <w:rFonts w:hint="eastAsia" w:eastAsia="仿宋_GB2312"/>
          <w:snapToGrid w:val="0"/>
          <w:kern w:val="0"/>
          <w:sz w:val="32"/>
          <w:szCs w:val="32"/>
        </w:rPr>
        <w:t>[11]国家药品监督管理局医疗器械审评中心.《医疗器械分类目录》子目录02、03、05、06、16、18、20相关产品临床评价推荐路径:通告2022年第24号[Z]</w:t>
      </w:r>
      <w:r>
        <w:rPr>
          <w:rFonts w:hint="eastAsia" w:eastAsia="仿宋_GB2312"/>
          <w:sz w:val="32"/>
          <w:szCs w:val="32"/>
        </w:rPr>
        <w:t>.</w:t>
      </w:r>
    </w:p>
    <w:p w14:paraId="0955F010">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[12]国家药品监督管理局.医用成像器械通用名称命名指导原则:国家药监局通告2020年第41号[Z].</w:t>
      </w:r>
    </w:p>
    <w:p w14:paraId="7FC4BC53">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[13]国家药品监督管理局.有源医疗器械使用期限注册技术审查指导原则:国家药品监督管理局通告2019年第23号[Z].</w:t>
      </w:r>
    </w:p>
    <w:p w14:paraId="37B85828">
      <w:pPr>
        <w:overflowPunct w:val="0"/>
        <w:spacing w:line="520" w:lineRule="exact"/>
        <w:ind w:firstLine="640" w:firstLineChars="200"/>
        <w:jc w:val="left"/>
        <w:rPr>
          <w:rFonts w:eastAsia="仿宋_GB2312"/>
          <w:snapToGrid w:val="0"/>
          <w:kern w:val="0"/>
          <w:sz w:val="32"/>
          <w:szCs w:val="32"/>
        </w:rPr>
      </w:pPr>
      <w:r>
        <w:rPr>
          <w:rFonts w:hint="eastAsia" w:eastAsia="仿宋_GB2312"/>
          <w:snapToGrid w:val="0"/>
          <w:kern w:val="0"/>
          <w:sz w:val="32"/>
          <w:szCs w:val="32"/>
        </w:rPr>
        <w:t>[14]国家药监局器审中心医疗器械可用性工程注册审查指导原则：国家药监局器审中心通告2024年第13号[Z].</w:t>
      </w:r>
    </w:p>
    <w:p w14:paraId="5D75A21D">
      <w:pPr>
        <w:spacing w:line="520" w:lineRule="exact"/>
        <w:ind w:right="-67" w:rightChars="-32" w:firstLine="640" w:firstLineChars="200"/>
        <w:rPr>
          <w:rFonts w:eastAsia="仿宋_GB2312"/>
          <w:sz w:val="32"/>
          <w:szCs w:val="32"/>
        </w:rPr>
      </w:pPr>
      <w:r>
        <w:rPr>
          <w:rFonts w:eastAsia="仿宋_GB2312"/>
          <w:sz w:val="32"/>
          <w:szCs w:val="32"/>
        </w:rPr>
        <w:t>[</w:t>
      </w:r>
      <w:r>
        <w:rPr>
          <w:rFonts w:hint="eastAsia" w:eastAsia="仿宋_GB2312"/>
          <w:sz w:val="32"/>
          <w:szCs w:val="32"/>
        </w:rPr>
        <w:t>15</w:t>
      </w:r>
      <w:r>
        <w:rPr>
          <w:rFonts w:eastAsia="仿宋_GB2312"/>
          <w:sz w:val="32"/>
          <w:szCs w:val="32"/>
        </w:rPr>
        <w:t>]</w:t>
      </w:r>
      <w:r>
        <w:rPr>
          <w:rFonts w:hint="eastAsia" w:eastAsia="仿宋_GB2312"/>
          <w:sz w:val="32"/>
          <w:szCs w:val="28"/>
        </w:rPr>
        <w:t>国家食品药品监督管理局</w:t>
      </w:r>
      <w:r>
        <w:rPr>
          <w:rFonts w:eastAsia="仿宋_GB2312"/>
          <w:sz w:val="32"/>
          <w:szCs w:val="32"/>
        </w:rPr>
        <w:t>.</w:t>
      </w:r>
      <w:r>
        <w:rPr>
          <w:rFonts w:hint="eastAsia" w:eastAsia="仿宋_GB2312"/>
          <w:sz w:val="32"/>
          <w:szCs w:val="32"/>
        </w:rPr>
        <w:t>医疗器械通用名称命名规则</w:t>
      </w:r>
      <w:r>
        <w:rPr>
          <w:rFonts w:eastAsia="仿宋_GB2312"/>
          <w:sz w:val="32"/>
          <w:szCs w:val="32"/>
        </w:rPr>
        <w:t>:</w:t>
      </w:r>
      <w:r>
        <w:rPr>
          <w:rFonts w:hint="eastAsia" w:eastAsia="仿宋_GB2312"/>
          <w:sz w:val="32"/>
          <w:szCs w:val="28"/>
        </w:rPr>
        <w:t>国家食品药品监督管理总局令第</w:t>
      </w:r>
      <w:r>
        <w:rPr>
          <w:rFonts w:eastAsia="仿宋_GB2312"/>
          <w:sz w:val="32"/>
          <w:szCs w:val="28"/>
        </w:rPr>
        <w:t>19</w:t>
      </w:r>
      <w:r>
        <w:rPr>
          <w:rFonts w:hint="eastAsia" w:eastAsia="仿宋_GB2312"/>
          <w:sz w:val="32"/>
          <w:szCs w:val="28"/>
        </w:rPr>
        <w:t>号</w:t>
      </w:r>
      <w:r>
        <w:rPr>
          <w:rFonts w:eastAsia="仿宋_GB2312"/>
          <w:sz w:val="32"/>
          <w:szCs w:val="32"/>
        </w:rPr>
        <w:t>[Z].</w:t>
      </w:r>
    </w:p>
    <w:p w14:paraId="7607D3F3">
      <w:pPr>
        <w:spacing w:line="520" w:lineRule="exact"/>
        <w:ind w:right="-67" w:rightChars="-32" w:firstLine="640" w:firstLineChars="200"/>
        <w:rPr>
          <w:rFonts w:eastAsia="仿宋_GB2312"/>
          <w:sz w:val="32"/>
          <w:szCs w:val="32"/>
        </w:rPr>
      </w:pPr>
      <w:r>
        <w:rPr>
          <w:rFonts w:eastAsia="仿宋_GB2312"/>
          <w:sz w:val="32"/>
          <w:szCs w:val="32"/>
        </w:rPr>
        <w:t>[</w:t>
      </w:r>
      <w:r>
        <w:rPr>
          <w:rFonts w:hint="eastAsia" w:eastAsia="仿宋_GB2312"/>
          <w:sz w:val="32"/>
          <w:szCs w:val="32"/>
        </w:rPr>
        <w:t>16</w:t>
      </w:r>
      <w:r>
        <w:rPr>
          <w:rFonts w:eastAsia="仿宋_GB2312"/>
          <w:sz w:val="32"/>
          <w:szCs w:val="32"/>
        </w:rPr>
        <w:t>]</w:t>
      </w:r>
      <w:r>
        <w:rPr>
          <w:rFonts w:hint="eastAsia" w:eastAsia="仿宋_GB2312"/>
          <w:sz w:val="32"/>
          <w:szCs w:val="32"/>
        </w:rPr>
        <w:t>国家食品药品监督管理局</w:t>
      </w:r>
      <w:r>
        <w:rPr>
          <w:rFonts w:eastAsia="仿宋_GB2312"/>
          <w:sz w:val="32"/>
          <w:szCs w:val="32"/>
        </w:rPr>
        <w:t>.</w:t>
      </w:r>
      <w:r>
        <w:rPr>
          <w:rFonts w:hint="eastAsia" w:eastAsia="仿宋_GB2312"/>
          <w:sz w:val="32"/>
          <w:szCs w:val="32"/>
        </w:rPr>
        <w:t>医疗器械注册单元划分指导原则</w:t>
      </w:r>
      <w:r>
        <w:rPr>
          <w:rFonts w:eastAsia="仿宋_GB2312"/>
          <w:sz w:val="32"/>
          <w:szCs w:val="32"/>
        </w:rPr>
        <w:t>:</w:t>
      </w:r>
      <w:r>
        <w:rPr>
          <w:rFonts w:hint="eastAsia" w:eastAsia="仿宋_GB2312"/>
          <w:sz w:val="32"/>
          <w:szCs w:val="32"/>
        </w:rPr>
        <w:t>总局通告</w:t>
      </w:r>
      <w:r>
        <w:rPr>
          <w:rFonts w:eastAsia="仿宋_GB2312"/>
          <w:sz w:val="32"/>
          <w:szCs w:val="32"/>
        </w:rPr>
        <w:t>2017</w:t>
      </w:r>
      <w:r>
        <w:rPr>
          <w:rFonts w:hint="eastAsia" w:eastAsia="仿宋_GB2312"/>
          <w:sz w:val="32"/>
          <w:szCs w:val="32"/>
        </w:rPr>
        <w:t>年第</w:t>
      </w:r>
      <w:r>
        <w:rPr>
          <w:rFonts w:eastAsia="仿宋_GB2312"/>
          <w:sz w:val="32"/>
          <w:szCs w:val="32"/>
        </w:rPr>
        <w:t>187</w:t>
      </w:r>
      <w:r>
        <w:rPr>
          <w:rFonts w:hint="eastAsia" w:eastAsia="仿宋_GB2312"/>
          <w:sz w:val="32"/>
          <w:szCs w:val="32"/>
        </w:rPr>
        <w:t>号</w:t>
      </w:r>
      <w:r>
        <w:rPr>
          <w:rFonts w:eastAsia="仿宋_GB2312"/>
          <w:sz w:val="32"/>
          <w:szCs w:val="32"/>
        </w:rPr>
        <w:t>[Z].</w:t>
      </w:r>
    </w:p>
    <w:p w14:paraId="10D12326">
      <w:pPr>
        <w:spacing w:line="520" w:lineRule="exact"/>
        <w:ind w:right="-67" w:rightChars="-32" w:firstLine="640" w:firstLineChars="200"/>
        <w:rPr>
          <w:rFonts w:eastAsia="仿宋_GB2312"/>
          <w:sz w:val="32"/>
          <w:szCs w:val="32"/>
        </w:rPr>
      </w:pPr>
      <w:r>
        <w:rPr>
          <w:rFonts w:eastAsia="仿宋_GB2312"/>
          <w:sz w:val="32"/>
          <w:szCs w:val="32"/>
        </w:rPr>
        <w:t>[1</w:t>
      </w:r>
      <w:r>
        <w:rPr>
          <w:rFonts w:hint="eastAsia" w:eastAsia="仿宋_GB2312"/>
          <w:sz w:val="32"/>
          <w:szCs w:val="32"/>
        </w:rPr>
        <w:t>7</w:t>
      </w:r>
      <w:r>
        <w:rPr>
          <w:rFonts w:eastAsia="仿宋_GB2312"/>
          <w:sz w:val="32"/>
          <w:szCs w:val="32"/>
        </w:rPr>
        <w:t>]</w:t>
      </w:r>
      <w:r>
        <w:rPr>
          <w:rFonts w:hint="eastAsia" w:eastAsia="仿宋_GB2312"/>
          <w:sz w:val="32"/>
          <w:szCs w:val="32"/>
        </w:rPr>
        <w:t>国家药品监督管理局</w:t>
      </w:r>
      <w:r>
        <w:rPr>
          <w:rFonts w:eastAsia="仿宋_GB2312"/>
          <w:sz w:val="32"/>
          <w:szCs w:val="32"/>
        </w:rPr>
        <w:t>.</w:t>
      </w:r>
      <w:r>
        <w:rPr>
          <w:rFonts w:hint="eastAsia" w:eastAsia="仿宋_GB2312"/>
          <w:sz w:val="32"/>
          <w:szCs w:val="32"/>
        </w:rPr>
        <w:t>免于临床评价医疗器械目录：国家药监局通告2025年第19号</w:t>
      </w:r>
      <w:r>
        <w:rPr>
          <w:rFonts w:eastAsia="仿宋_GB2312"/>
          <w:sz w:val="32"/>
          <w:szCs w:val="32"/>
        </w:rPr>
        <w:t>[Z].</w:t>
      </w:r>
    </w:p>
    <w:p w14:paraId="1F05ADB1">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18</w:t>
      </w:r>
      <w:r>
        <w:rPr>
          <w:rFonts w:eastAsia="仿宋_GB2312"/>
          <w:sz w:val="32"/>
          <w:szCs w:val="32"/>
        </w:rPr>
        <w:t>]GB/T 16886.1</w:t>
      </w:r>
      <w:r>
        <w:rPr>
          <w:rFonts w:hint="eastAsia" w:eastAsia="仿宋_GB2312"/>
          <w:sz w:val="32"/>
          <w:szCs w:val="32"/>
        </w:rPr>
        <w:t>-2022</w:t>
      </w:r>
      <w:r>
        <w:rPr>
          <w:rFonts w:eastAsia="仿宋_GB2312"/>
          <w:sz w:val="32"/>
          <w:szCs w:val="32"/>
        </w:rPr>
        <w:t>,</w:t>
      </w:r>
      <w:r>
        <w:rPr>
          <w:rFonts w:hint="eastAsia" w:eastAsia="仿宋_GB2312"/>
          <w:sz w:val="32"/>
          <w:szCs w:val="32"/>
        </w:rPr>
        <w:t>医疗器械生物学评价第</w:t>
      </w:r>
      <w:r>
        <w:rPr>
          <w:rFonts w:eastAsia="仿宋_GB2312"/>
          <w:sz w:val="32"/>
          <w:szCs w:val="32"/>
        </w:rPr>
        <w:t>1</w:t>
      </w:r>
      <w:r>
        <w:rPr>
          <w:rFonts w:hint="eastAsia" w:eastAsia="仿宋_GB2312"/>
          <w:sz w:val="32"/>
          <w:szCs w:val="32"/>
        </w:rPr>
        <w:t>部分：风险管理过程中的评价与试验</w:t>
      </w:r>
      <w:r>
        <w:rPr>
          <w:rFonts w:eastAsia="仿宋_GB2312"/>
          <w:sz w:val="32"/>
          <w:szCs w:val="32"/>
        </w:rPr>
        <w:t>[S].</w:t>
      </w:r>
    </w:p>
    <w:p w14:paraId="4AD73CFA">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19</w:t>
      </w:r>
      <w:r>
        <w:rPr>
          <w:rFonts w:eastAsia="仿宋_GB2312"/>
          <w:sz w:val="32"/>
          <w:szCs w:val="32"/>
        </w:rPr>
        <w:t>]GB/T 42062</w:t>
      </w:r>
      <w:r>
        <w:rPr>
          <w:rFonts w:hint="eastAsia" w:eastAsia="仿宋_GB2312"/>
          <w:sz w:val="32"/>
          <w:szCs w:val="32"/>
        </w:rPr>
        <w:t>-2022</w:t>
      </w:r>
      <w:r>
        <w:rPr>
          <w:rFonts w:eastAsia="仿宋_GB2312"/>
          <w:sz w:val="32"/>
          <w:szCs w:val="32"/>
        </w:rPr>
        <w:t>,</w:t>
      </w:r>
      <w:r>
        <w:rPr>
          <w:rFonts w:hint="eastAsia" w:eastAsia="仿宋_GB2312"/>
          <w:sz w:val="32"/>
          <w:szCs w:val="32"/>
        </w:rPr>
        <w:t>医疗器械风险管理对医疗器械的应用</w:t>
      </w:r>
      <w:r>
        <w:rPr>
          <w:rFonts w:eastAsia="仿宋_GB2312"/>
          <w:sz w:val="32"/>
          <w:szCs w:val="32"/>
        </w:rPr>
        <w:t>[S].</w:t>
      </w:r>
    </w:p>
    <w:p w14:paraId="4C811D55">
      <w:pPr>
        <w:pStyle w:val="54"/>
      </w:pPr>
    </w:p>
    <w:p w14:paraId="516E8E79">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20</w:t>
      </w:r>
      <w:r>
        <w:rPr>
          <w:rFonts w:eastAsia="仿宋_GB2312"/>
          <w:sz w:val="32"/>
          <w:szCs w:val="32"/>
        </w:rPr>
        <w:t>]GB 9706.1</w:t>
      </w:r>
      <w:r>
        <w:rPr>
          <w:rFonts w:hint="eastAsia" w:eastAsia="仿宋_GB2312"/>
          <w:sz w:val="32"/>
          <w:szCs w:val="32"/>
        </w:rPr>
        <w:t>-2020</w:t>
      </w:r>
      <w:r>
        <w:rPr>
          <w:rFonts w:eastAsia="仿宋_GB2312"/>
          <w:sz w:val="32"/>
          <w:szCs w:val="32"/>
        </w:rPr>
        <w:t>,</w:t>
      </w:r>
      <w:r>
        <w:rPr>
          <w:rFonts w:hint="eastAsia" w:eastAsia="仿宋_GB2312"/>
          <w:sz w:val="32"/>
          <w:szCs w:val="32"/>
        </w:rPr>
        <w:t>医用电气设备</w:t>
      </w:r>
      <w:r>
        <w:rPr>
          <w:rFonts w:eastAsia="仿宋_GB2312"/>
          <w:sz w:val="32"/>
          <w:szCs w:val="32"/>
        </w:rPr>
        <w:t xml:space="preserve"> </w:t>
      </w:r>
      <w:r>
        <w:rPr>
          <w:rFonts w:hint="eastAsia" w:eastAsia="仿宋_GB2312"/>
          <w:sz w:val="32"/>
          <w:szCs w:val="32"/>
        </w:rPr>
        <w:t>第</w:t>
      </w:r>
      <w:r>
        <w:rPr>
          <w:rFonts w:eastAsia="仿宋_GB2312"/>
          <w:sz w:val="32"/>
          <w:szCs w:val="32"/>
        </w:rPr>
        <w:t>1</w:t>
      </w:r>
      <w:r>
        <w:rPr>
          <w:rFonts w:hint="eastAsia" w:eastAsia="仿宋_GB2312"/>
          <w:sz w:val="32"/>
          <w:szCs w:val="32"/>
        </w:rPr>
        <w:t>部分：基本安全和基本性能的通用要求</w:t>
      </w:r>
      <w:r>
        <w:rPr>
          <w:rFonts w:eastAsia="仿宋_GB2312"/>
          <w:sz w:val="32"/>
          <w:szCs w:val="32"/>
        </w:rPr>
        <w:t>[S].</w:t>
      </w:r>
    </w:p>
    <w:p w14:paraId="390B65C8">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21</w:t>
      </w:r>
      <w:r>
        <w:rPr>
          <w:rFonts w:eastAsia="仿宋_GB2312"/>
          <w:sz w:val="32"/>
          <w:szCs w:val="32"/>
        </w:rPr>
        <w:t>]</w:t>
      </w:r>
      <w:r>
        <w:rPr>
          <w:rFonts w:hint="eastAsia" w:eastAsia="仿宋_GB2312"/>
          <w:sz w:val="32"/>
          <w:szCs w:val="32"/>
        </w:rPr>
        <w:t>YY 9706.102,用电气设备 第1-2部分：基本安全和基本性能的通用要求 并列标准：电磁兼容 要求和试验[S].</w:t>
      </w:r>
    </w:p>
    <w:p w14:paraId="074AD288">
      <w:pPr>
        <w:spacing w:line="520" w:lineRule="exact"/>
        <w:ind w:firstLine="640" w:firstLineChars="200"/>
        <w:rPr>
          <w:rFonts w:eastAsia="仿宋_GB2312"/>
          <w:sz w:val="32"/>
          <w:szCs w:val="32"/>
        </w:rPr>
      </w:pPr>
      <w:r>
        <w:rPr>
          <w:rFonts w:eastAsia="仿宋_GB2312"/>
          <w:sz w:val="32"/>
          <w:szCs w:val="32"/>
        </w:rPr>
        <w:t>[2</w:t>
      </w:r>
      <w:r>
        <w:rPr>
          <w:rFonts w:hint="eastAsia" w:eastAsia="仿宋_GB2312"/>
          <w:sz w:val="32"/>
          <w:szCs w:val="32"/>
        </w:rPr>
        <w:t>2</w:t>
      </w:r>
      <w:r>
        <w:rPr>
          <w:rFonts w:eastAsia="仿宋_GB2312"/>
          <w:sz w:val="32"/>
          <w:szCs w:val="32"/>
        </w:rPr>
        <w:t>]GB/T 14710</w:t>
      </w:r>
      <w:r>
        <w:rPr>
          <w:rFonts w:hint="eastAsia" w:eastAsia="仿宋_GB2312"/>
          <w:sz w:val="32"/>
          <w:szCs w:val="32"/>
        </w:rPr>
        <w:t>-2009</w:t>
      </w:r>
      <w:r>
        <w:rPr>
          <w:rFonts w:eastAsia="仿宋_GB2312"/>
          <w:sz w:val="32"/>
          <w:szCs w:val="32"/>
        </w:rPr>
        <w:t>,</w:t>
      </w:r>
      <w:r>
        <w:rPr>
          <w:rFonts w:hint="eastAsia" w:eastAsia="仿宋_GB2312"/>
          <w:sz w:val="32"/>
          <w:szCs w:val="32"/>
        </w:rPr>
        <w:t>医用电器环境要求及试验方法</w:t>
      </w:r>
      <w:r>
        <w:rPr>
          <w:rFonts w:eastAsia="仿宋_GB2312"/>
          <w:sz w:val="32"/>
          <w:szCs w:val="32"/>
        </w:rPr>
        <w:t>[S].</w:t>
      </w:r>
    </w:p>
    <w:p w14:paraId="63A64F42">
      <w:pPr>
        <w:spacing w:line="520" w:lineRule="exact"/>
        <w:ind w:firstLine="640" w:firstLineChars="200"/>
        <w:rPr>
          <w:rFonts w:eastAsia="仿宋_GB2312"/>
          <w:sz w:val="32"/>
          <w:szCs w:val="32"/>
        </w:rPr>
      </w:pPr>
      <w:r>
        <w:rPr>
          <w:rFonts w:hint="eastAsia" w:eastAsia="仿宋_GB2312"/>
          <w:sz w:val="32"/>
          <w:szCs w:val="32"/>
        </w:rPr>
        <w:t>[23]GB/T 16886.5,医疗器械生物学评价 第5部分：体外细胞毒性试验[S].</w:t>
      </w:r>
    </w:p>
    <w:p w14:paraId="32D81E5E">
      <w:pPr>
        <w:spacing w:line="520" w:lineRule="exact"/>
        <w:ind w:firstLine="640" w:firstLineChars="200"/>
        <w:rPr>
          <w:rFonts w:eastAsia="仿宋_GB2312"/>
          <w:sz w:val="32"/>
          <w:szCs w:val="32"/>
        </w:rPr>
      </w:pPr>
      <w:r>
        <w:rPr>
          <w:rFonts w:hint="eastAsia" w:eastAsia="仿宋_GB2312"/>
          <w:sz w:val="32"/>
          <w:szCs w:val="32"/>
        </w:rPr>
        <w:t>[24]GB/T 16886.10,医疗器械生物学评价 第10部分：刺激与皮肤致敏试验[S].</w:t>
      </w:r>
    </w:p>
    <w:p w14:paraId="14A229F2">
      <w:pPr>
        <w:spacing w:line="520" w:lineRule="exact"/>
        <w:ind w:firstLine="640" w:firstLineChars="200"/>
        <w:rPr>
          <w:rFonts w:eastAsia="仿宋_GB2312"/>
          <w:sz w:val="32"/>
          <w:szCs w:val="32"/>
        </w:rPr>
      </w:pPr>
      <w:r>
        <w:rPr>
          <w:rFonts w:hint="eastAsia" w:eastAsia="仿宋_GB2312"/>
          <w:sz w:val="32"/>
          <w:szCs w:val="32"/>
        </w:rPr>
        <w:t>[25]YY/T 0466.1—2023,医疗器械 用于制造商提供信息的符号 第1部分：通用要求[S].</w:t>
      </w:r>
    </w:p>
    <w:p w14:paraId="77A6934C">
      <w:pPr>
        <w:spacing w:line="520" w:lineRule="exact"/>
        <w:ind w:firstLine="640" w:firstLineChars="200"/>
        <w:rPr>
          <w:rFonts w:eastAsia="仿宋_GB2312"/>
          <w:sz w:val="32"/>
          <w:szCs w:val="32"/>
        </w:rPr>
      </w:pPr>
      <w:bookmarkStart w:id="11" w:name="_GoBack"/>
      <w:r>
        <w:rPr>
          <w:rFonts w:eastAsia="仿宋_GB2312"/>
          <w:sz w:val="32"/>
          <w:szCs w:val="32"/>
        </w:rPr>
        <w:t>[</w:t>
      </w:r>
      <w:r>
        <w:rPr>
          <w:rFonts w:hint="eastAsia" w:eastAsia="仿宋_GB2312"/>
          <w:sz w:val="32"/>
          <w:szCs w:val="32"/>
        </w:rPr>
        <w:t>26</w:t>
      </w:r>
      <w:r>
        <w:rPr>
          <w:rFonts w:eastAsia="仿宋_GB2312"/>
          <w:sz w:val="32"/>
          <w:szCs w:val="32"/>
        </w:rPr>
        <w:t>]GB 9706.</w:t>
      </w:r>
      <w:r>
        <w:rPr>
          <w:rFonts w:hint="eastAsia" w:eastAsia="仿宋_GB2312"/>
          <w:sz w:val="32"/>
          <w:szCs w:val="32"/>
        </w:rPr>
        <w:t>2</w:t>
      </w:r>
      <w:r>
        <w:rPr>
          <w:rFonts w:eastAsia="仿宋_GB2312"/>
          <w:sz w:val="32"/>
          <w:szCs w:val="32"/>
        </w:rPr>
        <w:t>1</w:t>
      </w:r>
      <w:r>
        <w:rPr>
          <w:rFonts w:hint="eastAsia" w:eastAsia="仿宋_GB2312"/>
          <w:sz w:val="32"/>
          <w:szCs w:val="32"/>
        </w:rPr>
        <w:t>8-2021</w:t>
      </w:r>
      <w:r>
        <w:rPr>
          <w:rFonts w:eastAsia="仿宋_GB2312"/>
          <w:sz w:val="32"/>
          <w:szCs w:val="32"/>
        </w:rPr>
        <w:t>,</w:t>
      </w:r>
      <w:r>
        <w:rPr>
          <w:rFonts w:hint="eastAsia" w:eastAsia="仿宋_GB2312"/>
          <w:sz w:val="32"/>
          <w:szCs w:val="32"/>
        </w:rPr>
        <w:t>医用电气设备 第2-18部分：内窥镜设备的基本安全与基本性能专用要求</w:t>
      </w:r>
      <w:r>
        <w:rPr>
          <w:rFonts w:eastAsia="仿宋_GB2312"/>
          <w:sz w:val="32"/>
          <w:szCs w:val="32"/>
        </w:rPr>
        <w:t>[S].</w:t>
      </w:r>
    </w:p>
    <w:p w14:paraId="1BB2B717">
      <w:pPr>
        <w:spacing w:line="520" w:lineRule="exact"/>
        <w:ind w:firstLine="640" w:firstLineChars="200"/>
        <w:rPr>
          <w:rFonts w:hint="eastAsia" w:eastAsia="仿宋_GB2312"/>
          <w:sz w:val="32"/>
          <w:szCs w:val="32"/>
        </w:rPr>
      </w:pPr>
      <w:r>
        <w:rPr>
          <w:rFonts w:hint="eastAsia" w:eastAsia="仿宋_GB2312"/>
          <w:sz w:val="32"/>
          <w:szCs w:val="32"/>
        </w:rPr>
        <w:t>[27]YY 0843—2011,医用内窥镜 内窥镜功能供给装置 气腹机[S].</w:t>
      </w:r>
    </w:p>
    <w:bookmarkEnd w:id="11"/>
    <w:p w14:paraId="1AF175F8">
      <w:pPr>
        <w:pStyle w:val="54"/>
      </w:pPr>
    </w:p>
    <w:p w14:paraId="5D8FB87A">
      <w:pPr>
        <w:pStyle w:val="54"/>
      </w:pPr>
    </w:p>
    <w:p w14:paraId="442BB798">
      <w:pPr>
        <w:pStyle w:val="54"/>
      </w:pPr>
    </w:p>
    <w:p w14:paraId="0E0496D7">
      <w:pPr>
        <w:overflowPunct w:val="0"/>
        <w:autoSpaceDE w:val="0"/>
        <w:autoSpaceDN w:val="0"/>
        <w:spacing w:line="520" w:lineRule="exact"/>
        <w:ind w:left="426" w:hanging="425" w:hangingChars="133"/>
        <w:jc w:val="left"/>
        <w:outlineLvl w:val="0"/>
        <w:rPr>
          <w:rFonts w:eastAsia="黑体" w:cs="黑体"/>
          <w:snapToGrid w:val="0"/>
          <w:kern w:val="0"/>
          <w:sz w:val="32"/>
          <w:szCs w:val="32"/>
        </w:rPr>
      </w:pPr>
      <w:r>
        <w:rPr>
          <w:rFonts w:eastAsia="黑体" w:cs="黑体"/>
          <w:snapToGrid w:val="0"/>
          <w:kern w:val="0"/>
          <w:sz w:val="32"/>
          <w:szCs w:val="32"/>
        </w:rPr>
        <w:br w:type="page"/>
      </w:r>
      <w:r>
        <w:rPr>
          <w:rFonts w:hint="eastAsia" w:eastAsia="黑体" w:cs="黑体"/>
          <w:snapToGrid w:val="0"/>
          <w:kern w:val="0"/>
          <w:sz w:val="32"/>
          <w:szCs w:val="32"/>
        </w:rPr>
        <w:t>附件1</w:t>
      </w:r>
    </w:p>
    <w:p w14:paraId="044503D1">
      <w:pPr>
        <w:spacing w:line="520" w:lineRule="exact"/>
        <w:jc w:val="center"/>
        <w:rPr>
          <w:rFonts w:eastAsia="方正小标宋简体"/>
          <w:sz w:val="44"/>
          <w:szCs w:val="44"/>
        </w:rPr>
      </w:pPr>
      <w:r>
        <w:rPr>
          <w:rFonts w:hint="eastAsia" w:eastAsia="方正小标宋简体"/>
          <w:sz w:val="44"/>
          <w:szCs w:val="44"/>
        </w:rPr>
        <w:t>气腹机</w:t>
      </w:r>
      <w:r>
        <w:rPr>
          <w:rFonts w:eastAsia="方正小标宋简体"/>
          <w:sz w:val="44"/>
          <w:szCs w:val="44"/>
        </w:rPr>
        <w:t>风险要素及示例</w:t>
      </w:r>
    </w:p>
    <w:p w14:paraId="1B064B1D">
      <w:pPr>
        <w:spacing w:line="520" w:lineRule="exact"/>
        <w:rPr>
          <w:rFonts w:eastAsia="微软雅黑"/>
          <w:kern w:val="0"/>
          <w:sz w:val="22"/>
          <w:szCs w:val="22"/>
        </w:rPr>
      </w:pPr>
      <w:bookmarkStart w:id="8" w:name="_Toc31855"/>
      <w:bookmarkStart w:id="9" w:name="_Toc12314"/>
    </w:p>
    <w:p w14:paraId="43B7E6AC">
      <w:pPr>
        <w:spacing w:line="520" w:lineRule="exact"/>
        <w:jc w:val="center"/>
        <w:rPr>
          <w:rFonts w:eastAsia="黑体"/>
          <w:sz w:val="28"/>
          <w:szCs w:val="28"/>
        </w:rPr>
      </w:pPr>
      <w:r>
        <w:rPr>
          <w:rStyle w:val="44"/>
          <w:rFonts w:eastAsia="黑体"/>
          <w:sz w:val="28"/>
          <w:szCs w:val="28"/>
        </w:rPr>
        <w:t>表 部分危险、可预见的事件序列、危险情况和可发生的伤害之间的关系</w:t>
      </w:r>
    </w:p>
    <w:bookmarkEnd w:id="8"/>
    <w:bookmarkEnd w:id="9"/>
    <w:tbl>
      <w:tblPr>
        <w:tblStyle w:val="16"/>
        <w:tblW w:w="8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
        <w:gridCol w:w="1421"/>
        <w:gridCol w:w="9"/>
        <w:gridCol w:w="2459"/>
        <w:gridCol w:w="9"/>
        <w:gridCol w:w="1726"/>
        <w:gridCol w:w="3295"/>
        <w:gridCol w:w="9"/>
      </w:tblGrid>
      <w:tr w14:paraId="05CA1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9" w:type="dxa"/>
          <w:tblHeader/>
          <w:jc w:val="center"/>
        </w:trPr>
        <w:tc>
          <w:tcPr>
            <w:tcW w:w="1430" w:type="dxa"/>
            <w:gridSpan w:val="2"/>
            <w:vAlign w:val="center"/>
          </w:tcPr>
          <w:p w14:paraId="292D053F">
            <w:pPr>
              <w:widowControl/>
              <w:spacing w:line="400" w:lineRule="exact"/>
              <w:jc w:val="center"/>
              <w:rPr>
                <w:b/>
                <w:kern w:val="0"/>
                <w:sz w:val="28"/>
                <w:szCs w:val="28"/>
              </w:rPr>
            </w:pPr>
            <w:r>
              <w:rPr>
                <w:b/>
                <w:kern w:val="0"/>
                <w:sz w:val="28"/>
                <w:szCs w:val="28"/>
              </w:rPr>
              <w:t>危险</w:t>
            </w:r>
          </w:p>
        </w:tc>
        <w:tc>
          <w:tcPr>
            <w:tcW w:w="2468" w:type="dxa"/>
            <w:gridSpan w:val="2"/>
            <w:vAlign w:val="center"/>
          </w:tcPr>
          <w:p w14:paraId="1CD8CDD7">
            <w:pPr>
              <w:widowControl/>
              <w:spacing w:line="400" w:lineRule="exact"/>
              <w:jc w:val="center"/>
              <w:rPr>
                <w:b/>
                <w:kern w:val="0"/>
                <w:sz w:val="28"/>
                <w:szCs w:val="28"/>
              </w:rPr>
            </w:pPr>
            <w:r>
              <w:rPr>
                <w:b/>
                <w:kern w:val="0"/>
                <w:sz w:val="28"/>
                <w:szCs w:val="28"/>
              </w:rPr>
              <w:t>可预见的事件序列</w:t>
            </w:r>
          </w:p>
        </w:tc>
        <w:tc>
          <w:tcPr>
            <w:tcW w:w="1735" w:type="dxa"/>
            <w:gridSpan w:val="2"/>
            <w:vAlign w:val="center"/>
          </w:tcPr>
          <w:p w14:paraId="309D9B93">
            <w:pPr>
              <w:widowControl/>
              <w:spacing w:line="400" w:lineRule="exact"/>
              <w:jc w:val="center"/>
              <w:rPr>
                <w:b/>
                <w:kern w:val="0"/>
                <w:sz w:val="28"/>
                <w:szCs w:val="28"/>
              </w:rPr>
            </w:pPr>
            <w:r>
              <w:rPr>
                <w:b/>
                <w:kern w:val="0"/>
                <w:sz w:val="28"/>
                <w:szCs w:val="28"/>
              </w:rPr>
              <w:t>危害情况</w:t>
            </w:r>
          </w:p>
        </w:tc>
        <w:tc>
          <w:tcPr>
            <w:tcW w:w="3295" w:type="dxa"/>
            <w:vAlign w:val="center"/>
          </w:tcPr>
          <w:p w14:paraId="746F6A8F">
            <w:pPr>
              <w:widowControl/>
              <w:spacing w:line="400" w:lineRule="exact"/>
              <w:jc w:val="center"/>
              <w:rPr>
                <w:b/>
                <w:kern w:val="0"/>
                <w:sz w:val="28"/>
                <w:szCs w:val="28"/>
              </w:rPr>
            </w:pPr>
            <w:r>
              <w:rPr>
                <w:b/>
                <w:kern w:val="0"/>
                <w:sz w:val="28"/>
                <w:szCs w:val="28"/>
              </w:rPr>
              <w:t>伤害</w:t>
            </w:r>
          </w:p>
        </w:tc>
      </w:tr>
      <w:tr w14:paraId="7D3D1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370" w:hRule="atLeast"/>
          <w:jc w:val="center"/>
        </w:trPr>
        <w:tc>
          <w:tcPr>
            <w:tcW w:w="1430" w:type="dxa"/>
            <w:gridSpan w:val="2"/>
            <w:vMerge w:val="restart"/>
            <w:vAlign w:val="center"/>
          </w:tcPr>
          <w:p w14:paraId="146EE275">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电磁能量</w:t>
            </w:r>
          </w:p>
        </w:tc>
        <w:tc>
          <w:tcPr>
            <w:tcW w:w="2468" w:type="dxa"/>
            <w:gridSpan w:val="2"/>
            <w:vAlign w:val="center"/>
          </w:tcPr>
          <w:p w14:paraId="55EEA8A8">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在强电磁辐射源边使用气腹机测量</w:t>
            </w:r>
          </w:p>
        </w:tc>
        <w:tc>
          <w:tcPr>
            <w:tcW w:w="1726" w:type="dxa"/>
            <w:vAlign w:val="center"/>
          </w:tcPr>
          <w:p w14:paraId="33E8D707">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电磁干扰程序运行/抗干扰电磁配置不当或无配置</w:t>
            </w:r>
          </w:p>
        </w:tc>
        <w:tc>
          <w:tcPr>
            <w:tcW w:w="3304" w:type="dxa"/>
            <w:gridSpan w:val="2"/>
            <w:vAlign w:val="center"/>
          </w:tcPr>
          <w:p w14:paraId="682592F9">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导致反馈系统测量错误、测量结果误差过大。</w:t>
            </w:r>
          </w:p>
        </w:tc>
      </w:tr>
      <w:tr w14:paraId="7E3DB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357" w:hRule="atLeast"/>
          <w:jc w:val="center"/>
        </w:trPr>
        <w:tc>
          <w:tcPr>
            <w:tcW w:w="1430" w:type="dxa"/>
            <w:gridSpan w:val="2"/>
            <w:vMerge w:val="continue"/>
            <w:vAlign w:val="center"/>
          </w:tcPr>
          <w:p w14:paraId="1A4B94FC">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0A8843FE">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静电放电</w:t>
            </w:r>
          </w:p>
        </w:tc>
        <w:tc>
          <w:tcPr>
            <w:tcW w:w="1726" w:type="dxa"/>
            <w:vAlign w:val="center"/>
          </w:tcPr>
          <w:p w14:paraId="793BEF1E">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干扰程序运行/接地不良或无接地</w:t>
            </w:r>
          </w:p>
        </w:tc>
        <w:tc>
          <w:tcPr>
            <w:tcW w:w="3304" w:type="dxa"/>
            <w:gridSpan w:val="2"/>
            <w:vAlign w:val="center"/>
          </w:tcPr>
          <w:p w14:paraId="32AD1E7B">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spacing w:val="-8"/>
                <w:kern w:val="0"/>
                <w:sz w:val="28"/>
                <w:szCs w:val="28"/>
              </w:rPr>
              <w:t>导致测量结果误差过大、或数据擦除。</w:t>
            </w:r>
          </w:p>
        </w:tc>
      </w:tr>
      <w:tr w14:paraId="6C90E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357" w:hRule="atLeast"/>
          <w:jc w:val="center"/>
        </w:trPr>
        <w:tc>
          <w:tcPr>
            <w:tcW w:w="1430" w:type="dxa"/>
            <w:gridSpan w:val="2"/>
            <w:vAlign w:val="center"/>
          </w:tcPr>
          <w:p w14:paraId="3A1B9982">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漏电流</w:t>
            </w:r>
          </w:p>
        </w:tc>
        <w:tc>
          <w:tcPr>
            <w:tcW w:w="2468" w:type="dxa"/>
            <w:gridSpan w:val="2"/>
            <w:vAlign w:val="center"/>
          </w:tcPr>
          <w:p w14:paraId="541FC28C">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产品漏电流超标</w:t>
            </w:r>
          </w:p>
        </w:tc>
        <w:tc>
          <w:tcPr>
            <w:tcW w:w="1726" w:type="dxa"/>
            <w:vAlign w:val="center"/>
          </w:tcPr>
          <w:p w14:paraId="192E79C3">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 xml:space="preserve">外壳、可触及金属与带电部分隔离/保护不够 </w:t>
            </w:r>
          </w:p>
        </w:tc>
        <w:tc>
          <w:tcPr>
            <w:tcW w:w="3304" w:type="dxa"/>
            <w:gridSpan w:val="2"/>
            <w:vAlign w:val="center"/>
          </w:tcPr>
          <w:p w14:paraId="32EB95D2">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漏电流超出允许值，导致对人身电击伤害。</w:t>
            </w:r>
          </w:p>
        </w:tc>
      </w:tr>
      <w:tr w14:paraId="07760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725" w:hRule="atLeast"/>
          <w:jc w:val="center"/>
        </w:trPr>
        <w:tc>
          <w:tcPr>
            <w:tcW w:w="1430" w:type="dxa"/>
            <w:gridSpan w:val="2"/>
            <w:vAlign w:val="center"/>
          </w:tcPr>
          <w:p w14:paraId="5FB9627F">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热能</w:t>
            </w:r>
          </w:p>
        </w:tc>
        <w:tc>
          <w:tcPr>
            <w:tcW w:w="2468" w:type="dxa"/>
            <w:gridSpan w:val="2"/>
            <w:vAlign w:val="center"/>
          </w:tcPr>
          <w:p w14:paraId="52A4C149">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电子元器件发热</w:t>
            </w:r>
          </w:p>
        </w:tc>
        <w:tc>
          <w:tcPr>
            <w:tcW w:w="1726" w:type="dxa"/>
            <w:vAlign w:val="center"/>
          </w:tcPr>
          <w:p w14:paraId="13E3B788">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使用环境过热/电流过大</w:t>
            </w:r>
          </w:p>
        </w:tc>
        <w:tc>
          <w:tcPr>
            <w:tcW w:w="3304" w:type="dxa"/>
            <w:gridSpan w:val="2"/>
            <w:vAlign w:val="center"/>
          </w:tcPr>
          <w:p w14:paraId="636CB33C">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产品损坏。</w:t>
            </w:r>
          </w:p>
        </w:tc>
      </w:tr>
      <w:tr w14:paraId="4CF58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850" w:hRule="atLeast"/>
          <w:jc w:val="center"/>
        </w:trPr>
        <w:tc>
          <w:tcPr>
            <w:tcW w:w="1430" w:type="dxa"/>
            <w:gridSpan w:val="2"/>
            <w:vMerge w:val="restart"/>
            <w:vAlign w:val="center"/>
          </w:tcPr>
          <w:p w14:paraId="207FCB0C">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机械能</w:t>
            </w:r>
          </w:p>
        </w:tc>
        <w:tc>
          <w:tcPr>
            <w:tcW w:w="2468" w:type="dxa"/>
            <w:gridSpan w:val="2"/>
            <w:vAlign w:val="center"/>
          </w:tcPr>
          <w:p w14:paraId="67C33B80">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气腹机摔落、践踏后使气腹机外表破损</w:t>
            </w:r>
          </w:p>
        </w:tc>
        <w:tc>
          <w:tcPr>
            <w:tcW w:w="1726" w:type="dxa"/>
            <w:vAlign w:val="center"/>
          </w:tcPr>
          <w:p w14:paraId="23902830">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造成气腹机外壳出现锋棱</w:t>
            </w:r>
          </w:p>
        </w:tc>
        <w:tc>
          <w:tcPr>
            <w:tcW w:w="3304" w:type="dxa"/>
            <w:gridSpan w:val="2"/>
            <w:vAlign w:val="center"/>
          </w:tcPr>
          <w:p w14:paraId="1EC8E496">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被气腹机划伤。</w:t>
            </w:r>
          </w:p>
        </w:tc>
      </w:tr>
      <w:tr w14:paraId="30ED4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672" w:hRule="atLeast"/>
          <w:jc w:val="center"/>
        </w:trPr>
        <w:tc>
          <w:tcPr>
            <w:tcW w:w="1430" w:type="dxa"/>
            <w:gridSpan w:val="2"/>
            <w:vMerge w:val="continue"/>
            <w:vAlign w:val="center"/>
          </w:tcPr>
          <w:p w14:paraId="7D2D2A37">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3F3D6F84">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气腹机摔落、践踏后使气腹机压力控制系统受损</w:t>
            </w:r>
          </w:p>
        </w:tc>
        <w:tc>
          <w:tcPr>
            <w:tcW w:w="1726" w:type="dxa"/>
            <w:vAlign w:val="center"/>
          </w:tcPr>
          <w:p w14:paraId="1B6CF635">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气腹机输出异常</w:t>
            </w:r>
          </w:p>
        </w:tc>
        <w:tc>
          <w:tcPr>
            <w:tcW w:w="3304" w:type="dxa"/>
            <w:gridSpan w:val="2"/>
            <w:vAlign w:val="center"/>
          </w:tcPr>
          <w:p w14:paraId="25B36D08">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导致气腹机无气输出或输出压力控制异常。</w:t>
            </w:r>
          </w:p>
        </w:tc>
      </w:tr>
      <w:tr w14:paraId="46580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jc w:val="center"/>
        </w:trPr>
        <w:tc>
          <w:tcPr>
            <w:tcW w:w="1430" w:type="dxa"/>
            <w:gridSpan w:val="2"/>
            <w:vMerge w:val="continue"/>
            <w:vAlign w:val="center"/>
          </w:tcPr>
          <w:p w14:paraId="5945C7DC">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087B2223">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坠落导致机械部件松动</w:t>
            </w:r>
          </w:p>
        </w:tc>
        <w:tc>
          <w:tcPr>
            <w:tcW w:w="1726" w:type="dxa"/>
            <w:vAlign w:val="center"/>
          </w:tcPr>
          <w:p w14:paraId="74A78693">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气腹机内部气路系统漏气</w:t>
            </w:r>
          </w:p>
        </w:tc>
        <w:tc>
          <w:tcPr>
            <w:tcW w:w="3304" w:type="dxa"/>
            <w:gridSpan w:val="2"/>
            <w:vAlign w:val="center"/>
          </w:tcPr>
          <w:p w14:paraId="0BD66591">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造成手术室内二氧化碳含量偏高，气腹机向腹腔供气不足。</w:t>
            </w:r>
          </w:p>
        </w:tc>
      </w:tr>
      <w:tr w14:paraId="4F06A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jc w:val="center"/>
        </w:trPr>
        <w:tc>
          <w:tcPr>
            <w:tcW w:w="1430" w:type="dxa"/>
            <w:gridSpan w:val="2"/>
            <w:vMerge w:val="continue"/>
            <w:vAlign w:val="center"/>
          </w:tcPr>
          <w:p w14:paraId="67C1DD56">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18BD82AC">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机体从高处落下、被践踏</w:t>
            </w:r>
          </w:p>
        </w:tc>
        <w:tc>
          <w:tcPr>
            <w:tcW w:w="1726" w:type="dxa"/>
            <w:vAlign w:val="center"/>
          </w:tcPr>
          <w:p w14:paraId="2EDCEB3E">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液晶显示屏破碎</w:t>
            </w:r>
          </w:p>
        </w:tc>
        <w:tc>
          <w:tcPr>
            <w:tcW w:w="3304" w:type="dxa"/>
            <w:gridSpan w:val="2"/>
            <w:vAlign w:val="center"/>
          </w:tcPr>
          <w:p w14:paraId="4BCA08DC">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使显示屏没有显示导致无法进行流量与压力设定，产品不能正常用工作。</w:t>
            </w:r>
          </w:p>
        </w:tc>
      </w:tr>
      <w:tr w14:paraId="712BA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754" w:hRule="atLeast"/>
          <w:jc w:val="center"/>
        </w:trPr>
        <w:tc>
          <w:tcPr>
            <w:tcW w:w="1430" w:type="dxa"/>
            <w:gridSpan w:val="2"/>
            <w:vMerge w:val="restart"/>
            <w:vAlign w:val="center"/>
          </w:tcPr>
          <w:p w14:paraId="12D687DF">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不正确的测量</w:t>
            </w:r>
          </w:p>
        </w:tc>
        <w:tc>
          <w:tcPr>
            <w:tcW w:w="2468" w:type="dxa"/>
            <w:gridSpan w:val="2"/>
            <w:vAlign w:val="center"/>
          </w:tcPr>
          <w:p w14:paraId="41728D9B">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压力传感器损坏</w:t>
            </w:r>
          </w:p>
        </w:tc>
        <w:tc>
          <w:tcPr>
            <w:tcW w:w="1726" w:type="dxa"/>
            <w:vAlign w:val="center"/>
          </w:tcPr>
          <w:p w14:paraId="55D429D7">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输出气体压力失控</w:t>
            </w:r>
          </w:p>
        </w:tc>
        <w:tc>
          <w:tcPr>
            <w:tcW w:w="3304" w:type="dxa"/>
            <w:gridSpan w:val="2"/>
            <w:vAlign w:val="center"/>
          </w:tcPr>
          <w:p w14:paraId="2D607D97">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腹腔内的压力最高可达低压减压阀的输出压力（例如40kPa），是出厂预置压力10倍以上。</w:t>
            </w:r>
          </w:p>
        </w:tc>
      </w:tr>
      <w:tr w14:paraId="570AB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568" w:hRule="atLeast"/>
          <w:jc w:val="center"/>
        </w:trPr>
        <w:tc>
          <w:tcPr>
            <w:tcW w:w="1430" w:type="dxa"/>
            <w:gridSpan w:val="2"/>
            <w:vMerge w:val="continue"/>
            <w:vAlign w:val="center"/>
          </w:tcPr>
          <w:p w14:paraId="4BB4DB1A">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510F467B">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压力校准不正确</w:t>
            </w:r>
          </w:p>
        </w:tc>
        <w:tc>
          <w:tcPr>
            <w:tcW w:w="1726" w:type="dxa"/>
            <w:vAlign w:val="center"/>
          </w:tcPr>
          <w:p w14:paraId="2F41B578">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设定压力与腔内实际压力超出允许的偏差范围</w:t>
            </w:r>
          </w:p>
        </w:tc>
        <w:tc>
          <w:tcPr>
            <w:tcW w:w="3304" w:type="dxa"/>
            <w:gridSpan w:val="2"/>
            <w:vAlign w:val="center"/>
          </w:tcPr>
          <w:p w14:paraId="6DCDA3B6">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造成手术时手术区域压力不足或过高。</w:t>
            </w:r>
          </w:p>
        </w:tc>
      </w:tr>
      <w:tr w14:paraId="4A818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568" w:hRule="atLeast"/>
          <w:jc w:val="center"/>
        </w:trPr>
        <w:tc>
          <w:tcPr>
            <w:tcW w:w="1430" w:type="dxa"/>
            <w:gridSpan w:val="2"/>
            <w:vAlign w:val="center"/>
          </w:tcPr>
          <w:p w14:paraId="079FDDDE">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生物学</w:t>
            </w:r>
          </w:p>
        </w:tc>
        <w:tc>
          <w:tcPr>
            <w:tcW w:w="2468" w:type="dxa"/>
            <w:gridSpan w:val="2"/>
            <w:vAlign w:val="center"/>
          </w:tcPr>
          <w:p w14:paraId="75664008">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不按要求进行过滤器的更换</w:t>
            </w:r>
          </w:p>
        </w:tc>
        <w:tc>
          <w:tcPr>
            <w:tcW w:w="1726" w:type="dxa"/>
            <w:vAlign w:val="center"/>
          </w:tcPr>
          <w:p w14:paraId="35491445">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输入人体的气体不能满足要求</w:t>
            </w:r>
          </w:p>
        </w:tc>
        <w:tc>
          <w:tcPr>
            <w:tcW w:w="3304" w:type="dxa"/>
            <w:gridSpan w:val="2"/>
            <w:vAlign w:val="center"/>
          </w:tcPr>
          <w:p w14:paraId="5C5C5F4A">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造成手术部位感染。</w:t>
            </w:r>
          </w:p>
        </w:tc>
      </w:tr>
      <w:tr w14:paraId="072C4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944" w:hRule="atLeast"/>
          <w:jc w:val="center"/>
        </w:trPr>
        <w:tc>
          <w:tcPr>
            <w:tcW w:w="1430" w:type="dxa"/>
            <w:gridSpan w:val="2"/>
            <w:vMerge w:val="restart"/>
            <w:vAlign w:val="center"/>
          </w:tcPr>
          <w:p w14:paraId="3AA72969">
            <w:pPr>
              <w:autoSpaceDE w:val="0"/>
              <w:autoSpaceDN w:val="0"/>
              <w:adjustRightInd w:val="0"/>
              <w:spacing w:line="440" w:lineRule="exact"/>
              <w:ind w:right="-67" w:rightChars="-32"/>
              <w:jc w:val="center"/>
              <w:rPr>
                <w:rFonts w:ascii="宋体" w:hAnsi="宋体" w:cs="宋体"/>
                <w:kern w:val="0"/>
                <w:sz w:val="28"/>
                <w:szCs w:val="28"/>
              </w:rPr>
            </w:pPr>
            <w:r>
              <w:rPr>
                <w:rFonts w:hint="eastAsia" w:ascii="宋体" w:hAnsi="宋体" w:cs="宋体"/>
                <w:kern w:val="0"/>
                <w:sz w:val="28"/>
                <w:szCs w:val="28"/>
              </w:rPr>
              <w:t>操作错误</w:t>
            </w:r>
          </w:p>
        </w:tc>
        <w:tc>
          <w:tcPr>
            <w:tcW w:w="2468" w:type="dxa"/>
            <w:gridSpan w:val="2"/>
            <w:vAlign w:val="center"/>
          </w:tcPr>
          <w:p w14:paraId="7020FE8D">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气腹机出气端所接的气腹针堵塞或阀门未打开</w:t>
            </w:r>
          </w:p>
        </w:tc>
        <w:tc>
          <w:tcPr>
            <w:tcW w:w="1726" w:type="dxa"/>
            <w:vAlign w:val="center"/>
          </w:tcPr>
          <w:p w14:paraId="370F9A9A">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造成充气缓慢或气腹机发出过压报警</w:t>
            </w:r>
          </w:p>
        </w:tc>
        <w:tc>
          <w:tcPr>
            <w:tcW w:w="3304" w:type="dxa"/>
            <w:gridSpan w:val="2"/>
            <w:vAlign w:val="center"/>
          </w:tcPr>
          <w:p w14:paraId="1BAD3CC4">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气腹无法建立和维持。</w:t>
            </w:r>
          </w:p>
        </w:tc>
      </w:tr>
      <w:tr w14:paraId="1D513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568" w:hRule="atLeast"/>
          <w:jc w:val="center"/>
        </w:trPr>
        <w:tc>
          <w:tcPr>
            <w:tcW w:w="1430" w:type="dxa"/>
            <w:gridSpan w:val="2"/>
            <w:vMerge w:val="continue"/>
            <w:vAlign w:val="center"/>
          </w:tcPr>
          <w:p w14:paraId="5C6ED90F">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1C86CE6F">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气腹机持续采用连接气腹针供气的方式</w:t>
            </w:r>
          </w:p>
        </w:tc>
        <w:tc>
          <w:tcPr>
            <w:tcW w:w="1726" w:type="dxa"/>
            <w:vAlign w:val="center"/>
          </w:tcPr>
          <w:p w14:paraId="183DCA7A">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造成手术时供气不足气腹不稳</w:t>
            </w:r>
          </w:p>
        </w:tc>
        <w:tc>
          <w:tcPr>
            <w:tcW w:w="3304" w:type="dxa"/>
            <w:gridSpan w:val="2"/>
            <w:vAlign w:val="center"/>
          </w:tcPr>
          <w:p w14:paraId="22DBC905">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气腹无法维持。</w:t>
            </w:r>
          </w:p>
        </w:tc>
      </w:tr>
      <w:tr w14:paraId="2F112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855" w:hRule="atLeast"/>
          <w:jc w:val="center"/>
        </w:trPr>
        <w:tc>
          <w:tcPr>
            <w:tcW w:w="1430" w:type="dxa"/>
            <w:gridSpan w:val="2"/>
            <w:vMerge w:val="continue"/>
            <w:vAlign w:val="center"/>
          </w:tcPr>
          <w:p w14:paraId="25DB5304">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4BF23E2A">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向气腹机供气CO</w:t>
            </w:r>
            <w:r>
              <w:rPr>
                <w:rFonts w:hint="eastAsia" w:ascii="宋体" w:hAnsi="宋体" w:cs="宋体"/>
                <w:kern w:val="0"/>
                <w:sz w:val="28"/>
                <w:szCs w:val="28"/>
                <w:vertAlign w:val="subscript"/>
              </w:rPr>
              <w:t>2</w:t>
            </w:r>
            <w:r>
              <w:rPr>
                <w:rFonts w:hint="eastAsia" w:ascii="宋体" w:hAnsi="宋体" w:cs="宋体"/>
                <w:kern w:val="0"/>
                <w:sz w:val="28"/>
                <w:szCs w:val="28"/>
              </w:rPr>
              <w:t>气体气压过高</w:t>
            </w:r>
          </w:p>
        </w:tc>
        <w:tc>
          <w:tcPr>
            <w:tcW w:w="1726" w:type="dxa"/>
            <w:vAlign w:val="center"/>
          </w:tcPr>
          <w:p w14:paraId="3C948924">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引起气腹机过压保护，气腹机不工作</w:t>
            </w:r>
          </w:p>
        </w:tc>
        <w:tc>
          <w:tcPr>
            <w:tcW w:w="3304" w:type="dxa"/>
            <w:gridSpan w:val="2"/>
            <w:vAlign w:val="center"/>
          </w:tcPr>
          <w:p w14:paraId="721D0803">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气腹无法建立。</w:t>
            </w:r>
          </w:p>
        </w:tc>
      </w:tr>
      <w:tr w14:paraId="6E44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405" w:hRule="atLeast"/>
          <w:jc w:val="center"/>
        </w:trPr>
        <w:tc>
          <w:tcPr>
            <w:tcW w:w="1430" w:type="dxa"/>
            <w:gridSpan w:val="2"/>
            <w:vMerge w:val="continue"/>
            <w:vAlign w:val="center"/>
          </w:tcPr>
          <w:p w14:paraId="46951F52">
            <w:pPr>
              <w:autoSpaceDE w:val="0"/>
              <w:autoSpaceDN w:val="0"/>
              <w:adjustRightInd w:val="0"/>
              <w:spacing w:line="440" w:lineRule="exact"/>
              <w:ind w:right="-67" w:rightChars="-32"/>
              <w:jc w:val="center"/>
              <w:rPr>
                <w:rFonts w:ascii="宋体" w:hAnsi="宋体" w:cs="宋体"/>
                <w:kern w:val="0"/>
                <w:sz w:val="28"/>
                <w:szCs w:val="28"/>
              </w:rPr>
            </w:pPr>
          </w:p>
        </w:tc>
        <w:tc>
          <w:tcPr>
            <w:tcW w:w="2468" w:type="dxa"/>
            <w:gridSpan w:val="2"/>
            <w:vAlign w:val="center"/>
          </w:tcPr>
          <w:p w14:paraId="625D8EBB">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气腹机设定压力过高</w:t>
            </w:r>
          </w:p>
        </w:tc>
        <w:tc>
          <w:tcPr>
            <w:tcW w:w="1726" w:type="dxa"/>
            <w:vAlign w:val="center"/>
          </w:tcPr>
          <w:p w14:paraId="0641364E">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手术时患者气腹腹压不是适宜的</w:t>
            </w:r>
          </w:p>
        </w:tc>
        <w:tc>
          <w:tcPr>
            <w:tcW w:w="3304" w:type="dxa"/>
            <w:gridSpan w:val="2"/>
            <w:vAlign w:val="center"/>
          </w:tcPr>
          <w:p w14:paraId="41751C99">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造成患者不适。</w:t>
            </w:r>
          </w:p>
        </w:tc>
      </w:tr>
      <w:tr w14:paraId="59E74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212" w:hRule="atLeast"/>
          <w:jc w:val="center"/>
        </w:trPr>
        <w:tc>
          <w:tcPr>
            <w:tcW w:w="1430" w:type="dxa"/>
            <w:gridSpan w:val="2"/>
            <w:vMerge w:val="restart"/>
            <w:vAlign w:val="center"/>
          </w:tcPr>
          <w:p w14:paraId="7A202397">
            <w:pPr>
              <w:widowControl/>
              <w:spacing w:line="400" w:lineRule="exact"/>
              <w:jc w:val="center"/>
              <w:rPr>
                <w:rFonts w:ascii="宋体" w:hAnsi="宋体" w:cs="宋体"/>
                <w:kern w:val="0"/>
                <w:sz w:val="28"/>
                <w:szCs w:val="28"/>
              </w:rPr>
            </w:pPr>
            <w:r>
              <w:rPr>
                <w:rFonts w:hint="eastAsia" w:ascii="宋体" w:hAnsi="宋体" w:cs="宋体"/>
                <w:kern w:val="0"/>
                <w:sz w:val="28"/>
                <w:szCs w:val="28"/>
              </w:rPr>
              <w:t>不完整的说明书</w:t>
            </w:r>
          </w:p>
        </w:tc>
        <w:tc>
          <w:tcPr>
            <w:tcW w:w="2468" w:type="dxa"/>
            <w:gridSpan w:val="2"/>
            <w:tcBorders>
              <w:top w:val="single" w:color="auto" w:sz="4" w:space="0"/>
            </w:tcBorders>
            <w:vAlign w:val="center"/>
          </w:tcPr>
          <w:p w14:paraId="3AFBE236">
            <w:pPr>
              <w:widowControl/>
              <w:spacing w:line="400" w:lineRule="exact"/>
              <w:rPr>
                <w:rFonts w:ascii="宋体" w:hAnsi="宋体" w:cs="宋体"/>
                <w:kern w:val="0"/>
                <w:sz w:val="28"/>
                <w:szCs w:val="28"/>
              </w:rPr>
            </w:pPr>
            <w:r>
              <w:rPr>
                <w:rFonts w:hint="eastAsia" w:ascii="宋体" w:hAnsi="宋体" w:cs="宋体"/>
                <w:kern w:val="0"/>
                <w:sz w:val="28"/>
                <w:szCs w:val="28"/>
              </w:rPr>
              <w:t>未对清洗、消毒程序作出详细说明</w:t>
            </w:r>
          </w:p>
        </w:tc>
        <w:tc>
          <w:tcPr>
            <w:tcW w:w="1726" w:type="dxa"/>
            <w:vAlign w:val="center"/>
          </w:tcPr>
          <w:p w14:paraId="7DF42625">
            <w:pPr>
              <w:widowControl/>
              <w:spacing w:line="400" w:lineRule="exact"/>
              <w:rPr>
                <w:rFonts w:ascii="宋体" w:hAnsi="宋体" w:cs="宋体"/>
                <w:kern w:val="0"/>
                <w:sz w:val="28"/>
                <w:szCs w:val="28"/>
              </w:rPr>
            </w:pPr>
            <w:r>
              <w:rPr>
                <w:rFonts w:hint="eastAsia" w:ascii="宋体" w:hAnsi="宋体" w:cs="宋体"/>
                <w:kern w:val="0"/>
                <w:sz w:val="28"/>
                <w:szCs w:val="28"/>
              </w:rPr>
              <w:t>使用有腐蚀性的清洁剂、消毒剂</w:t>
            </w:r>
          </w:p>
        </w:tc>
        <w:tc>
          <w:tcPr>
            <w:tcW w:w="3304" w:type="dxa"/>
            <w:gridSpan w:val="2"/>
            <w:vAlign w:val="center"/>
          </w:tcPr>
          <w:p w14:paraId="4DFE489C">
            <w:pPr>
              <w:widowControl/>
              <w:spacing w:line="400" w:lineRule="exact"/>
              <w:rPr>
                <w:rFonts w:ascii="宋体" w:hAnsi="宋体" w:cs="宋体"/>
                <w:kern w:val="0"/>
                <w:sz w:val="28"/>
                <w:szCs w:val="28"/>
              </w:rPr>
            </w:pPr>
            <w:r>
              <w:rPr>
                <w:rFonts w:hint="eastAsia" w:ascii="宋体" w:hAnsi="宋体" w:cs="宋体"/>
                <w:kern w:val="0"/>
                <w:sz w:val="28"/>
                <w:szCs w:val="28"/>
              </w:rPr>
              <w:t>产品部件腐蚀，防护性能降低</w:t>
            </w:r>
          </w:p>
        </w:tc>
      </w:tr>
      <w:tr w14:paraId="02527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212" w:hRule="atLeast"/>
          <w:jc w:val="center"/>
        </w:trPr>
        <w:tc>
          <w:tcPr>
            <w:tcW w:w="1430" w:type="dxa"/>
            <w:gridSpan w:val="2"/>
            <w:vMerge w:val="continue"/>
            <w:vAlign w:val="center"/>
          </w:tcPr>
          <w:p w14:paraId="1B850BDA">
            <w:pPr>
              <w:widowControl/>
              <w:spacing w:line="400" w:lineRule="exact"/>
              <w:rPr>
                <w:rFonts w:ascii="宋体" w:hAnsi="宋体" w:cs="宋体"/>
                <w:kern w:val="0"/>
                <w:sz w:val="28"/>
                <w:szCs w:val="28"/>
              </w:rPr>
            </w:pPr>
          </w:p>
        </w:tc>
        <w:tc>
          <w:tcPr>
            <w:tcW w:w="2468" w:type="dxa"/>
            <w:gridSpan w:val="2"/>
            <w:tcBorders>
              <w:top w:val="single" w:color="auto" w:sz="4" w:space="0"/>
            </w:tcBorders>
            <w:vAlign w:val="center"/>
          </w:tcPr>
          <w:p w14:paraId="77869736">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未对错误操作进行说明</w:t>
            </w:r>
          </w:p>
        </w:tc>
        <w:tc>
          <w:tcPr>
            <w:tcW w:w="1726" w:type="dxa"/>
            <w:vAlign w:val="center"/>
          </w:tcPr>
          <w:p w14:paraId="5CBECCEB">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见“操作错误”</w:t>
            </w:r>
          </w:p>
        </w:tc>
        <w:tc>
          <w:tcPr>
            <w:tcW w:w="3304" w:type="dxa"/>
            <w:gridSpan w:val="2"/>
            <w:vAlign w:val="center"/>
          </w:tcPr>
          <w:p w14:paraId="062B7A9E">
            <w:pPr>
              <w:autoSpaceDE w:val="0"/>
              <w:autoSpaceDN w:val="0"/>
              <w:adjustRightInd w:val="0"/>
              <w:spacing w:line="440" w:lineRule="exact"/>
              <w:ind w:right="-67" w:rightChars="-32"/>
              <w:rPr>
                <w:rFonts w:ascii="宋体" w:hAnsi="宋体" w:cs="宋体"/>
                <w:kern w:val="0"/>
                <w:sz w:val="28"/>
                <w:szCs w:val="28"/>
              </w:rPr>
            </w:pPr>
            <w:r>
              <w:rPr>
                <w:rFonts w:hint="eastAsia" w:ascii="宋体" w:hAnsi="宋体" w:cs="宋体"/>
                <w:kern w:val="0"/>
                <w:sz w:val="28"/>
                <w:szCs w:val="28"/>
              </w:rPr>
              <w:t>气腹无法建立或维持，造成手术无法正常开展。</w:t>
            </w:r>
          </w:p>
        </w:tc>
      </w:tr>
      <w:tr w14:paraId="0C661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1212" w:hRule="atLeast"/>
          <w:jc w:val="center"/>
        </w:trPr>
        <w:tc>
          <w:tcPr>
            <w:tcW w:w="1430" w:type="dxa"/>
            <w:gridSpan w:val="2"/>
            <w:vMerge w:val="continue"/>
            <w:vAlign w:val="center"/>
          </w:tcPr>
          <w:p w14:paraId="44F8E519">
            <w:pPr>
              <w:widowControl/>
              <w:spacing w:line="400" w:lineRule="exact"/>
              <w:rPr>
                <w:rFonts w:ascii="宋体" w:hAnsi="宋体" w:cs="宋体"/>
                <w:kern w:val="0"/>
                <w:sz w:val="28"/>
                <w:szCs w:val="28"/>
              </w:rPr>
            </w:pPr>
          </w:p>
        </w:tc>
        <w:tc>
          <w:tcPr>
            <w:tcW w:w="2468" w:type="dxa"/>
            <w:gridSpan w:val="2"/>
            <w:tcBorders>
              <w:top w:val="single" w:color="auto" w:sz="4" w:space="0"/>
            </w:tcBorders>
            <w:vAlign w:val="center"/>
          </w:tcPr>
          <w:p w14:paraId="1D57DECC">
            <w:pPr>
              <w:widowControl/>
              <w:spacing w:line="400" w:lineRule="exact"/>
              <w:rPr>
                <w:rFonts w:ascii="宋体" w:hAnsi="宋体" w:cs="宋体"/>
                <w:kern w:val="0"/>
                <w:sz w:val="28"/>
                <w:szCs w:val="28"/>
              </w:rPr>
            </w:pPr>
            <w:r>
              <w:rPr>
                <w:rFonts w:hint="eastAsia" w:ascii="宋体" w:hAnsi="宋体" w:cs="宋体"/>
                <w:kern w:val="0"/>
                <w:sz w:val="28"/>
                <w:szCs w:val="28"/>
              </w:rPr>
              <w:t>未对部件/附件安装作出说明</w:t>
            </w:r>
          </w:p>
        </w:tc>
        <w:tc>
          <w:tcPr>
            <w:tcW w:w="1726" w:type="dxa"/>
            <w:vAlign w:val="center"/>
          </w:tcPr>
          <w:p w14:paraId="62422509">
            <w:pPr>
              <w:widowControl/>
              <w:spacing w:line="400" w:lineRule="exact"/>
              <w:rPr>
                <w:rFonts w:ascii="宋体" w:hAnsi="宋体" w:cs="宋体"/>
                <w:kern w:val="0"/>
                <w:sz w:val="28"/>
                <w:szCs w:val="28"/>
              </w:rPr>
            </w:pPr>
            <w:r>
              <w:rPr>
                <w:rFonts w:hint="eastAsia" w:ascii="宋体" w:hAnsi="宋体" w:cs="宋体"/>
                <w:kern w:val="0"/>
                <w:sz w:val="28"/>
                <w:szCs w:val="28"/>
              </w:rPr>
              <w:t>错误的安装、操作</w:t>
            </w:r>
          </w:p>
        </w:tc>
        <w:tc>
          <w:tcPr>
            <w:tcW w:w="3304" w:type="dxa"/>
            <w:gridSpan w:val="2"/>
            <w:vAlign w:val="center"/>
          </w:tcPr>
          <w:p w14:paraId="5AB4AB71">
            <w:pPr>
              <w:widowControl/>
              <w:spacing w:line="400" w:lineRule="exact"/>
              <w:rPr>
                <w:rFonts w:ascii="宋体" w:hAnsi="宋体" w:cs="宋体"/>
                <w:kern w:val="0"/>
                <w:sz w:val="28"/>
                <w:szCs w:val="28"/>
              </w:rPr>
            </w:pPr>
            <w:r>
              <w:rPr>
                <w:rFonts w:hint="eastAsia" w:ascii="宋体" w:hAnsi="宋体" w:cs="宋体"/>
                <w:kern w:val="0"/>
                <w:sz w:val="28"/>
                <w:szCs w:val="28"/>
              </w:rPr>
              <w:t>损坏设备、使用者产生危险、伤害患者</w:t>
            </w:r>
          </w:p>
        </w:tc>
      </w:tr>
      <w:tr w14:paraId="3712F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9" w:type="dxa"/>
          <w:trHeight w:val="515" w:hRule="atLeast"/>
          <w:jc w:val="center"/>
        </w:trPr>
        <w:tc>
          <w:tcPr>
            <w:tcW w:w="1430" w:type="dxa"/>
            <w:gridSpan w:val="2"/>
            <w:vMerge w:val="continue"/>
            <w:vAlign w:val="center"/>
          </w:tcPr>
          <w:p w14:paraId="19113469">
            <w:pPr>
              <w:widowControl/>
              <w:spacing w:line="400" w:lineRule="exact"/>
              <w:rPr>
                <w:rFonts w:ascii="宋体" w:hAnsi="宋体" w:cs="宋体"/>
                <w:kern w:val="0"/>
                <w:sz w:val="28"/>
                <w:szCs w:val="28"/>
              </w:rPr>
            </w:pPr>
          </w:p>
        </w:tc>
        <w:tc>
          <w:tcPr>
            <w:tcW w:w="2468" w:type="dxa"/>
            <w:gridSpan w:val="2"/>
            <w:tcBorders>
              <w:top w:val="single" w:color="auto" w:sz="4" w:space="0"/>
              <w:bottom w:val="single" w:color="auto" w:sz="4" w:space="0"/>
            </w:tcBorders>
            <w:vAlign w:val="center"/>
          </w:tcPr>
          <w:p w14:paraId="3128A0BE">
            <w:pPr>
              <w:widowControl/>
              <w:spacing w:line="400" w:lineRule="exact"/>
              <w:rPr>
                <w:rFonts w:ascii="宋体" w:hAnsi="宋体" w:cs="宋体"/>
                <w:kern w:val="0"/>
                <w:sz w:val="28"/>
                <w:szCs w:val="28"/>
              </w:rPr>
            </w:pPr>
            <w:r>
              <w:rPr>
                <w:rFonts w:hint="eastAsia" w:ascii="宋体" w:hAnsi="宋体" w:cs="宋体"/>
                <w:kern w:val="0"/>
                <w:sz w:val="28"/>
                <w:szCs w:val="28"/>
              </w:rPr>
              <w:t>不正确的产品贮存条件</w:t>
            </w:r>
          </w:p>
        </w:tc>
        <w:tc>
          <w:tcPr>
            <w:tcW w:w="1726" w:type="dxa"/>
            <w:vAlign w:val="center"/>
          </w:tcPr>
          <w:p w14:paraId="3040CBA6">
            <w:pPr>
              <w:widowControl/>
              <w:spacing w:line="400" w:lineRule="exact"/>
              <w:rPr>
                <w:rFonts w:ascii="宋体" w:hAnsi="宋体" w:cs="宋体"/>
                <w:kern w:val="0"/>
                <w:sz w:val="28"/>
                <w:szCs w:val="28"/>
              </w:rPr>
            </w:pPr>
            <w:r>
              <w:rPr>
                <w:rFonts w:hint="eastAsia" w:ascii="宋体" w:hAnsi="宋体" w:cs="宋体"/>
                <w:kern w:val="0"/>
                <w:sz w:val="28"/>
                <w:szCs w:val="28"/>
              </w:rPr>
              <w:t>器件老化，部件寿命降低</w:t>
            </w:r>
          </w:p>
        </w:tc>
        <w:tc>
          <w:tcPr>
            <w:tcW w:w="3304" w:type="dxa"/>
            <w:gridSpan w:val="2"/>
            <w:vAlign w:val="center"/>
          </w:tcPr>
          <w:p w14:paraId="08FB0085">
            <w:pPr>
              <w:widowControl/>
              <w:spacing w:line="400" w:lineRule="exact"/>
              <w:rPr>
                <w:rFonts w:ascii="宋体" w:hAnsi="宋体" w:cs="宋体"/>
                <w:kern w:val="0"/>
                <w:sz w:val="28"/>
                <w:szCs w:val="28"/>
              </w:rPr>
            </w:pPr>
            <w:r>
              <w:rPr>
                <w:rFonts w:hint="eastAsia" w:ascii="宋体" w:hAnsi="宋体" w:cs="宋体"/>
                <w:kern w:val="0"/>
                <w:sz w:val="28"/>
                <w:szCs w:val="28"/>
              </w:rPr>
              <w:t>产品寿命降低，导致测量值误差过大</w:t>
            </w:r>
          </w:p>
        </w:tc>
      </w:tr>
    </w:tbl>
    <w:p w14:paraId="1F367BA7">
      <w:pPr>
        <w:spacing w:line="520" w:lineRule="exact"/>
        <w:jc w:val="left"/>
        <w:rPr>
          <w:rFonts w:eastAsia="仿宋_GB2312"/>
          <w:sz w:val="32"/>
          <w:szCs w:val="32"/>
        </w:rPr>
      </w:pPr>
    </w:p>
    <w:sectPr>
      <w:footerReference r:id="rId3" w:type="default"/>
      <w:footerReference r:id="rId4" w:type="even"/>
      <w:pgSz w:w="11906" w:h="16838"/>
      <w:pgMar w:top="1440" w:right="1800" w:bottom="1440" w:left="1800" w:header="851" w:footer="992" w:gutter="0"/>
      <w:lnNumType w:countBy="1" w:restart="continuou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8995064-DF73-48E3-9D8A-69BC4485E42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embedRegular r:id="rId2" w:fontKey="{B0FBB48D-C6CB-4D4A-96AC-E3CED9E7573E}"/>
  </w:font>
  <w:font w:name="Calibri Light">
    <w:panose1 w:val="020F0302020204030204"/>
    <w:charset w:val="00"/>
    <w:family w:val="swiss"/>
    <w:pitch w:val="default"/>
    <w:sig w:usb0="E0002A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embedRegular r:id="rId3" w:fontKey="{D96847AC-69AB-4F02-9F48-29A28414C6F3}"/>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ArnoPro-Regular">
    <w:altName w:val="Times New Roman"/>
    <w:panose1 w:val="00000000000000000000"/>
    <w:charset w:val="00"/>
    <w:family w:val="roman"/>
    <w:pitch w:val="default"/>
    <w:sig w:usb0="00000000" w:usb1="00000000" w:usb2="00000000" w:usb3="00000000" w:csb0="00040001" w:csb1="00000000"/>
  </w:font>
  <w:font w:name="ArnoPro-Italic">
    <w:altName w:val="Times New Roman"/>
    <w:panose1 w:val="00000000000000000000"/>
    <w:charset w:val="00"/>
    <w:family w:val="roman"/>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embedRegular r:id="rId4" w:fontKey="{FDBF2DEE-A50D-4468-A2A5-A5736D8FD81D}"/>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5" w:fontKey="{DFDE48E5-8F5F-41A9-BC47-14EC20ACF378}"/>
  </w:font>
  <w:font w:name="Arial Unicode MS">
    <w:panose1 w:val="020B0604020202020204"/>
    <w:charset w:val="86"/>
    <w:family w:val="roman"/>
    <w:pitch w:val="default"/>
    <w:sig w:usb0="FFFFFFFF" w:usb1="E9FFFFFF" w:usb2="0000003F" w:usb3="00000000" w:csb0="603F01FF" w:csb1="FFFF0000"/>
  </w:font>
  <w:font w:name="方正小标宋简体">
    <w:panose1 w:val="03000509000000000000"/>
    <w:charset w:val="86"/>
    <w:family w:val="script"/>
    <w:pitch w:val="default"/>
    <w:sig w:usb0="00000001" w:usb1="080E0000" w:usb2="00000000" w:usb3="00000000" w:csb0="00040000" w:csb1="00000000"/>
    <w:embedRegular r:id="rId6" w:fontKey="{82EE62B2-F7DF-42C5-9A59-1FF8897A6824}"/>
  </w:font>
  <w:font w:name="方正小标宋_GBK">
    <w:altName w:val="微软雅黑"/>
    <w:panose1 w:val="03000509000000000000"/>
    <w:charset w:val="86"/>
    <w:family w:val="script"/>
    <w:pitch w:val="default"/>
    <w:sig w:usb0="00000000" w:usb1="00000000" w:usb2="00000010" w:usb3="00000000" w:csb0="00040000" w:csb1="00000000"/>
    <w:embedRegular r:id="rId7" w:fontKey="{2685D320-A450-4949-A5D8-FA34BD2B2940}"/>
  </w:font>
  <w:font w:name="仿宋">
    <w:panose1 w:val="02010609060101010101"/>
    <w:charset w:val="86"/>
    <w:family w:val="modern"/>
    <w:pitch w:val="default"/>
    <w:sig w:usb0="800002BF" w:usb1="38CF7CFA" w:usb2="00000016" w:usb3="00000000" w:csb0="00040001" w:csb1="00000000"/>
    <w:embedRegular r:id="rId8" w:fontKey="{9B0B24AB-F05E-4C31-A95B-96D1124A843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E6473">
    <w:pPr>
      <w:pStyle w:val="11"/>
      <w:ind w:firstLine="562"/>
      <w:jc w:val="right"/>
      <w:rPr>
        <w:sz w:val="28"/>
        <w:szCs w:val="28"/>
      </w:rPr>
    </w:pPr>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lang w:val="zh-CN"/>
      </w:rPr>
      <w:t>27</w:t>
    </w:r>
    <w:r>
      <w:rPr>
        <w:sz w:val="28"/>
        <w:szCs w:val="28"/>
      </w:rPr>
      <w:fldChar w:fldCharType="end"/>
    </w:r>
    <w:r>
      <w:rPr>
        <w:sz w:val="28"/>
        <w:szCs w:val="28"/>
      </w:rPr>
      <w:t xml:space="preserve"> —</w:t>
    </w:r>
  </w:p>
  <w:p w14:paraId="608B275D">
    <w:pPr>
      <w:pStyle w:val="11"/>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C8BDD1">
    <w:pPr>
      <w:pStyle w:val="11"/>
      <w:ind w:firstLine="422"/>
    </w:pPr>
    <w:bookmarkStart w:id="10" w:name="OLE_LINK6"/>
    <w:r>
      <w:rPr>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lang w:val="zh-CN"/>
      </w:rPr>
      <w:t>26</w:t>
    </w:r>
    <w:r>
      <w:rPr>
        <w:sz w:val="28"/>
        <w:szCs w:val="28"/>
      </w:rPr>
      <w:fldChar w:fldCharType="end"/>
    </w:r>
    <w:r>
      <w:rPr>
        <w:sz w:val="28"/>
        <w:szCs w:val="28"/>
      </w:rPr>
      <w:t xml:space="preserve"> —</w:t>
    </w:r>
    <w:bookmarkEnd w:id="10"/>
  </w:p>
  <w:p w14:paraId="31BFC9F2">
    <w:pPr>
      <w:pStyle w:val="11"/>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trackRevisions w:val="1"/>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M0NDExZjAyZjFmYTQwODViZDc2NGZmNTllMDJhMGIifQ=="/>
  </w:docVars>
  <w:rsids>
    <w:rsidRoot w:val="002533D4"/>
    <w:rsid w:val="00003156"/>
    <w:rsid w:val="00003493"/>
    <w:rsid w:val="00005D32"/>
    <w:rsid w:val="0000618E"/>
    <w:rsid w:val="00006DBA"/>
    <w:rsid w:val="000073AA"/>
    <w:rsid w:val="000074A5"/>
    <w:rsid w:val="00010782"/>
    <w:rsid w:val="000110AA"/>
    <w:rsid w:val="0001394C"/>
    <w:rsid w:val="000139EF"/>
    <w:rsid w:val="00013B03"/>
    <w:rsid w:val="000144F0"/>
    <w:rsid w:val="0001535B"/>
    <w:rsid w:val="00017CB3"/>
    <w:rsid w:val="00020571"/>
    <w:rsid w:val="00020B1E"/>
    <w:rsid w:val="0002174D"/>
    <w:rsid w:val="00022043"/>
    <w:rsid w:val="000223F4"/>
    <w:rsid w:val="0002254A"/>
    <w:rsid w:val="00022A1B"/>
    <w:rsid w:val="000233F3"/>
    <w:rsid w:val="00023DCB"/>
    <w:rsid w:val="00024713"/>
    <w:rsid w:val="00026670"/>
    <w:rsid w:val="0002670D"/>
    <w:rsid w:val="00027EDA"/>
    <w:rsid w:val="00030C95"/>
    <w:rsid w:val="0003125F"/>
    <w:rsid w:val="00031BD0"/>
    <w:rsid w:val="00033BD7"/>
    <w:rsid w:val="00035B4E"/>
    <w:rsid w:val="00040DA8"/>
    <w:rsid w:val="00044235"/>
    <w:rsid w:val="000470D5"/>
    <w:rsid w:val="00047726"/>
    <w:rsid w:val="0005148A"/>
    <w:rsid w:val="00055297"/>
    <w:rsid w:val="000577CB"/>
    <w:rsid w:val="000579EB"/>
    <w:rsid w:val="00061682"/>
    <w:rsid w:val="0006169D"/>
    <w:rsid w:val="00062B75"/>
    <w:rsid w:val="00062FED"/>
    <w:rsid w:val="00063739"/>
    <w:rsid w:val="000650E8"/>
    <w:rsid w:val="00065B62"/>
    <w:rsid w:val="00065D4E"/>
    <w:rsid w:val="00065EBA"/>
    <w:rsid w:val="00067526"/>
    <w:rsid w:val="000676AA"/>
    <w:rsid w:val="00070374"/>
    <w:rsid w:val="00071A37"/>
    <w:rsid w:val="00071CD7"/>
    <w:rsid w:val="00073E31"/>
    <w:rsid w:val="00074890"/>
    <w:rsid w:val="00075704"/>
    <w:rsid w:val="0007690B"/>
    <w:rsid w:val="0007712E"/>
    <w:rsid w:val="000801E2"/>
    <w:rsid w:val="00081A69"/>
    <w:rsid w:val="00082288"/>
    <w:rsid w:val="00087FDA"/>
    <w:rsid w:val="00090439"/>
    <w:rsid w:val="00091C84"/>
    <w:rsid w:val="00092F19"/>
    <w:rsid w:val="00093CF6"/>
    <w:rsid w:val="00095042"/>
    <w:rsid w:val="0009523A"/>
    <w:rsid w:val="000970EA"/>
    <w:rsid w:val="000A04FC"/>
    <w:rsid w:val="000A116A"/>
    <w:rsid w:val="000A2C01"/>
    <w:rsid w:val="000A3004"/>
    <w:rsid w:val="000A32FF"/>
    <w:rsid w:val="000A7604"/>
    <w:rsid w:val="000B0595"/>
    <w:rsid w:val="000B0751"/>
    <w:rsid w:val="000B15E3"/>
    <w:rsid w:val="000B1E8D"/>
    <w:rsid w:val="000B3AB8"/>
    <w:rsid w:val="000B4405"/>
    <w:rsid w:val="000B44A0"/>
    <w:rsid w:val="000B5035"/>
    <w:rsid w:val="000B6EB1"/>
    <w:rsid w:val="000C2025"/>
    <w:rsid w:val="000C2A23"/>
    <w:rsid w:val="000C42DB"/>
    <w:rsid w:val="000C46D4"/>
    <w:rsid w:val="000C5E42"/>
    <w:rsid w:val="000C6B4C"/>
    <w:rsid w:val="000C746B"/>
    <w:rsid w:val="000D07B7"/>
    <w:rsid w:val="000D1382"/>
    <w:rsid w:val="000D2817"/>
    <w:rsid w:val="000D39D7"/>
    <w:rsid w:val="000E3175"/>
    <w:rsid w:val="000E396F"/>
    <w:rsid w:val="000E4C5B"/>
    <w:rsid w:val="000E6245"/>
    <w:rsid w:val="000F38EB"/>
    <w:rsid w:val="000F4588"/>
    <w:rsid w:val="000F4C9F"/>
    <w:rsid w:val="000F507B"/>
    <w:rsid w:val="000F730A"/>
    <w:rsid w:val="001010CC"/>
    <w:rsid w:val="0010164F"/>
    <w:rsid w:val="00101981"/>
    <w:rsid w:val="00102456"/>
    <w:rsid w:val="00103210"/>
    <w:rsid w:val="0010397B"/>
    <w:rsid w:val="00103AE3"/>
    <w:rsid w:val="0010444E"/>
    <w:rsid w:val="00104659"/>
    <w:rsid w:val="00104F8C"/>
    <w:rsid w:val="001051DB"/>
    <w:rsid w:val="0010666D"/>
    <w:rsid w:val="00107934"/>
    <w:rsid w:val="001145BD"/>
    <w:rsid w:val="00114ADB"/>
    <w:rsid w:val="001155C6"/>
    <w:rsid w:val="00115DC2"/>
    <w:rsid w:val="00116145"/>
    <w:rsid w:val="00116677"/>
    <w:rsid w:val="00120745"/>
    <w:rsid w:val="001208A0"/>
    <w:rsid w:val="00120AFE"/>
    <w:rsid w:val="00123540"/>
    <w:rsid w:val="00126E7F"/>
    <w:rsid w:val="00127F61"/>
    <w:rsid w:val="00131B46"/>
    <w:rsid w:val="0013290E"/>
    <w:rsid w:val="0013589A"/>
    <w:rsid w:val="001370B3"/>
    <w:rsid w:val="001457CD"/>
    <w:rsid w:val="00145F20"/>
    <w:rsid w:val="00146430"/>
    <w:rsid w:val="0014736E"/>
    <w:rsid w:val="00150068"/>
    <w:rsid w:val="0015016E"/>
    <w:rsid w:val="001509F0"/>
    <w:rsid w:val="00150D5B"/>
    <w:rsid w:val="00153A6C"/>
    <w:rsid w:val="00155976"/>
    <w:rsid w:val="00156EE9"/>
    <w:rsid w:val="00157D35"/>
    <w:rsid w:val="00160066"/>
    <w:rsid w:val="0016247C"/>
    <w:rsid w:val="00162739"/>
    <w:rsid w:val="00163660"/>
    <w:rsid w:val="0016389B"/>
    <w:rsid w:val="00163A12"/>
    <w:rsid w:val="00163D1F"/>
    <w:rsid w:val="001671D8"/>
    <w:rsid w:val="001672B9"/>
    <w:rsid w:val="00167452"/>
    <w:rsid w:val="00167686"/>
    <w:rsid w:val="0016772E"/>
    <w:rsid w:val="00171545"/>
    <w:rsid w:val="0017420D"/>
    <w:rsid w:val="0017439D"/>
    <w:rsid w:val="00174BBD"/>
    <w:rsid w:val="0017566C"/>
    <w:rsid w:val="00176DDC"/>
    <w:rsid w:val="00176FAD"/>
    <w:rsid w:val="0017756E"/>
    <w:rsid w:val="00177592"/>
    <w:rsid w:val="00177CB9"/>
    <w:rsid w:val="00177CD1"/>
    <w:rsid w:val="0018094D"/>
    <w:rsid w:val="00181708"/>
    <w:rsid w:val="00181869"/>
    <w:rsid w:val="00183315"/>
    <w:rsid w:val="001834CB"/>
    <w:rsid w:val="00183DE1"/>
    <w:rsid w:val="00186D76"/>
    <w:rsid w:val="00187EA0"/>
    <w:rsid w:val="00190CC2"/>
    <w:rsid w:val="00194D93"/>
    <w:rsid w:val="00195058"/>
    <w:rsid w:val="001953C7"/>
    <w:rsid w:val="00195425"/>
    <w:rsid w:val="001A18EF"/>
    <w:rsid w:val="001A1DB0"/>
    <w:rsid w:val="001A1DBC"/>
    <w:rsid w:val="001A1FAF"/>
    <w:rsid w:val="001A2D1F"/>
    <w:rsid w:val="001A30FE"/>
    <w:rsid w:val="001A3907"/>
    <w:rsid w:val="001A6630"/>
    <w:rsid w:val="001A6B82"/>
    <w:rsid w:val="001B0392"/>
    <w:rsid w:val="001B07CE"/>
    <w:rsid w:val="001B3501"/>
    <w:rsid w:val="001B3AA8"/>
    <w:rsid w:val="001B43E6"/>
    <w:rsid w:val="001B7F6C"/>
    <w:rsid w:val="001C0143"/>
    <w:rsid w:val="001C066A"/>
    <w:rsid w:val="001C083D"/>
    <w:rsid w:val="001C0EA9"/>
    <w:rsid w:val="001C19D1"/>
    <w:rsid w:val="001C3926"/>
    <w:rsid w:val="001C5713"/>
    <w:rsid w:val="001C610B"/>
    <w:rsid w:val="001D45CE"/>
    <w:rsid w:val="001D5B87"/>
    <w:rsid w:val="001D5F3C"/>
    <w:rsid w:val="001D701E"/>
    <w:rsid w:val="001D7AAF"/>
    <w:rsid w:val="001D7D5C"/>
    <w:rsid w:val="001E0851"/>
    <w:rsid w:val="001E089F"/>
    <w:rsid w:val="001E1F86"/>
    <w:rsid w:val="001E2A7A"/>
    <w:rsid w:val="001E2DA4"/>
    <w:rsid w:val="001E2F73"/>
    <w:rsid w:val="001E33F8"/>
    <w:rsid w:val="001E3C29"/>
    <w:rsid w:val="001E5DDE"/>
    <w:rsid w:val="001E74D2"/>
    <w:rsid w:val="001F09D2"/>
    <w:rsid w:val="001F1DED"/>
    <w:rsid w:val="001F3838"/>
    <w:rsid w:val="001F6A77"/>
    <w:rsid w:val="001F7039"/>
    <w:rsid w:val="002025BC"/>
    <w:rsid w:val="00202B82"/>
    <w:rsid w:val="002031E7"/>
    <w:rsid w:val="00205D8A"/>
    <w:rsid w:val="00205F25"/>
    <w:rsid w:val="00206C44"/>
    <w:rsid w:val="002128AB"/>
    <w:rsid w:val="00213DCE"/>
    <w:rsid w:val="0021417B"/>
    <w:rsid w:val="00214B47"/>
    <w:rsid w:val="00215C9D"/>
    <w:rsid w:val="00217025"/>
    <w:rsid w:val="0021713A"/>
    <w:rsid w:val="002215E1"/>
    <w:rsid w:val="00221885"/>
    <w:rsid w:val="002220FE"/>
    <w:rsid w:val="00222C17"/>
    <w:rsid w:val="00222DE9"/>
    <w:rsid w:val="00224D7F"/>
    <w:rsid w:val="00226CC0"/>
    <w:rsid w:val="00231147"/>
    <w:rsid w:val="0023226D"/>
    <w:rsid w:val="00232D5F"/>
    <w:rsid w:val="002338F7"/>
    <w:rsid w:val="00235EBA"/>
    <w:rsid w:val="0024002C"/>
    <w:rsid w:val="00240D62"/>
    <w:rsid w:val="00242231"/>
    <w:rsid w:val="002433F6"/>
    <w:rsid w:val="00243AAE"/>
    <w:rsid w:val="00245320"/>
    <w:rsid w:val="00246002"/>
    <w:rsid w:val="00246B04"/>
    <w:rsid w:val="00250D74"/>
    <w:rsid w:val="002519CB"/>
    <w:rsid w:val="0025296D"/>
    <w:rsid w:val="00252B65"/>
    <w:rsid w:val="00252DAC"/>
    <w:rsid w:val="002533D4"/>
    <w:rsid w:val="00253704"/>
    <w:rsid w:val="0025655C"/>
    <w:rsid w:val="00257FF0"/>
    <w:rsid w:val="00260055"/>
    <w:rsid w:val="0026056D"/>
    <w:rsid w:val="00261734"/>
    <w:rsid w:val="002617BE"/>
    <w:rsid w:val="00263D5B"/>
    <w:rsid w:val="00264FA9"/>
    <w:rsid w:val="00266A37"/>
    <w:rsid w:val="002703B7"/>
    <w:rsid w:val="00275050"/>
    <w:rsid w:val="0027520A"/>
    <w:rsid w:val="00275503"/>
    <w:rsid w:val="002774FB"/>
    <w:rsid w:val="002777E2"/>
    <w:rsid w:val="00277868"/>
    <w:rsid w:val="0028122C"/>
    <w:rsid w:val="0028192F"/>
    <w:rsid w:val="00283DCD"/>
    <w:rsid w:val="00283FD5"/>
    <w:rsid w:val="0028413F"/>
    <w:rsid w:val="00284B5E"/>
    <w:rsid w:val="00285154"/>
    <w:rsid w:val="002914AC"/>
    <w:rsid w:val="00294741"/>
    <w:rsid w:val="00296044"/>
    <w:rsid w:val="002A3287"/>
    <w:rsid w:val="002A45B5"/>
    <w:rsid w:val="002A5BF2"/>
    <w:rsid w:val="002A6478"/>
    <w:rsid w:val="002A721E"/>
    <w:rsid w:val="002B0A01"/>
    <w:rsid w:val="002B3A27"/>
    <w:rsid w:val="002B432A"/>
    <w:rsid w:val="002B46A5"/>
    <w:rsid w:val="002B6076"/>
    <w:rsid w:val="002B60E4"/>
    <w:rsid w:val="002C028F"/>
    <w:rsid w:val="002C10C9"/>
    <w:rsid w:val="002C5CBE"/>
    <w:rsid w:val="002C683E"/>
    <w:rsid w:val="002C6851"/>
    <w:rsid w:val="002C7363"/>
    <w:rsid w:val="002D05BF"/>
    <w:rsid w:val="002D07BF"/>
    <w:rsid w:val="002D1913"/>
    <w:rsid w:val="002D2367"/>
    <w:rsid w:val="002D42FA"/>
    <w:rsid w:val="002D55C5"/>
    <w:rsid w:val="002D7054"/>
    <w:rsid w:val="002D7AA4"/>
    <w:rsid w:val="002E5D1F"/>
    <w:rsid w:val="002F04E6"/>
    <w:rsid w:val="002F3CDC"/>
    <w:rsid w:val="002F60C7"/>
    <w:rsid w:val="002F7366"/>
    <w:rsid w:val="002F7CF7"/>
    <w:rsid w:val="00301326"/>
    <w:rsid w:val="003028D2"/>
    <w:rsid w:val="00303231"/>
    <w:rsid w:val="0030366E"/>
    <w:rsid w:val="00304F07"/>
    <w:rsid w:val="00304FA4"/>
    <w:rsid w:val="00306436"/>
    <w:rsid w:val="00306757"/>
    <w:rsid w:val="003069DD"/>
    <w:rsid w:val="00310276"/>
    <w:rsid w:val="00310741"/>
    <w:rsid w:val="00310938"/>
    <w:rsid w:val="00312D12"/>
    <w:rsid w:val="00316B61"/>
    <w:rsid w:val="0032168D"/>
    <w:rsid w:val="003219FD"/>
    <w:rsid w:val="00322945"/>
    <w:rsid w:val="00324C52"/>
    <w:rsid w:val="0032700B"/>
    <w:rsid w:val="00327431"/>
    <w:rsid w:val="00327859"/>
    <w:rsid w:val="00327DE4"/>
    <w:rsid w:val="00330233"/>
    <w:rsid w:val="003332B8"/>
    <w:rsid w:val="003356F5"/>
    <w:rsid w:val="003378B9"/>
    <w:rsid w:val="00340495"/>
    <w:rsid w:val="00340EA8"/>
    <w:rsid w:val="0034155E"/>
    <w:rsid w:val="003423FC"/>
    <w:rsid w:val="003435B3"/>
    <w:rsid w:val="00343B05"/>
    <w:rsid w:val="00344960"/>
    <w:rsid w:val="00345381"/>
    <w:rsid w:val="00345747"/>
    <w:rsid w:val="0034638B"/>
    <w:rsid w:val="00346A69"/>
    <w:rsid w:val="003479DB"/>
    <w:rsid w:val="003500BD"/>
    <w:rsid w:val="00350D88"/>
    <w:rsid w:val="00352C65"/>
    <w:rsid w:val="00352E69"/>
    <w:rsid w:val="0035392D"/>
    <w:rsid w:val="00353F69"/>
    <w:rsid w:val="003541F0"/>
    <w:rsid w:val="00354C8A"/>
    <w:rsid w:val="00356C22"/>
    <w:rsid w:val="00361303"/>
    <w:rsid w:val="0036181B"/>
    <w:rsid w:val="0036339B"/>
    <w:rsid w:val="0036394E"/>
    <w:rsid w:val="00364091"/>
    <w:rsid w:val="00364476"/>
    <w:rsid w:val="00364D9F"/>
    <w:rsid w:val="00364EB8"/>
    <w:rsid w:val="0036660D"/>
    <w:rsid w:val="00371649"/>
    <w:rsid w:val="00372398"/>
    <w:rsid w:val="00372F59"/>
    <w:rsid w:val="00373F69"/>
    <w:rsid w:val="0037448C"/>
    <w:rsid w:val="00374FE2"/>
    <w:rsid w:val="00375616"/>
    <w:rsid w:val="00375DCC"/>
    <w:rsid w:val="00376932"/>
    <w:rsid w:val="003803CD"/>
    <w:rsid w:val="00381719"/>
    <w:rsid w:val="00381C8B"/>
    <w:rsid w:val="003822B6"/>
    <w:rsid w:val="003833EF"/>
    <w:rsid w:val="0038409D"/>
    <w:rsid w:val="003848FF"/>
    <w:rsid w:val="00385A86"/>
    <w:rsid w:val="00386331"/>
    <w:rsid w:val="003869C3"/>
    <w:rsid w:val="00386E4F"/>
    <w:rsid w:val="003925C6"/>
    <w:rsid w:val="003926B7"/>
    <w:rsid w:val="003935B7"/>
    <w:rsid w:val="003940F6"/>
    <w:rsid w:val="00394582"/>
    <w:rsid w:val="003953AE"/>
    <w:rsid w:val="0039587E"/>
    <w:rsid w:val="003965B3"/>
    <w:rsid w:val="003975A5"/>
    <w:rsid w:val="003A08F1"/>
    <w:rsid w:val="003A0B58"/>
    <w:rsid w:val="003A2524"/>
    <w:rsid w:val="003A37AA"/>
    <w:rsid w:val="003A4F00"/>
    <w:rsid w:val="003A5063"/>
    <w:rsid w:val="003A63EA"/>
    <w:rsid w:val="003A7B58"/>
    <w:rsid w:val="003B077E"/>
    <w:rsid w:val="003B0AD1"/>
    <w:rsid w:val="003B0E5C"/>
    <w:rsid w:val="003B222C"/>
    <w:rsid w:val="003B2775"/>
    <w:rsid w:val="003B361C"/>
    <w:rsid w:val="003B37AD"/>
    <w:rsid w:val="003B44C2"/>
    <w:rsid w:val="003B5792"/>
    <w:rsid w:val="003C1106"/>
    <w:rsid w:val="003C1333"/>
    <w:rsid w:val="003C1FAE"/>
    <w:rsid w:val="003C273B"/>
    <w:rsid w:val="003C3586"/>
    <w:rsid w:val="003C4EED"/>
    <w:rsid w:val="003C6E42"/>
    <w:rsid w:val="003C7EA9"/>
    <w:rsid w:val="003D086F"/>
    <w:rsid w:val="003D0BE0"/>
    <w:rsid w:val="003D139B"/>
    <w:rsid w:val="003D503E"/>
    <w:rsid w:val="003D7C92"/>
    <w:rsid w:val="003E0502"/>
    <w:rsid w:val="003E063B"/>
    <w:rsid w:val="003E0B20"/>
    <w:rsid w:val="003E0B38"/>
    <w:rsid w:val="003E1838"/>
    <w:rsid w:val="003E2B70"/>
    <w:rsid w:val="003E3665"/>
    <w:rsid w:val="003E3B8D"/>
    <w:rsid w:val="003E3C82"/>
    <w:rsid w:val="003E49E0"/>
    <w:rsid w:val="003E4B88"/>
    <w:rsid w:val="003E5E52"/>
    <w:rsid w:val="003E77CD"/>
    <w:rsid w:val="003E7C81"/>
    <w:rsid w:val="003F02F0"/>
    <w:rsid w:val="003F5B6A"/>
    <w:rsid w:val="003F6555"/>
    <w:rsid w:val="003F6942"/>
    <w:rsid w:val="003F6B2F"/>
    <w:rsid w:val="00400B5E"/>
    <w:rsid w:val="00403909"/>
    <w:rsid w:val="00404735"/>
    <w:rsid w:val="00405A53"/>
    <w:rsid w:val="00406D03"/>
    <w:rsid w:val="00410039"/>
    <w:rsid w:val="0041056A"/>
    <w:rsid w:val="00411223"/>
    <w:rsid w:val="00412BD3"/>
    <w:rsid w:val="00414FFE"/>
    <w:rsid w:val="004152B4"/>
    <w:rsid w:val="00415F23"/>
    <w:rsid w:val="004164BF"/>
    <w:rsid w:val="00420D75"/>
    <w:rsid w:val="004211E3"/>
    <w:rsid w:val="0042378D"/>
    <w:rsid w:val="00423F63"/>
    <w:rsid w:val="004253BE"/>
    <w:rsid w:val="00427A01"/>
    <w:rsid w:val="00427DC0"/>
    <w:rsid w:val="00427E33"/>
    <w:rsid w:val="004303F7"/>
    <w:rsid w:val="004316BD"/>
    <w:rsid w:val="00431E5A"/>
    <w:rsid w:val="00433130"/>
    <w:rsid w:val="00433806"/>
    <w:rsid w:val="0043785A"/>
    <w:rsid w:val="00437FE7"/>
    <w:rsid w:val="00440151"/>
    <w:rsid w:val="00441345"/>
    <w:rsid w:val="00441DDA"/>
    <w:rsid w:val="00446B7B"/>
    <w:rsid w:val="00446DE3"/>
    <w:rsid w:val="00450BB7"/>
    <w:rsid w:val="0045143D"/>
    <w:rsid w:val="004514CF"/>
    <w:rsid w:val="004515F7"/>
    <w:rsid w:val="00451A05"/>
    <w:rsid w:val="00453550"/>
    <w:rsid w:val="00453B46"/>
    <w:rsid w:val="00454840"/>
    <w:rsid w:val="00455339"/>
    <w:rsid w:val="00455B98"/>
    <w:rsid w:val="00455FDD"/>
    <w:rsid w:val="004560F6"/>
    <w:rsid w:val="00457267"/>
    <w:rsid w:val="0045787E"/>
    <w:rsid w:val="00460316"/>
    <w:rsid w:val="0046218F"/>
    <w:rsid w:val="00463ACA"/>
    <w:rsid w:val="00464420"/>
    <w:rsid w:val="004705E9"/>
    <w:rsid w:val="00471948"/>
    <w:rsid w:val="00472890"/>
    <w:rsid w:val="00473F75"/>
    <w:rsid w:val="0047483B"/>
    <w:rsid w:val="00474ACD"/>
    <w:rsid w:val="0048115B"/>
    <w:rsid w:val="004813E4"/>
    <w:rsid w:val="00485F8C"/>
    <w:rsid w:val="00486B4C"/>
    <w:rsid w:val="00490A86"/>
    <w:rsid w:val="0049269C"/>
    <w:rsid w:val="0049552E"/>
    <w:rsid w:val="00496B2A"/>
    <w:rsid w:val="00497DA4"/>
    <w:rsid w:val="004A2499"/>
    <w:rsid w:val="004A30EE"/>
    <w:rsid w:val="004A4A8D"/>
    <w:rsid w:val="004A57E7"/>
    <w:rsid w:val="004A59B4"/>
    <w:rsid w:val="004A6F56"/>
    <w:rsid w:val="004B3855"/>
    <w:rsid w:val="004B3C0E"/>
    <w:rsid w:val="004B52F9"/>
    <w:rsid w:val="004B5FAA"/>
    <w:rsid w:val="004B608E"/>
    <w:rsid w:val="004B669D"/>
    <w:rsid w:val="004C034F"/>
    <w:rsid w:val="004C1396"/>
    <w:rsid w:val="004C197D"/>
    <w:rsid w:val="004C1BF6"/>
    <w:rsid w:val="004C3998"/>
    <w:rsid w:val="004C4813"/>
    <w:rsid w:val="004C4A27"/>
    <w:rsid w:val="004C5F83"/>
    <w:rsid w:val="004C7A88"/>
    <w:rsid w:val="004D0FFE"/>
    <w:rsid w:val="004D1F54"/>
    <w:rsid w:val="004D2100"/>
    <w:rsid w:val="004D3C22"/>
    <w:rsid w:val="004D502A"/>
    <w:rsid w:val="004D636D"/>
    <w:rsid w:val="004E1DF0"/>
    <w:rsid w:val="004E5770"/>
    <w:rsid w:val="004E5FF0"/>
    <w:rsid w:val="004E604E"/>
    <w:rsid w:val="004E6AA1"/>
    <w:rsid w:val="004E7E22"/>
    <w:rsid w:val="004F0897"/>
    <w:rsid w:val="004F166F"/>
    <w:rsid w:val="004F20F8"/>
    <w:rsid w:val="004F2835"/>
    <w:rsid w:val="004F4C65"/>
    <w:rsid w:val="004F4D92"/>
    <w:rsid w:val="004F582A"/>
    <w:rsid w:val="004F60B3"/>
    <w:rsid w:val="004F71DE"/>
    <w:rsid w:val="004F7EF9"/>
    <w:rsid w:val="00500B70"/>
    <w:rsid w:val="005010AA"/>
    <w:rsid w:val="005021B3"/>
    <w:rsid w:val="005024FA"/>
    <w:rsid w:val="0050259C"/>
    <w:rsid w:val="005028CD"/>
    <w:rsid w:val="005031F5"/>
    <w:rsid w:val="00505992"/>
    <w:rsid w:val="00506564"/>
    <w:rsid w:val="0050687F"/>
    <w:rsid w:val="00506D11"/>
    <w:rsid w:val="00510FB8"/>
    <w:rsid w:val="00514CB8"/>
    <w:rsid w:val="005200C2"/>
    <w:rsid w:val="005219C0"/>
    <w:rsid w:val="00521CEB"/>
    <w:rsid w:val="00521E34"/>
    <w:rsid w:val="005235C7"/>
    <w:rsid w:val="00523B2C"/>
    <w:rsid w:val="0052469F"/>
    <w:rsid w:val="0052558E"/>
    <w:rsid w:val="005262E7"/>
    <w:rsid w:val="0053092F"/>
    <w:rsid w:val="00530F55"/>
    <w:rsid w:val="00531080"/>
    <w:rsid w:val="00531AED"/>
    <w:rsid w:val="00532001"/>
    <w:rsid w:val="00532193"/>
    <w:rsid w:val="005350EF"/>
    <w:rsid w:val="005351D1"/>
    <w:rsid w:val="0053599C"/>
    <w:rsid w:val="00535E2F"/>
    <w:rsid w:val="00536BB0"/>
    <w:rsid w:val="0053709E"/>
    <w:rsid w:val="00537976"/>
    <w:rsid w:val="00540693"/>
    <w:rsid w:val="005426EE"/>
    <w:rsid w:val="00545705"/>
    <w:rsid w:val="0054571A"/>
    <w:rsid w:val="0054684B"/>
    <w:rsid w:val="00546EC2"/>
    <w:rsid w:val="00547042"/>
    <w:rsid w:val="00547B77"/>
    <w:rsid w:val="005510D8"/>
    <w:rsid w:val="00552286"/>
    <w:rsid w:val="00552FA8"/>
    <w:rsid w:val="005539C7"/>
    <w:rsid w:val="00553E97"/>
    <w:rsid w:val="005555BF"/>
    <w:rsid w:val="00555930"/>
    <w:rsid w:val="00556F63"/>
    <w:rsid w:val="0055763B"/>
    <w:rsid w:val="005576CD"/>
    <w:rsid w:val="00560199"/>
    <w:rsid w:val="00560D81"/>
    <w:rsid w:val="00561F07"/>
    <w:rsid w:val="00562314"/>
    <w:rsid w:val="005632FA"/>
    <w:rsid w:val="005638A5"/>
    <w:rsid w:val="00563946"/>
    <w:rsid w:val="00563E34"/>
    <w:rsid w:val="00564042"/>
    <w:rsid w:val="00564175"/>
    <w:rsid w:val="005660C3"/>
    <w:rsid w:val="00566A5B"/>
    <w:rsid w:val="005675C7"/>
    <w:rsid w:val="00572003"/>
    <w:rsid w:val="00572151"/>
    <w:rsid w:val="0057254F"/>
    <w:rsid w:val="00572D48"/>
    <w:rsid w:val="005742C5"/>
    <w:rsid w:val="00574C49"/>
    <w:rsid w:val="00574E92"/>
    <w:rsid w:val="0057519D"/>
    <w:rsid w:val="00576706"/>
    <w:rsid w:val="00577A97"/>
    <w:rsid w:val="00581AB7"/>
    <w:rsid w:val="00582C24"/>
    <w:rsid w:val="00582FDF"/>
    <w:rsid w:val="00584C30"/>
    <w:rsid w:val="005852C5"/>
    <w:rsid w:val="00585CEC"/>
    <w:rsid w:val="0058662B"/>
    <w:rsid w:val="005869F0"/>
    <w:rsid w:val="00586D3B"/>
    <w:rsid w:val="00587CBC"/>
    <w:rsid w:val="00587CC3"/>
    <w:rsid w:val="00587E36"/>
    <w:rsid w:val="00594BD6"/>
    <w:rsid w:val="0059759D"/>
    <w:rsid w:val="005A021C"/>
    <w:rsid w:val="005A02AB"/>
    <w:rsid w:val="005A1665"/>
    <w:rsid w:val="005A27C4"/>
    <w:rsid w:val="005A410D"/>
    <w:rsid w:val="005A49B0"/>
    <w:rsid w:val="005A5099"/>
    <w:rsid w:val="005A6A02"/>
    <w:rsid w:val="005A7776"/>
    <w:rsid w:val="005B1652"/>
    <w:rsid w:val="005B1B07"/>
    <w:rsid w:val="005B25B6"/>
    <w:rsid w:val="005B4DF6"/>
    <w:rsid w:val="005B7145"/>
    <w:rsid w:val="005B7DE4"/>
    <w:rsid w:val="005C0BD3"/>
    <w:rsid w:val="005C0ED1"/>
    <w:rsid w:val="005C150C"/>
    <w:rsid w:val="005C1B87"/>
    <w:rsid w:val="005C1BFB"/>
    <w:rsid w:val="005C1D32"/>
    <w:rsid w:val="005C2BB7"/>
    <w:rsid w:val="005C3273"/>
    <w:rsid w:val="005C4B0A"/>
    <w:rsid w:val="005C51FC"/>
    <w:rsid w:val="005C5442"/>
    <w:rsid w:val="005C563C"/>
    <w:rsid w:val="005C692E"/>
    <w:rsid w:val="005C6AD0"/>
    <w:rsid w:val="005D0421"/>
    <w:rsid w:val="005D1C49"/>
    <w:rsid w:val="005D2D58"/>
    <w:rsid w:val="005D3BDC"/>
    <w:rsid w:val="005D40E3"/>
    <w:rsid w:val="005D71B3"/>
    <w:rsid w:val="005D7722"/>
    <w:rsid w:val="005D7828"/>
    <w:rsid w:val="005D7A7B"/>
    <w:rsid w:val="005E238F"/>
    <w:rsid w:val="005E3A33"/>
    <w:rsid w:val="005E598E"/>
    <w:rsid w:val="005E6227"/>
    <w:rsid w:val="005E71B7"/>
    <w:rsid w:val="005F3DC1"/>
    <w:rsid w:val="005F44BD"/>
    <w:rsid w:val="005F4667"/>
    <w:rsid w:val="005F7BCC"/>
    <w:rsid w:val="0060059F"/>
    <w:rsid w:val="00600B43"/>
    <w:rsid w:val="006012A9"/>
    <w:rsid w:val="00602AED"/>
    <w:rsid w:val="006037B0"/>
    <w:rsid w:val="0060408F"/>
    <w:rsid w:val="0060536E"/>
    <w:rsid w:val="00607359"/>
    <w:rsid w:val="006078DD"/>
    <w:rsid w:val="00613725"/>
    <w:rsid w:val="00615D25"/>
    <w:rsid w:val="00620CEE"/>
    <w:rsid w:val="00621758"/>
    <w:rsid w:val="00621EC6"/>
    <w:rsid w:val="006239BA"/>
    <w:rsid w:val="00623D51"/>
    <w:rsid w:val="00623EBA"/>
    <w:rsid w:val="00624D92"/>
    <w:rsid w:val="0062539A"/>
    <w:rsid w:val="006254DA"/>
    <w:rsid w:val="006268FB"/>
    <w:rsid w:val="00627310"/>
    <w:rsid w:val="00627606"/>
    <w:rsid w:val="00631010"/>
    <w:rsid w:val="00633135"/>
    <w:rsid w:val="00633D8D"/>
    <w:rsid w:val="00633E6D"/>
    <w:rsid w:val="006340BD"/>
    <w:rsid w:val="006349A0"/>
    <w:rsid w:val="00634CF6"/>
    <w:rsid w:val="00635B7E"/>
    <w:rsid w:val="00636329"/>
    <w:rsid w:val="00636B72"/>
    <w:rsid w:val="00637986"/>
    <w:rsid w:val="00641D83"/>
    <w:rsid w:val="00643AB4"/>
    <w:rsid w:val="00650790"/>
    <w:rsid w:val="00650BE4"/>
    <w:rsid w:val="00650D24"/>
    <w:rsid w:val="00652E20"/>
    <w:rsid w:val="006557CC"/>
    <w:rsid w:val="00655A5A"/>
    <w:rsid w:val="0065655F"/>
    <w:rsid w:val="006600AA"/>
    <w:rsid w:val="00666E23"/>
    <w:rsid w:val="006702FC"/>
    <w:rsid w:val="00670733"/>
    <w:rsid w:val="00670E24"/>
    <w:rsid w:val="00671186"/>
    <w:rsid w:val="006714B7"/>
    <w:rsid w:val="0067270A"/>
    <w:rsid w:val="006733C9"/>
    <w:rsid w:val="00673505"/>
    <w:rsid w:val="00673F2A"/>
    <w:rsid w:val="006748AC"/>
    <w:rsid w:val="006769DE"/>
    <w:rsid w:val="00677E7C"/>
    <w:rsid w:val="00680AB2"/>
    <w:rsid w:val="00680C42"/>
    <w:rsid w:val="00681546"/>
    <w:rsid w:val="006815E1"/>
    <w:rsid w:val="00681D77"/>
    <w:rsid w:val="0068246D"/>
    <w:rsid w:val="00682FB7"/>
    <w:rsid w:val="0068341F"/>
    <w:rsid w:val="006868BE"/>
    <w:rsid w:val="00687540"/>
    <w:rsid w:val="00692531"/>
    <w:rsid w:val="00695177"/>
    <w:rsid w:val="0069633C"/>
    <w:rsid w:val="00696C84"/>
    <w:rsid w:val="006973A0"/>
    <w:rsid w:val="006A0C00"/>
    <w:rsid w:val="006A1BAF"/>
    <w:rsid w:val="006A2D61"/>
    <w:rsid w:val="006A30E5"/>
    <w:rsid w:val="006A3CF5"/>
    <w:rsid w:val="006A441D"/>
    <w:rsid w:val="006A4864"/>
    <w:rsid w:val="006B4B61"/>
    <w:rsid w:val="006B5C00"/>
    <w:rsid w:val="006B7BBB"/>
    <w:rsid w:val="006B7EB1"/>
    <w:rsid w:val="006B7F2D"/>
    <w:rsid w:val="006C0F8D"/>
    <w:rsid w:val="006C242B"/>
    <w:rsid w:val="006C4F4D"/>
    <w:rsid w:val="006C5389"/>
    <w:rsid w:val="006C58E2"/>
    <w:rsid w:val="006C599E"/>
    <w:rsid w:val="006C6621"/>
    <w:rsid w:val="006D0C70"/>
    <w:rsid w:val="006D22B9"/>
    <w:rsid w:val="006D2F07"/>
    <w:rsid w:val="006D4FFB"/>
    <w:rsid w:val="006D547D"/>
    <w:rsid w:val="006D5AFB"/>
    <w:rsid w:val="006D6CC6"/>
    <w:rsid w:val="006D7109"/>
    <w:rsid w:val="006D77D2"/>
    <w:rsid w:val="006E129D"/>
    <w:rsid w:val="006E226B"/>
    <w:rsid w:val="006E256D"/>
    <w:rsid w:val="006E2922"/>
    <w:rsid w:val="006E2998"/>
    <w:rsid w:val="006E3587"/>
    <w:rsid w:val="006E4924"/>
    <w:rsid w:val="006E51D9"/>
    <w:rsid w:val="006E6DBB"/>
    <w:rsid w:val="006F15E5"/>
    <w:rsid w:val="006F2588"/>
    <w:rsid w:val="006F358A"/>
    <w:rsid w:val="006F4AAB"/>
    <w:rsid w:val="006F4C26"/>
    <w:rsid w:val="006F634B"/>
    <w:rsid w:val="00701008"/>
    <w:rsid w:val="0070125A"/>
    <w:rsid w:val="00702007"/>
    <w:rsid w:val="0070578D"/>
    <w:rsid w:val="00706405"/>
    <w:rsid w:val="00707908"/>
    <w:rsid w:val="007101E5"/>
    <w:rsid w:val="0071124E"/>
    <w:rsid w:val="007122DA"/>
    <w:rsid w:val="00712F35"/>
    <w:rsid w:val="007143CD"/>
    <w:rsid w:val="00720241"/>
    <w:rsid w:val="0072184E"/>
    <w:rsid w:val="00721E22"/>
    <w:rsid w:val="007311E0"/>
    <w:rsid w:val="00732729"/>
    <w:rsid w:val="00732FD7"/>
    <w:rsid w:val="00734015"/>
    <w:rsid w:val="007341A8"/>
    <w:rsid w:val="00735091"/>
    <w:rsid w:val="00736440"/>
    <w:rsid w:val="007365C2"/>
    <w:rsid w:val="00736B05"/>
    <w:rsid w:val="0073716D"/>
    <w:rsid w:val="00740389"/>
    <w:rsid w:val="00740C08"/>
    <w:rsid w:val="007507A4"/>
    <w:rsid w:val="00752CF7"/>
    <w:rsid w:val="007536D1"/>
    <w:rsid w:val="00753B4A"/>
    <w:rsid w:val="00753CCF"/>
    <w:rsid w:val="00753E3E"/>
    <w:rsid w:val="00754B24"/>
    <w:rsid w:val="007570DF"/>
    <w:rsid w:val="00761119"/>
    <w:rsid w:val="007616C9"/>
    <w:rsid w:val="0076174A"/>
    <w:rsid w:val="007629B4"/>
    <w:rsid w:val="00763991"/>
    <w:rsid w:val="007648A2"/>
    <w:rsid w:val="007674A7"/>
    <w:rsid w:val="0077087C"/>
    <w:rsid w:val="007751A1"/>
    <w:rsid w:val="00775F79"/>
    <w:rsid w:val="00776FDC"/>
    <w:rsid w:val="0078053D"/>
    <w:rsid w:val="007811BF"/>
    <w:rsid w:val="007820BB"/>
    <w:rsid w:val="0078293F"/>
    <w:rsid w:val="00783DCD"/>
    <w:rsid w:val="00783F7B"/>
    <w:rsid w:val="007849B5"/>
    <w:rsid w:val="0078675C"/>
    <w:rsid w:val="00790927"/>
    <w:rsid w:val="00790DC7"/>
    <w:rsid w:val="00790EB6"/>
    <w:rsid w:val="007910A0"/>
    <w:rsid w:val="00791E02"/>
    <w:rsid w:val="007924E2"/>
    <w:rsid w:val="00792D8A"/>
    <w:rsid w:val="00793921"/>
    <w:rsid w:val="00793EBF"/>
    <w:rsid w:val="00794A42"/>
    <w:rsid w:val="00794DB7"/>
    <w:rsid w:val="007958A4"/>
    <w:rsid w:val="00797BE6"/>
    <w:rsid w:val="007A06E7"/>
    <w:rsid w:val="007A3586"/>
    <w:rsid w:val="007A3622"/>
    <w:rsid w:val="007A3A84"/>
    <w:rsid w:val="007A545B"/>
    <w:rsid w:val="007A5A9E"/>
    <w:rsid w:val="007B10D5"/>
    <w:rsid w:val="007B1C37"/>
    <w:rsid w:val="007B204D"/>
    <w:rsid w:val="007B2262"/>
    <w:rsid w:val="007B4A4F"/>
    <w:rsid w:val="007B53FE"/>
    <w:rsid w:val="007B5FF0"/>
    <w:rsid w:val="007B6BD9"/>
    <w:rsid w:val="007C4ECF"/>
    <w:rsid w:val="007C5FC4"/>
    <w:rsid w:val="007C6DDE"/>
    <w:rsid w:val="007D1170"/>
    <w:rsid w:val="007D1BB9"/>
    <w:rsid w:val="007D2C2F"/>
    <w:rsid w:val="007D4321"/>
    <w:rsid w:val="007D600B"/>
    <w:rsid w:val="007E0E06"/>
    <w:rsid w:val="007E3714"/>
    <w:rsid w:val="007E4D89"/>
    <w:rsid w:val="007E607A"/>
    <w:rsid w:val="007E60A2"/>
    <w:rsid w:val="007E77BA"/>
    <w:rsid w:val="007E7ECC"/>
    <w:rsid w:val="007F06F2"/>
    <w:rsid w:val="007F080D"/>
    <w:rsid w:val="007F211F"/>
    <w:rsid w:val="007F2F50"/>
    <w:rsid w:val="007F3A04"/>
    <w:rsid w:val="007F4D3F"/>
    <w:rsid w:val="007F4DE2"/>
    <w:rsid w:val="007F5D28"/>
    <w:rsid w:val="007F63CF"/>
    <w:rsid w:val="007F6DC4"/>
    <w:rsid w:val="00800419"/>
    <w:rsid w:val="0080048D"/>
    <w:rsid w:val="00800E21"/>
    <w:rsid w:val="0080275D"/>
    <w:rsid w:val="008032F2"/>
    <w:rsid w:val="008057C6"/>
    <w:rsid w:val="00805869"/>
    <w:rsid w:val="00805ED5"/>
    <w:rsid w:val="0080733E"/>
    <w:rsid w:val="0081005D"/>
    <w:rsid w:val="00810EAA"/>
    <w:rsid w:val="00811D80"/>
    <w:rsid w:val="0081203A"/>
    <w:rsid w:val="0081433E"/>
    <w:rsid w:val="0081478F"/>
    <w:rsid w:val="00814DA0"/>
    <w:rsid w:val="008153B4"/>
    <w:rsid w:val="00816A8C"/>
    <w:rsid w:val="00816F5C"/>
    <w:rsid w:val="00820134"/>
    <w:rsid w:val="0082063F"/>
    <w:rsid w:val="00821F9E"/>
    <w:rsid w:val="008233A9"/>
    <w:rsid w:val="00823CBC"/>
    <w:rsid w:val="00825C5D"/>
    <w:rsid w:val="00825CB0"/>
    <w:rsid w:val="00826354"/>
    <w:rsid w:val="0083001B"/>
    <w:rsid w:val="0083227F"/>
    <w:rsid w:val="00832A40"/>
    <w:rsid w:val="00832DDF"/>
    <w:rsid w:val="00834C57"/>
    <w:rsid w:val="00835A65"/>
    <w:rsid w:val="0084055A"/>
    <w:rsid w:val="00840A4D"/>
    <w:rsid w:val="00841077"/>
    <w:rsid w:val="00841D5F"/>
    <w:rsid w:val="00842DFB"/>
    <w:rsid w:val="008445EC"/>
    <w:rsid w:val="00844727"/>
    <w:rsid w:val="008456F4"/>
    <w:rsid w:val="00845CEC"/>
    <w:rsid w:val="00846048"/>
    <w:rsid w:val="008472C5"/>
    <w:rsid w:val="008478A2"/>
    <w:rsid w:val="00850206"/>
    <w:rsid w:val="00850D83"/>
    <w:rsid w:val="0085507B"/>
    <w:rsid w:val="00856F11"/>
    <w:rsid w:val="00857036"/>
    <w:rsid w:val="0085728E"/>
    <w:rsid w:val="00857BFD"/>
    <w:rsid w:val="00862771"/>
    <w:rsid w:val="0086375E"/>
    <w:rsid w:val="00864168"/>
    <w:rsid w:val="00864CAF"/>
    <w:rsid w:val="0086590D"/>
    <w:rsid w:val="00865AEE"/>
    <w:rsid w:val="00865C6F"/>
    <w:rsid w:val="0086658F"/>
    <w:rsid w:val="00866F2F"/>
    <w:rsid w:val="00867178"/>
    <w:rsid w:val="00867ECB"/>
    <w:rsid w:val="008708BE"/>
    <w:rsid w:val="0087129E"/>
    <w:rsid w:val="00872B68"/>
    <w:rsid w:val="00874F9C"/>
    <w:rsid w:val="008755D3"/>
    <w:rsid w:val="008759B3"/>
    <w:rsid w:val="008762C4"/>
    <w:rsid w:val="008772E8"/>
    <w:rsid w:val="00880A53"/>
    <w:rsid w:val="0088424A"/>
    <w:rsid w:val="0088473A"/>
    <w:rsid w:val="00884971"/>
    <w:rsid w:val="008871E4"/>
    <w:rsid w:val="00890963"/>
    <w:rsid w:val="00890D8F"/>
    <w:rsid w:val="00892C65"/>
    <w:rsid w:val="00892E8D"/>
    <w:rsid w:val="0089374C"/>
    <w:rsid w:val="00893C70"/>
    <w:rsid w:val="00894328"/>
    <w:rsid w:val="008945B5"/>
    <w:rsid w:val="00896CE1"/>
    <w:rsid w:val="008A21C5"/>
    <w:rsid w:val="008A287F"/>
    <w:rsid w:val="008A37CF"/>
    <w:rsid w:val="008A4521"/>
    <w:rsid w:val="008A560D"/>
    <w:rsid w:val="008A5DD5"/>
    <w:rsid w:val="008B0C54"/>
    <w:rsid w:val="008B210F"/>
    <w:rsid w:val="008B2E2C"/>
    <w:rsid w:val="008B533E"/>
    <w:rsid w:val="008B5AEE"/>
    <w:rsid w:val="008B63E7"/>
    <w:rsid w:val="008B65A0"/>
    <w:rsid w:val="008B6732"/>
    <w:rsid w:val="008B6C96"/>
    <w:rsid w:val="008B7545"/>
    <w:rsid w:val="008B78FB"/>
    <w:rsid w:val="008C2F3C"/>
    <w:rsid w:val="008C4C6E"/>
    <w:rsid w:val="008C5B7B"/>
    <w:rsid w:val="008C5EDA"/>
    <w:rsid w:val="008C6771"/>
    <w:rsid w:val="008C6F1F"/>
    <w:rsid w:val="008C7657"/>
    <w:rsid w:val="008D01DA"/>
    <w:rsid w:val="008D08CE"/>
    <w:rsid w:val="008D2989"/>
    <w:rsid w:val="008D3783"/>
    <w:rsid w:val="008D42C3"/>
    <w:rsid w:val="008D5155"/>
    <w:rsid w:val="008D5277"/>
    <w:rsid w:val="008D6A75"/>
    <w:rsid w:val="008D6C52"/>
    <w:rsid w:val="008D7472"/>
    <w:rsid w:val="008D7727"/>
    <w:rsid w:val="008E0076"/>
    <w:rsid w:val="008E0736"/>
    <w:rsid w:val="008E0B97"/>
    <w:rsid w:val="008E190D"/>
    <w:rsid w:val="008E4286"/>
    <w:rsid w:val="008E5A11"/>
    <w:rsid w:val="008E6FA5"/>
    <w:rsid w:val="008E73C5"/>
    <w:rsid w:val="008F0961"/>
    <w:rsid w:val="008F0C96"/>
    <w:rsid w:val="008F1644"/>
    <w:rsid w:val="008F16F3"/>
    <w:rsid w:val="008F23D7"/>
    <w:rsid w:val="008F4582"/>
    <w:rsid w:val="008F4F27"/>
    <w:rsid w:val="008F53B7"/>
    <w:rsid w:val="008F5A2C"/>
    <w:rsid w:val="008F5B9A"/>
    <w:rsid w:val="008F6545"/>
    <w:rsid w:val="008F6B8F"/>
    <w:rsid w:val="008F6CE0"/>
    <w:rsid w:val="008F74B1"/>
    <w:rsid w:val="008F786B"/>
    <w:rsid w:val="00901E71"/>
    <w:rsid w:val="00903695"/>
    <w:rsid w:val="00904168"/>
    <w:rsid w:val="00905E71"/>
    <w:rsid w:val="0091182E"/>
    <w:rsid w:val="00912343"/>
    <w:rsid w:val="009123C8"/>
    <w:rsid w:val="009132D0"/>
    <w:rsid w:val="009160AB"/>
    <w:rsid w:val="00916568"/>
    <w:rsid w:val="009171E4"/>
    <w:rsid w:val="00920331"/>
    <w:rsid w:val="00921C96"/>
    <w:rsid w:val="00921DC6"/>
    <w:rsid w:val="00924356"/>
    <w:rsid w:val="00924433"/>
    <w:rsid w:val="00932D52"/>
    <w:rsid w:val="00933257"/>
    <w:rsid w:val="00933A74"/>
    <w:rsid w:val="00933C83"/>
    <w:rsid w:val="00934778"/>
    <w:rsid w:val="00934D6D"/>
    <w:rsid w:val="00934E96"/>
    <w:rsid w:val="009405D2"/>
    <w:rsid w:val="00941E94"/>
    <w:rsid w:val="00941F9E"/>
    <w:rsid w:val="009427B4"/>
    <w:rsid w:val="00944EEF"/>
    <w:rsid w:val="009458FC"/>
    <w:rsid w:val="0094719D"/>
    <w:rsid w:val="0094736D"/>
    <w:rsid w:val="009503B4"/>
    <w:rsid w:val="00950975"/>
    <w:rsid w:val="0095237E"/>
    <w:rsid w:val="009525B9"/>
    <w:rsid w:val="00953997"/>
    <w:rsid w:val="00953B14"/>
    <w:rsid w:val="00953ED3"/>
    <w:rsid w:val="009544F0"/>
    <w:rsid w:val="00955BF9"/>
    <w:rsid w:val="00956F8E"/>
    <w:rsid w:val="00957294"/>
    <w:rsid w:val="00961448"/>
    <w:rsid w:val="00963D04"/>
    <w:rsid w:val="00964B4A"/>
    <w:rsid w:val="009655E8"/>
    <w:rsid w:val="0096575D"/>
    <w:rsid w:val="0097082F"/>
    <w:rsid w:val="00970903"/>
    <w:rsid w:val="0097155E"/>
    <w:rsid w:val="00973827"/>
    <w:rsid w:val="009749DE"/>
    <w:rsid w:val="0097560B"/>
    <w:rsid w:val="00977E7C"/>
    <w:rsid w:val="00980535"/>
    <w:rsid w:val="009812DC"/>
    <w:rsid w:val="0098141A"/>
    <w:rsid w:val="00981A34"/>
    <w:rsid w:val="00983CA3"/>
    <w:rsid w:val="009857E1"/>
    <w:rsid w:val="00986968"/>
    <w:rsid w:val="00986B66"/>
    <w:rsid w:val="0099060C"/>
    <w:rsid w:val="00990CDB"/>
    <w:rsid w:val="00991303"/>
    <w:rsid w:val="009919A9"/>
    <w:rsid w:val="00991A81"/>
    <w:rsid w:val="009921AF"/>
    <w:rsid w:val="0099228F"/>
    <w:rsid w:val="0099462A"/>
    <w:rsid w:val="00995108"/>
    <w:rsid w:val="00995890"/>
    <w:rsid w:val="0099635E"/>
    <w:rsid w:val="009A0F9F"/>
    <w:rsid w:val="009A43F6"/>
    <w:rsid w:val="009B0082"/>
    <w:rsid w:val="009B0A77"/>
    <w:rsid w:val="009B0E4C"/>
    <w:rsid w:val="009B28F1"/>
    <w:rsid w:val="009B2FFE"/>
    <w:rsid w:val="009B4629"/>
    <w:rsid w:val="009B6272"/>
    <w:rsid w:val="009C0644"/>
    <w:rsid w:val="009C07E8"/>
    <w:rsid w:val="009C0A66"/>
    <w:rsid w:val="009C14B0"/>
    <w:rsid w:val="009C30D8"/>
    <w:rsid w:val="009C36FF"/>
    <w:rsid w:val="009C3855"/>
    <w:rsid w:val="009C4021"/>
    <w:rsid w:val="009C7678"/>
    <w:rsid w:val="009C7811"/>
    <w:rsid w:val="009D0124"/>
    <w:rsid w:val="009D05BD"/>
    <w:rsid w:val="009D0EDD"/>
    <w:rsid w:val="009D1A20"/>
    <w:rsid w:val="009D3023"/>
    <w:rsid w:val="009D5925"/>
    <w:rsid w:val="009D5CD1"/>
    <w:rsid w:val="009D646C"/>
    <w:rsid w:val="009D7B92"/>
    <w:rsid w:val="009E1096"/>
    <w:rsid w:val="009E276D"/>
    <w:rsid w:val="009E29EB"/>
    <w:rsid w:val="009E4FBD"/>
    <w:rsid w:val="009E763F"/>
    <w:rsid w:val="009E7E67"/>
    <w:rsid w:val="009F134B"/>
    <w:rsid w:val="009F2D25"/>
    <w:rsid w:val="009F2D4B"/>
    <w:rsid w:val="009F3975"/>
    <w:rsid w:val="009F3C63"/>
    <w:rsid w:val="009F4C3C"/>
    <w:rsid w:val="009F5377"/>
    <w:rsid w:val="009F779D"/>
    <w:rsid w:val="00A0215A"/>
    <w:rsid w:val="00A04216"/>
    <w:rsid w:val="00A06FB6"/>
    <w:rsid w:val="00A0781D"/>
    <w:rsid w:val="00A11062"/>
    <w:rsid w:val="00A11077"/>
    <w:rsid w:val="00A11BC4"/>
    <w:rsid w:val="00A12ABE"/>
    <w:rsid w:val="00A12CEC"/>
    <w:rsid w:val="00A13F48"/>
    <w:rsid w:val="00A14B05"/>
    <w:rsid w:val="00A1549B"/>
    <w:rsid w:val="00A157DE"/>
    <w:rsid w:val="00A21B9A"/>
    <w:rsid w:val="00A231B4"/>
    <w:rsid w:val="00A25865"/>
    <w:rsid w:val="00A266D9"/>
    <w:rsid w:val="00A2672B"/>
    <w:rsid w:val="00A268A9"/>
    <w:rsid w:val="00A26A37"/>
    <w:rsid w:val="00A30741"/>
    <w:rsid w:val="00A3122D"/>
    <w:rsid w:val="00A323D0"/>
    <w:rsid w:val="00A37860"/>
    <w:rsid w:val="00A405C9"/>
    <w:rsid w:val="00A40FC0"/>
    <w:rsid w:val="00A439AB"/>
    <w:rsid w:val="00A443EC"/>
    <w:rsid w:val="00A4457B"/>
    <w:rsid w:val="00A46AA0"/>
    <w:rsid w:val="00A479C1"/>
    <w:rsid w:val="00A501BF"/>
    <w:rsid w:val="00A52B1F"/>
    <w:rsid w:val="00A53ED2"/>
    <w:rsid w:val="00A5448B"/>
    <w:rsid w:val="00A547EF"/>
    <w:rsid w:val="00A55059"/>
    <w:rsid w:val="00A5546D"/>
    <w:rsid w:val="00A56572"/>
    <w:rsid w:val="00A56C64"/>
    <w:rsid w:val="00A60089"/>
    <w:rsid w:val="00A60C82"/>
    <w:rsid w:val="00A6133E"/>
    <w:rsid w:val="00A63914"/>
    <w:rsid w:val="00A64057"/>
    <w:rsid w:val="00A66F98"/>
    <w:rsid w:val="00A672F3"/>
    <w:rsid w:val="00A7070B"/>
    <w:rsid w:val="00A70C41"/>
    <w:rsid w:val="00A71AA8"/>
    <w:rsid w:val="00A726C9"/>
    <w:rsid w:val="00A741D5"/>
    <w:rsid w:val="00A768D9"/>
    <w:rsid w:val="00A76B30"/>
    <w:rsid w:val="00A7727E"/>
    <w:rsid w:val="00A80BFB"/>
    <w:rsid w:val="00A80F4A"/>
    <w:rsid w:val="00A81FAF"/>
    <w:rsid w:val="00A84EB7"/>
    <w:rsid w:val="00A850AF"/>
    <w:rsid w:val="00A86031"/>
    <w:rsid w:val="00A92816"/>
    <w:rsid w:val="00A92C05"/>
    <w:rsid w:val="00A93708"/>
    <w:rsid w:val="00A9476F"/>
    <w:rsid w:val="00A94D5C"/>
    <w:rsid w:val="00A97B4B"/>
    <w:rsid w:val="00AA2D63"/>
    <w:rsid w:val="00AA467E"/>
    <w:rsid w:val="00AA4910"/>
    <w:rsid w:val="00AA499F"/>
    <w:rsid w:val="00AA5AB6"/>
    <w:rsid w:val="00AA6342"/>
    <w:rsid w:val="00AA694A"/>
    <w:rsid w:val="00AA7085"/>
    <w:rsid w:val="00AA7E77"/>
    <w:rsid w:val="00AB01E9"/>
    <w:rsid w:val="00AB0428"/>
    <w:rsid w:val="00AB09B4"/>
    <w:rsid w:val="00AB0E1B"/>
    <w:rsid w:val="00AB23C9"/>
    <w:rsid w:val="00AB2FF2"/>
    <w:rsid w:val="00AB6212"/>
    <w:rsid w:val="00AB6E7E"/>
    <w:rsid w:val="00AC0269"/>
    <w:rsid w:val="00AC0DB6"/>
    <w:rsid w:val="00AC1163"/>
    <w:rsid w:val="00AC1514"/>
    <w:rsid w:val="00AC16DB"/>
    <w:rsid w:val="00AC2858"/>
    <w:rsid w:val="00AC35B6"/>
    <w:rsid w:val="00AC42C6"/>
    <w:rsid w:val="00AC5B8D"/>
    <w:rsid w:val="00AC5CE9"/>
    <w:rsid w:val="00AC66EE"/>
    <w:rsid w:val="00AC6EEC"/>
    <w:rsid w:val="00AC7D00"/>
    <w:rsid w:val="00AD0A40"/>
    <w:rsid w:val="00AD1B5E"/>
    <w:rsid w:val="00AD1CFF"/>
    <w:rsid w:val="00AD211E"/>
    <w:rsid w:val="00AD228E"/>
    <w:rsid w:val="00AD25CF"/>
    <w:rsid w:val="00AD3DF3"/>
    <w:rsid w:val="00AD4573"/>
    <w:rsid w:val="00AD60C2"/>
    <w:rsid w:val="00AD75AE"/>
    <w:rsid w:val="00AE072D"/>
    <w:rsid w:val="00AE0E63"/>
    <w:rsid w:val="00AE1322"/>
    <w:rsid w:val="00AE2330"/>
    <w:rsid w:val="00AE26D7"/>
    <w:rsid w:val="00AE6743"/>
    <w:rsid w:val="00AE6AE7"/>
    <w:rsid w:val="00AE6D25"/>
    <w:rsid w:val="00AF0A17"/>
    <w:rsid w:val="00AF1038"/>
    <w:rsid w:val="00AF1571"/>
    <w:rsid w:val="00AF17F7"/>
    <w:rsid w:val="00AF251C"/>
    <w:rsid w:val="00AF3A3E"/>
    <w:rsid w:val="00AF3A4A"/>
    <w:rsid w:val="00AF4CA4"/>
    <w:rsid w:val="00AF52E8"/>
    <w:rsid w:val="00B00CD5"/>
    <w:rsid w:val="00B00DA3"/>
    <w:rsid w:val="00B012D0"/>
    <w:rsid w:val="00B035FE"/>
    <w:rsid w:val="00B0453D"/>
    <w:rsid w:val="00B04B84"/>
    <w:rsid w:val="00B04C4E"/>
    <w:rsid w:val="00B05271"/>
    <w:rsid w:val="00B05F80"/>
    <w:rsid w:val="00B06E21"/>
    <w:rsid w:val="00B06F73"/>
    <w:rsid w:val="00B07A9B"/>
    <w:rsid w:val="00B106CE"/>
    <w:rsid w:val="00B114BE"/>
    <w:rsid w:val="00B11AFE"/>
    <w:rsid w:val="00B1342C"/>
    <w:rsid w:val="00B141BE"/>
    <w:rsid w:val="00B15164"/>
    <w:rsid w:val="00B16551"/>
    <w:rsid w:val="00B165D7"/>
    <w:rsid w:val="00B20306"/>
    <w:rsid w:val="00B233E7"/>
    <w:rsid w:val="00B247CB"/>
    <w:rsid w:val="00B254C3"/>
    <w:rsid w:val="00B25512"/>
    <w:rsid w:val="00B25A9A"/>
    <w:rsid w:val="00B312EF"/>
    <w:rsid w:val="00B325C3"/>
    <w:rsid w:val="00B3269A"/>
    <w:rsid w:val="00B32793"/>
    <w:rsid w:val="00B33355"/>
    <w:rsid w:val="00B33FE6"/>
    <w:rsid w:val="00B3467E"/>
    <w:rsid w:val="00B34E49"/>
    <w:rsid w:val="00B367D9"/>
    <w:rsid w:val="00B373FE"/>
    <w:rsid w:val="00B40161"/>
    <w:rsid w:val="00B43BDE"/>
    <w:rsid w:val="00B457B2"/>
    <w:rsid w:val="00B469B3"/>
    <w:rsid w:val="00B50B25"/>
    <w:rsid w:val="00B5147D"/>
    <w:rsid w:val="00B51BBA"/>
    <w:rsid w:val="00B53857"/>
    <w:rsid w:val="00B551C3"/>
    <w:rsid w:val="00B5543A"/>
    <w:rsid w:val="00B55E4B"/>
    <w:rsid w:val="00B56667"/>
    <w:rsid w:val="00B56D62"/>
    <w:rsid w:val="00B62C57"/>
    <w:rsid w:val="00B64E86"/>
    <w:rsid w:val="00B667B9"/>
    <w:rsid w:val="00B70D7C"/>
    <w:rsid w:val="00B70DD0"/>
    <w:rsid w:val="00B720D0"/>
    <w:rsid w:val="00B72D5B"/>
    <w:rsid w:val="00B759E8"/>
    <w:rsid w:val="00B778E6"/>
    <w:rsid w:val="00B77A56"/>
    <w:rsid w:val="00B81716"/>
    <w:rsid w:val="00B84B44"/>
    <w:rsid w:val="00B85B55"/>
    <w:rsid w:val="00B86097"/>
    <w:rsid w:val="00B87579"/>
    <w:rsid w:val="00B8777F"/>
    <w:rsid w:val="00B91E05"/>
    <w:rsid w:val="00B937B0"/>
    <w:rsid w:val="00B969EC"/>
    <w:rsid w:val="00B97185"/>
    <w:rsid w:val="00BA047C"/>
    <w:rsid w:val="00BA3084"/>
    <w:rsid w:val="00BA46D5"/>
    <w:rsid w:val="00BA539C"/>
    <w:rsid w:val="00BA75BA"/>
    <w:rsid w:val="00BB00BC"/>
    <w:rsid w:val="00BB0194"/>
    <w:rsid w:val="00BB0417"/>
    <w:rsid w:val="00BB0612"/>
    <w:rsid w:val="00BB08E9"/>
    <w:rsid w:val="00BB1596"/>
    <w:rsid w:val="00BB398D"/>
    <w:rsid w:val="00BB4ABA"/>
    <w:rsid w:val="00BB563E"/>
    <w:rsid w:val="00BB5C2F"/>
    <w:rsid w:val="00BB6821"/>
    <w:rsid w:val="00BB6A83"/>
    <w:rsid w:val="00BC10BB"/>
    <w:rsid w:val="00BC24E0"/>
    <w:rsid w:val="00BC2E4D"/>
    <w:rsid w:val="00BC3122"/>
    <w:rsid w:val="00BC31D0"/>
    <w:rsid w:val="00BC49B5"/>
    <w:rsid w:val="00BC55AB"/>
    <w:rsid w:val="00BD1974"/>
    <w:rsid w:val="00BD1DCA"/>
    <w:rsid w:val="00BD3F89"/>
    <w:rsid w:val="00BD57E1"/>
    <w:rsid w:val="00BD6093"/>
    <w:rsid w:val="00BD60EE"/>
    <w:rsid w:val="00BD77A7"/>
    <w:rsid w:val="00BD7D9E"/>
    <w:rsid w:val="00BE1147"/>
    <w:rsid w:val="00BE1627"/>
    <w:rsid w:val="00BE4054"/>
    <w:rsid w:val="00BE5AF1"/>
    <w:rsid w:val="00BE6B98"/>
    <w:rsid w:val="00BE7879"/>
    <w:rsid w:val="00BF0372"/>
    <w:rsid w:val="00BF0467"/>
    <w:rsid w:val="00BF06E7"/>
    <w:rsid w:val="00BF15E0"/>
    <w:rsid w:val="00BF257A"/>
    <w:rsid w:val="00BF2B88"/>
    <w:rsid w:val="00BF3025"/>
    <w:rsid w:val="00BF350F"/>
    <w:rsid w:val="00BF43C3"/>
    <w:rsid w:val="00BF4B23"/>
    <w:rsid w:val="00BF5B28"/>
    <w:rsid w:val="00BF6AF2"/>
    <w:rsid w:val="00BF6DDE"/>
    <w:rsid w:val="00BF6FFF"/>
    <w:rsid w:val="00BF7611"/>
    <w:rsid w:val="00BF7A48"/>
    <w:rsid w:val="00C00133"/>
    <w:rsid w:val="00C0076C"/>
    <w:rsid w:val="00C00D1B"/>
    <w:rsid w:val="00C00E87"/>
    <w:rsid w:val="00C021B1"/>
    <w:rsid w:val="00C03AF4"/>
    <w:rsid w:val="00C0555D"/>
    <w:rsid w:val="00C07FC4"/>
    <w:rsid w:val="00C110CD"/>
    <w:rsid w:val="00C12799"/>
    <w:rsid w:val="00C1578A"/>
    <w:rsid w:val="00C15992"/>
    <w:rsid w:val="00C15E2B"/>
    <w:rsid w:val="00C16308"/>
    <w:rsid w:val="00C16B27"/>
    <w:rsid w:val="00C16DD9"/>
    <w:rsid w:val="00C218BC"/>
    <w:rsid w:val="00C21A1F"/>
    <w:rsid w:val="00C227B8"/>
    <w:rsid w:val="00C23FF8"/>
    <w:rsid w:val="00C26AE2"/>
    <w:rsid w:val="00C3024E"/>
    <w:rsid w:val="00C30DC1"/>
    <w:rsid w:val="00C3197C"/>
    <w:rsid w:val="00C3212D"/>
    <w:rsid w:val="00C3296F"/>
    <w:rsid w:val="00C3351E"/>
    <w:rsid w:val="00C33AFE"/>
    <w:rsid w:val="00C37C72"/>
    <w:rsid w:val="00C40E45"/>
    <w:rsid w:val="00C419AD"/>
    <w:rsid w:val="00C41EC6"/>
    <w:rsid w:val="00C42EE1"/>
    <w:rsid w:val="00C45406"/>
    <w:rsid w:val="00C45D83"/>
    <w:rsid w:val="00C46FB2"/>
    <w:rsid w:val="00C47456"/>
    <w:rsid w:val="00C50666"/>
    <w:rsid w:val="00C52B93"/>
    <w:rsid w:val="00C534BB"/>
    <w:rsid w:val="00C553F1"/>
    <w:rsid w:val="00C5608E"/>
    <w:rsid w:val="00C575AB"/>
    <w:rsid w:val="00C604F5"/>
    <w:rsid w:val="00C629AB"/>
    <w:rsid w:val="00C62D79"/>
    <w:rsid w:val="00C62F0F"/>
    <w:rsid w:val="00C64AE9"/>
    <w:rsid w:val="00C651D3"/>
    <w:rsid w:val="00C707C6"/>
    <w:rsid w:val="00C713E3"/>
    <w:rsid w:val="00C7242A"/>
    <w:rsid w:val="00C73867"/>
    <w:rsid w:val="00C74001"/>
    <w:rsid w:val="00C74072"/>
    <w:rsid w:val="00C74E83"/>
    <w:rsid w:val="00C75397"/>
    <w:rsid w:val="00C75BA5"/>
    <w:rsid w:val="00C77655"/>
    <w:rsid w:val="00C808F4"/>
    <w:rsid w:val="00C8305C"/>
    <w:rsid w:val="00C83C32"/>
    <w:rsid w:val="00C844DF"/>
    <w:rsid w:val="00C86C50"/>
    <w:rsid w:val="00C907DC"/>
    <w:rsid w:val="00C91676"/>
    <w:rsid w:val="00C944FD"/>
    <w:rsid w:val="00C94E88"/>
    <w:rsid w:val="00C9677C"/>
    <w:rsid w:val="00C96B97"/>
    <w:rsid w:val="00C96C0C"/>
    <w:rsid w:val="00C96DE9"/>
    <w:rsid w:val="00C97A85"/>
    <w:rsid w:val="00C97BA0"/>
    <w:rsid w:val="00CA243C"/>
    <w:rsid w:val="00CA40F4"/>
    <w:rsid w:val="00CA79C9"/>
    <w:rsid w:val="00CB027C"/>
    <w:rsid w:val="00CB0473"/>
    <w:rsid w:val="00CB0F25"/>
    <w:rsid w:val="00CB1099"/>
    <w:rsid w:val="00CB4045"/>
    <w:rsid w:val="00CB4D17"/>
    <w:rsid w:val="00CB52D5"/>
    <w:rsid w:val="00CB539B"/>
    <w:rsid w:val="00CB68F1"/>
    <w:rsid w:val="00CB6DA0"/>
    <w:rsid w:val="00CC024B"/>
    <w:rsid w:val="00CC0DD1"/>
    <w:rsid w:val="00CC1003"/>
    <w:rsid w:val="00CC1BE9"/>
    <w:rsid w:val="00CC36C4"/>
    <w:rsid w:val="00CC4070"/>
    <w:rsid w:val="00CC4A46"/>
    <w:rsid w:val="00CC4E8E"/>
    <w:rsid w:val="00CC7962"/>
    <w:rsid w:val="00CD3BA4"/>
    <w:rsid w:val="00CD3CE6"/>
    <w:rsid w:val="00CD724F"/>
    <w:rsid w:val="00CE13B8"/>
    <w:rsid w:val="00CE2031"/>
    <w:rsid w:val="00CE3078"/>
    <w:rsid w:val="00CE41C3"/>
    <w:rsid w:val="00CE4252"/>
    <w:rsid w:val="00CE4F24"/>
    <w:rsid w:val="00CE5E3F"/>
    <w:rsid w:val="00CE6000"/>
    <w:rsid w:val="00CE656B"/>
    <w:rsid w:val="00CF1673"/>
    <w:rsid w:val="00CF4648"/>
    <w:rsid w:val="00CF5442"/>
    <w:rsid w:val="00D00602"/>
    <w:rsid w:val="00D01719"/>
    <w:rsid w:val="00D04051"/>
    <w:rsid w:val="00D0664B"/>
    <w:rsid w:val="00D11401"/>
    <w:rsid w:val="00D11EB0"/>
    <w:rsid w:val="00D13CD1"/>
    <w:rsid w:val="00D143B3"/>
    <w:rsid w:val="00D1506C"/>
    <w:rsid w:val="00D1682F"/>
    <w:rsid w:val="00D20216"/>
    <w:rsid w:val="00D204FB"/>
    <w:rsid w:val="00D20D20"/>
    <w:rsid w:val="00D212BC"/>
    <w:rsid w:val="00D22E56"/>
    <w:rsid w:val="00D24FD0"/>
    <w:rsid w:val="00D27C00"/>
    <w:rsid w:val="00D30332"/>
    <w:rsid w:val="00D36023"/>
    <w:rsid w:val="00D36773"/>
    <w:rsid w:val="00D36EFD"/>
    <w:rsid w:val="00D3773B"/>
    <w:rsid w:val="00D406BA"/>
    <w:rsid w:val="00D43322"/>
    <w:rsid w:val="00D44101"/>
    <w:rsid w:val="00D4413D"/>
    <w:rsid w:val="00D444B1"/>
    <w:rsid w:val="00D44723"/>
    <w:rsid w:val="00D454F0"/>
    <w:rsid w:val="00D4554E"/>
    <w:rsid w:val="00D462FF"/>
    <w:rsid w:val="00D46C64"/>
    <w:rsid w:val="00D472C6"/>
    <w:rsid w:val="00D47EEA"/>
    <w:rsid w:val="00D51382"/>
    <w:rsid w:val="00D5214A"/>
    <w:rsid w:val="00D54B77"/>
    <w:rsid w:val="00D55AC4"/>
    <w:rsid w:val="00D61AA1"/>
    <w:rsid w:val="00D62DFB"/>
    <w:rsid w:val="00D64067"/>
    <w:rsid w:val="00D65A07"/>
    <w:rsid w:val="00D66778"/>
    <w:rsid w:val="00D66AFA"/>
    <w:rsid w:val="00D72545"/>
    <w:rsid w:val="00D74A70"/>
    <w:rsid w:val="00D74C9C"/>
    <w:rsid w:val="00D7648F"/>
    <w:rsid w:val="00D827D3"/>
    <w:rsid w:val="00D83ECA"/>
    <w:rsid w:val="00D867D1"/>
    <w:rsid w:val="00D8687D"/>
    <w:rsid w:val="00D925F2"/>
    <w:rsid w:val="00D932F7"/>
    <w:rsid w:val="00D93CA4"/>
    <w:rsid w:val="00D947FA"/>
    <w:rsid w:val="00D95236"/>
    <w:rsid w:val="00D95A13"/>
    <w:rsid w:val="00D95CE4"/>
    <w:rsid w:val="00D97741"/>
    <w:rsid w:val="00D979A2"/>
    <w:rsid w:val="00DA33FD"/>
    <w:rsid w:val="00DA41E7"/>
    <w:rsid w:val="00DA5AF5"/>
    <w:rsid w:val="00DB2143"/>
    <w:rsid w:val="00DB251C"/>
    <w:rsid w:val="00DB2FA6"/>
    <w:rsid w:val="00DB69A3"/>
    <w:rsid w:val="00DC4A34"/>
    <w:rsid w:val="00DC4B98"/>
    <w:rsid w:val="00DC5C28"/>
    <w:rsid w:val="00DC5F7E"/>
    <w:rsid w:val="00DC752B"/>
    <w:rsid w:val="00DD0199"/>
    <w:rsid w:val="00DD0593"/>
    <w:rsid w:val="00DD1158"/>
    <w:rsid w:val="00DD2558"/>
    <w:rsid w:val="00DD5189"/>
    <w:rsid w:val="00DD5723"/>
    <w:rsid w:val="00DD6BD8"/>
    <w:rsid w:val="00DD6CED"/>
    <w:rsid w:val="00DD71F0"/>
    <w:rsid w:val="00DD786F"/>
    <w:rsid w:val="00DE1BA9"/>
    <w:rsid w:val="00DE2592"/>
    <w:rsid w:val="00DE2B32"/>
    <w:rsid w:val="00DE3130"/>
    <w:rsid w:val="00DE343F"/>
    <w:rsid w:val="00DE639C"/>
    <w:rsid w:val="00DE7293"/>
    <w:rsid w:val="00DF10BF"/>
    <w:rsid w:val="00DF4295"/>
    <w:rsid w:val="00DF4A7B"/>
    <w:rsid w:val="00E00AF5"/>
    <w:rsid w:val="00E02CCD"/>
    <w:rsid w:val="00E0359E"/>
    <w:rsid w:val="00E038A1"/>
    <w:rsid w:val="00E03E5D"/>
    <w:rsid w:val="00E048C8"/>
    <w:rsid w:val="00E04D61"/>
    <w:rsid w:val="00E04D8E"/>
    <w:rsid w:val="00E0780B"/>
    <w:rsid w:val="00E10E4B"/>
    <w:rsid w:val="00E1117A"/>
    <w:rsid w:val="00E11507"/>
    <w:rsid w:val="00E1208E"/>
    <w:rsid w:val="00E12991"/>
    <w:rsid w:val="00E134CC"/>
    <w:rsid w:val="00E135DA"/>
    <w:rsid w:val="00E1362A"/>
    <w:rsid w:val="00E13799"/>
    <w:rsid w:val="00E138BA"/>
    <w:rsid w:val="00E172C7"/>
    <w:rsid w:val="00E17DF0"/>
    <w:rsid w:val="00E17FE8"/>
    <w:rsid w:val="00E2001D"/>
    <w:rsid w:val="00E234BE"/>
    <w:rsid w:val="00E255A5"/>
    <w:rsid w:val="00E25CF6"/>
    <w:rsid w:val="00E2651C"/>
    <w:rsid w:val="00E2682D"/>
    <w:rsid w:val="00E30D2B"/>
    <w:rsid w:val="00E3125F"/>
    <w:rsid w:val="00E31C0C"/>
    <w:rsid w:val="00E31F4D"/>
    <w:rsid w:val="00E32A00"/>
    <w:rsid w:val="00E32BD5"/>
    <w:rsid w:val="00E342AE"/>
    <w:rsid w:val="00E351D1"/>
    <w:rsid w:val="00E40277"/>
    <w:rsid w:val="00E4223F"/>
    <w:rsid w:val="00E43E2A"/>
    <w:rsid w:val="00E43E8E"/>
    <w:rsid w:val="00E473C4"/>
    <w:rsid w:val="00E50280"/>
    <w:rsid w:val="00E5032E"/>
    <w:rsid w:val="00E5065F"/>
    <w:rsid w:val="00E53466"/>
    <w:rsid w:val="00E55221"/>
    <w:rsid w:val="00E559D1"/>
    <w:rsid w:val="00E561F6"/>
    <w:rsid w:val="00E61057"/>
    <w:rsid w:val="00E61118"/>
    <w:rsid w:val="00E61996"/>
    <w:rsid w:val="00E63949"/>
    <w:rsid w:val="00E642D2"/>
    <w:rsid w:val="00E64A6A"/>
    <w:rsid w:val="00E6563B"/>
    <w:rsid w:val="00E6699A"/>
    <w:rsid w:val="00E677F7"/>
    <w:rsid w:val="00E67C6D"/>
    <w:rsid w:val="00E711E1"/>
    <w:rsid w:val="00E722ED"/>
    <w:rsid w:val="00E72459"/>
    <w:rsid w:val="00E73D66"/>
    <w:rsid w:val="00E7534D"/>
    <w:rsid w:val="00E77103"/>
    <w:rsid w:val="00E77405"/>
    <w:rsid w:val="00E822AD"/>
    <w:rsid w:val="00E8363E"/>
    <w:rsid w:val="00E854F6"/>
    <w:rsid w:val="00E85F3E"/>
    <w:rsid w:val="00E87441"/>
    <w:rsid w:val="00E90AB7"/>
    <w:rsid w:val="00E90BC1"/>
    <w:rsid w:val="00E91085"/>
    <w:rsid w:val="00E91A1E"/>
    <w:rsid w:val="00E92CB5"/>
    <w:rsid w:val="00E93AD6"/>
    <w:rsid w:val="00E945EE"/>
    <w:rsid w:val="00E95ABF"/>
    <w:rsid w:val="00E96280"/>
    <w:rsid w:val="00E965A3"/>
    <w:rsid w:val="00E97803"/>
    <w:rsid w:val="00E97CB5"/>
    <w:rsid w:val="00EA04EE"/>
    <w:rsid w:val="00EA0A49"/>
    <w:rsid w:val="00EA23DF"/>
    <w:rsid w:val="00EA3981"/>
    <w:rsid w:val="00EA73B6"/>
    <w:rsid w:val="00EA7F90"/>
    <w:rsid w:val="00EB0B1D"/>
    <w:rsid w:val="00EB0FCE"/>
    <w:rsid w:val="00EB2F60"/>
    <w:rsid w:val="00EB4249"/>
    <w:rsid w:val="00EB49C7"/>
    <w:rsid w:val="00EB5161"/>
    <w:rsid w:val="00EB56B3"/>
    <w:rsid w:val="00EB62EE"/>
    <w:rsid w:val="00EB71CA"/>
    <w:rsid w:val="00EC105E"/>
    <w:rsid w:val="00EC21EA"/>
    <w:rsid w:val="00EC26E5"/>
    <w:rsid w:val="00EC484C"/>
    <w:rsid w:val="00EC492B"/>
    <w:rsid w:val="00EC55B1"/>
    <w:rsid w:val="00EC5ADA"/>
    <w:rsid w:val="00EC7582"/>
    <w:rsid w:val="00EC7594"/>
    <w:rsid w:val="00ED0435"/>
    <w:rsid w:val="00ED21EB"/>
    <w:rsid w:val="00ED2672"/>
    <w:rsid w:val="00ED3421"/>
    <w:rsid w:val="00ED365F"/>
    <w:rsid w:val="00ED61C7"/>
    <w:rsid w:val="00ED69D1"/>
    <w:rsid w:val="00ED6E8C"/>
    <w:rsid w:val="00EE1286"/>
    <w:rsid w:val="00EE2639"/>
    <w:rsid w:val="00EE4BB5"/>
    <w:rsid w:val="00EE6360"/>
    <w:rsid w:val="00EE6871"/>
    <w:rsid w:val="00EE72D3"/>
    <w:rsid w:val="00EF0C76"/>
    <w:rsid w:val="00EF0D23"/>
    <w:rsid w:val="00EF212A"/>
    <w:rsid w:val="00EF3F6F"/>
    <w:rsid w:val="00EF4E49"/>
    <w:rsid w:val="00EF70FE"/>
    <w:rsid w:val="00EF79FF"/>
    <w:rsid w:val="00F035F5"/>
    <w:rsid w:val="00F057A8"/>
    <w:rsid w:val="00F060E6"/>
    <w:rsid w:val="00F06FEA"/>
    <w:rsid w:val="00F076CE"/>
    <w:rsid w:val="00F104B1"/>
    <w:rsid w:val="00F104C1"/>
    <w:rsid w:val="00F1223A"/>
    <w:rsid w:val="00F130F2"/>
    <w:rsid w:val="00F137DB"/>
    <w:rsid w:val="00F13A8A"/>
    <w:rsid w:val="00F13AFB"/>
    <w:rsid w:val="00F14F1E"/>
    <w:rsid w:val="00F14F61"/>
    <w:rsid w:val="00F1505A"/>
    <w:rsid w:val="00F15325"/>
    <w:rsid w:val="00F15B40"/>
    <w:rsid w:val="00F16831"/>
    <w:rsid w:val="00F203B8"/>
    <w:rsid w:val="00F22297"/>
    <w:rsid w:val="00F225CB"/>
    <w:rsid w:val="00F238AC"/>
    <w:rsid w:val="00F24AB4"/>
    <w:rsid w:val="00F2550B"/>
    <w:rsid w:val="00F26BA9"/>
    <w:rsid w:val="00F30A21"/>
    <w:rsid w:val="00F32008"/>
    <w:rsid w:val="00F32C51"/>
    <w:rsid w:val="00F3388B"/>
    <w:rsid w:val="00F35BC6"/>
    <w:rsid w:val="00F35E76"/>
    <w:rsid w:val="00F3650D"/>
    <w:rsid w:val="00F36C89"/>
    <w:rsid w:val="00F372C8"/>
    <w:rsid w:val="00F40814"/>
    <w:rsid w:val="00F41E16"/>
    <w:rsid w:val="00F42AF3"/>
    <w:rsid w:val="00F42BA2"/>
    <w:rsid w:val="00F43724"/>
    <w:rsid w:val="00F472C6"/>
    <w:rsid w:val="00F4785C"/>
    <w:rsid w:val="00F47988"/>
    <w:rsid w:val="00F47FB6"/>
    <w:rsid w:val="00F501DF"/>
    <w:rsid w:val="00F5031D"/>
    <w:rsid w:val="00F50408"/>
    <w:rsid w:val="00F50F37"/>
    <w:rsid w:val="00F51E2E"/>
    <w:rsid w:val="00F52D6E"/>
    <w:rsid w:val="00F53067"/>
    <w:rsid w:val="00F5396F"/>
    <w:rsid w:val="00F5417E"/>
    <w:rsid w:val="00F55867"/>
    <w:rsid w:val="00F56D05"/>
    <w:rsid w:val="00F57BC5"/>
    <w:rsid w:val="00F62A31"/>
    <w:rsid w:val="00F636B7"/>
    <w:rsid w:val="00F64A1D"/>
    <w:rsid w:val="00F656C3"/>
    <w:rsid w:val="00F66204"/>
    <w:rsid w:val="00F6647A"/>
    <w:rsid w:val="00F715F4"/>
    <w:rsid w:val="00F7271E"/>
    <w:rsid w:val="00F7312A"/>
    <w:rsid w:val="00F75B5D"/>
    <w:rsid w:val="00F7738A"/>
    <w:rsid w:val="00F800E7"/>
    <w:rsid w:val="00F80ED5"/>
    <w:rsid w:val="00F81542"/>
    <w:rsid w:val="00F82DCD"/>
    <w:rsid w:val="00F8694F"/>
    <w:rsid w:val="00F92598"/>
    <w:rsid w:val="00F929DA"/>
    <w:rsid w:val="00F93C5B"/>
    <w:rsid w:val="00F955FB"/>
    <w:rsid w:val="00F95AEB"/>
    <w:rsid w:val="00FA0A48"/>
    <w:rsid w:val="00FA1B20"/>
    <w:rsid w:val="00FA20AC"/>
    <w:rsid w:val="00FA32DA"/>
    <w:rsid w:val="00FA4238"/>
    <w:rsid w:val="00FA5F02"/>
    <w:rsid w:val="00FA6087"/>
    <w:rsid w:val="00FA61FA"/>
    <w:rsid w:val="00FA65DC"/>
    <w:rsid w:val="00FA67E9"/>
    <w:rsid w:val="00FA7B81"/>
    <w:rsid w:val="00FA7EF9"/>
    <w:rsid w:val="00FB0B08"/>
    <w:rsid w:val="00FB3886"/>
    <w:rsid w:val="00FB435F"/>
    <w:rsid w:val="00FB45DB"/>
    <w:rsid w:val="00FB4AB2"/>
    <w:rsid w:val="00FB4F35"/>
    <w:rsid w:val="00FB548D"/>
    <w:rsid w:val="00FB5C30"/>
    <w:rsid w:val="00FB5FCA"/>
    <w:rsid w:val="00FC01A7"/>
    <w:rsid w:val="00FC0469"/>
    <w:rsid w:val="00FC0998"/>
    <w:rsid w:val="00FC245D"/>
    <w:rsid w:val="00FC2DCE"/>
    <w:rsid w:val="00FC3CD3"/>
    <w:rsid w:val="00FC52C7"/>
    <w:rsid w:val="00FC604A"/>
    <w:rsid w:val="00FC7D00"/>
    <w:rsid w:val="00FD1B68"/>
    <w:rsid w:val="00FD2883"/>
    <w:rsid w:val="00FD489B"/>
    <w:rsid w:val="00FD5A8B"/>
    <w:rsid w:val="00FD62BA"/>
    <w:rsid w:val="00FD6D4E"/>
    <w:rsid w:val="00FE1897"/>
    <w:rsid w:val="00FE2048"/>
    <w:rsid w:val="00FE3041"/>
    <w:rsid w:val="00FE349D"/>
    <w:rsid w:val="00FE466A"/>
    <w:rsid w:val="00FE48AB"/>
    <w:rsid w:val="00FE63CB"/>
    <w:rsid w:val="00FE6D05"/>
    <w:rsid w:val="00FE6DDC"/>
    <w:rsid w:val="00FE7AC5"/>
    <w:rsid w:val="00FE7B90"/>
    <w:rsid w:val="00FF18FB"/>
    <w:rsid w:val="00FF3A9B"/>
    <w:rsid w:val="00FF4CE2"/>
    <w:rsid w:val="010A32F0"/>
    <w:rsid w:val="012A1031"/>
    <w:rsid w:val="014A7FFE"/>
    <w:rsid w:val="01653C43"/>
    <w:rsid w:val="018B7F59"/>
    <w:rsid w:val="02107B5C"/>
    <w:rsid w:val="028C55DD"/>
    <w:rsid w:val="02D4312D"/>
    <w:rsid w:val="03666B5A"/>
    <w:rsid w:val="037C44AF"/>
    <w:rsid w:val="03BE1D80"/>
    <w:rsid w:val="04347438"/>
    <w:rsid w:val="04372CA8"/>
    <w:rsid w:val="04425600"/>
    <w:rsid w:val="046F3736"/>
    <w:rsid w:val="047D5273"/>
    <w:rsid w:val="051E6A56"/>
    <w:rsid w:val="054162A1"/>
    <w:rsid w:val="057933F7"/>
    <w:rsid w:val="05B178E3"/>
    <w:rsid w:val="06011770"/>
    <w:rsid w:val="061331A3"/>
    <w:rsid w:val="062A62BD"/>
    <w:rsid w:val="072D1343"/>
    <w:rsid w:val="07C60F85"/>
    <w:rsid w:val="08482EC1"/>
    <w:rsid w:val="089758B1"/>
    <w:rsid w:val="08EE19B4"/>
    <w:rsid w:val="0962402C"/>
    <w:rsid w:val="09BA5194"/>
    <w:rsid w:val="0A375B31"/>
    <w:rsid w:val="0A7E6230"/>
    <w:rsid w:val="0BE87D16"/>
    <w:rsid w:val="0C7F7E09"/>
    <w:rsid w:val="0CD01C00"/>
    <w:rsid w:val="0CFC48D1"/>
    <w:rsid w:val="0D9B14B4"/>
    <w:rsid w:val="0E050001"/>
    <w:rsid w:val="0F3F5408"/>
    <w:rsid w:val="0F6C228C"/>
    <w:rsid w:val="10234580"/>
    <w:rsid w:val="104F3C6E"/>
    <w:rsid w:val="10B84EB4"/>
    <w:rsid w:val="1101153C"/>
    <w:rsid w:val="11511160"/>
    <w:rsid w:val="11FF6EEC"/>
    <w:rsid w:val="13456EB3"/>
    <w:rsid w:val="13697E0B"/>
    <w:rsid w:val="13A13FDB"/>
    <w:rsid w:val="142E5A78"/>
    <w:rsid w:val="14684047"/>
    <w:rsid w:val="15764080"/>
    <w:rsid w:val="159D03F5"/>
    <w:rsid w:val="15A765F4"/>
    <w:rsid w:val="15BD7B36"/>
    <w:rsid w:val="16760333"/>
    <w:rsid w:val="16BC42DB"/>
    <w:rsid w:val="16C227B0"/>
    <w:rsid w:val="16F63E83"/>
    <w:rsid w:val="17314A2D"/>
    <w:rsid w:val="174A15E7"/>
    <w:rsid w:val="17D3355F"/>
    <w:rsid w:val="1900173C"/>
    <w:rsid w:val="190E28EE"/>
    <w:rsid w:val="1919733A"/>
    <w:rsid w:val="194E79EE"/>
    <w:rsid w:val="19632314"/>
    <w:rsid w:val="19B04A65"/>
    <w:rsid w:val="1B466E13"/>
    <w:rsid w:val="1B7D3A59"/>
    <w:rsid w:val="1BE27C02"/>
    <w:rsid w:val="1C07351B"/>
    <w:rsid w:val="1DD93F83"/>
    <w:rsid w:val="1DE37A6B"/>
    <w:rsid w:val="1E3074C0"/>
    <w:rsid w:val="1E630B60"/>
    <w:rsid w:val="1EC13991"/>
    <w:rsid w:val="1ECA0940"/>
    <w:rsid w:val="1EDC3AC2"/>
    <w:rsid w:val="20D111D8"/>
    <w:rsid w:val="20D153E2"/>
    <w:rsid w:val="21417BBB"/>
    <w:rsid w:val="218B28D6"/>
    <w:rsid w:val="22350E20"/>
    <w:rsid w:val="226E48F4"/>
    <w:rsid w:val="22CC7306"/>
    <w:rsid w:val="233A69CA"/>
    <w:rsid w:val="2389558B"/>
    <w:rsid w:val="23FB00EA"/>
    <w:rsid w:val="240F1DF7"/>
    <w:rsid w:val="249B061C"/>
    <w:rsid w:val="24FA643A"/>
    <w:rsid w:val="254259F1"/>
    <w:rsid w:val="263712CE"/>
    <w:rsid w:val="26C20788"/>
    <w:rsid w:val="26D548BD"/>
    <w:rsid w:val="26E84434"/>
    <w:rsid w:val="27012BB7"/>
    <w:rsid w:val="270C3CB8"/>
    <w:rsid w:val="27864EE7"/>
    <w:rsid w:val="28475DF4"/>
    <w:rsid w:val="286A44B4"/>
    <w:rsid w:val="291669CB"/>
    <w:rsid w:val="294C2026"/>
    <w:rsid w:val="2AB44103"/>
    <w:rsid w:val="2B453DB1"/>
    <w:rsid w:val="2B8D2C6F"/>
    <w:rsid w:val="2BBB5974"/>
    <w:rsid w:val="2BF27A28"/>
    <w:rsid w:val="2DBA7799"/>
    <w:rsid w:val="2F2634F6"/>
    <w:rsid w:val="2F7C25CC"/>
    <w:rsid w:val="2F8111E1"/>
    <w:rsid w:val="2FA16275"/>
    <w:rsid w:val="2FE853E7"/>
    <w:rsid w:val="301669ED"/>
    <w:rsid w:val="305D4FB7"/>
    <w:rsid w:val="306E3638"/>
    <w:rsid w:val="30F93C52"/>
    <w:rsid w:val="311E7756"/>
    <w:rsid w:val="314B5B2D"/>
    <w:rsid w:val="31AA76EF"/>
    <w:rsid w:val="31C77DBA"/>
    <w:rsid w:val="31E97560"/>
    <w:rsid w:val="31F6349A"/>
    <w:rsid w:val="32202B8F"/>
    <w:rsid w:val="32723F14"/>
    <w:rsid w:val="330B63BD"/>
    <w:rsid w:val="3312101D"/>
    <w:rsid w:val="33171E5D"/>
    <w:rsid w:val="333117AB"/>
    <w:rsid w:val="33F726A6"/>
    <w:rsid w:val="33F9467B"/>
    <w:rsid w:val="34A93A93"/>
    <w:rsid w:val="34C440BC"/>
    <w:rsid w:val="34D9542F"/>
    <w:rsid w:val="354C51E4"/>
    <w:rsid w:val="35537C19"/>
    <w:rsid w:val="359A566F"/>
    <w:rsid w:val="36BA5AAE"/>
    <w:rsid w:val="36CF3092"/>
    <w:rsid w:val="375F4F50"/>
    <w:rsid w:val="37A94A71"/>
    <w:rsid w:val="37FE2CF6"/>
    <w:rsid w:val="387311A0"/>
    <w:rsid w:val="39057B3E"/>
    <w:rsid w:val="390B168F"/>
    <w:rsid w:val="3A4253AF"/>
    <w:rsid w:val="3A9D651A"/>
    <w:rsid w:val="3ADF780E"/>
    <w:rsid w:val="3B31149A"/>
    <w:rsid w:val="3C1C53E4"/>
    <w:rsid w:val="3C7445C0"/>
    <w:rsid w:val="3C82303A"/>
    <w:rsid w:val="3C8476BD"/>
    <w:rsid w:val="3CD2520D"/>
    <w:rsid w:val="3D2F3816"/>
    <w:rsid w:val="3D662619"/>
    <w:rsid w:val="3D6E0245"/>
    <w:rsid w:val="3E422702"/>
    <w:rsid w:val="3F0D0E58"/>
    <w:rsid w:val="3F2672E1"/>
    <w:rsid w:val="3FA14BCE"/>
    <w:rsid w:val="4033757C"/>
    <w:rsid w:val="409A7415"/>
    <w:rsid w:val="41396EFA"/>
    <w:rsid w:val="41C07489"/>
    <w:rsid w:val="424A433D"/>
    <w:rsid w:val="424B1882"/>
    <w:rsid w:val="4305763A"/>
    <w:rsid w:val="44566C4A"/>
    <w:rsid w:val="44F33465"/>
    <w:rsid w:val="450902BE"/>
    <w:rsid w:val="45BC3D21"/>
    <w:rsid w:val="45D57760"/>
    <w:rsid w:val="46CB12A4"/>
    <w:rsid w:val="470F7C38"/>
    <w:rsid w:val="476E1150"/>
    <w:rsid w:val="478F59E1"/>
    <w:rsid w:val="47C73FEF"/>
    <w:rsid w:val="48360ECA"/>
    <w:rsid w:val="488A7DA1"/>
    <w:rsid w:val="48CD6036"/>
    <w:rsid w:val="491312CF"/>
    <w:rsid w:val="49307E9E"/>
    <w:rsid w:val="4956775D"/>
    <w:rsid w:val="4998236C"/>
    <w:rsid w:val="49D45EAB"/>
    <w:rsid w:val="4A0E2C84"/>
    <w:rsid w:val="4B0E7BF9"/>
    <w:rsid w:val="4B3F79B4"/>
    <w:rsid w:val="4C6306E7"/>
    <w:rsid w:val="4CD72D5B"/>
    <w:rsid w:val="4D0A26E4"/>
    <w:rsid w:val="4D58305C"/>
    <w:rsid w:val="4DB07E00"/>
    <w:rsid w:val="4DB3157B"/>
    <w:rsid w:val="4DCA1076"/>
    <w:rsid w:val="4E0F29E7"/>
    <w:rsid w:val="4F500607"/>
    <w:rsid w:val="4FA0479A"/>
    <w:rsid w:val="4FA64C4B"/>
    <w:rsid w:val="4FFD4509"/>
    <w:rsid w:val="507D781E"/>
    <w:rsid w:val="514C3B1D"/>
    <w:rsid w:val="521720FD"/>
    <w:rsid w:val="52E63773"/>
    <w:rsid w:val="531E6336"/>
    <w:rsid w:val="532350EE"/>
    <w:rsid w:val="5376059B"/>
    <w:rsid w:val="53DE7A14"/>
    <w:rsid w:val="542C21CB"/>
    <w:rsid w:val="548337AD"/>
    <w:rsid w:val="5594029C"/>
    <w:rsid w:val="55952C3A"/>
    <w:rsid w:val="559B7A75"/>
    <w:rsid w:val="55DF6CC3"/>
    <w:rsid w:val="56105E40"/>
    <w:rsid w:val="57A25B5B"/>
    <w:rsid w:val="57AD6573"/>
    <w:rsid w:val="57B83170"/>
    <w:rsid w:val="592668D6"/>
    <w:rsid w:val="59583A76"/>
    <w:rsid w:val="59B0158A"/>
    <w:rsid w:val="5AFE5F45"/>
    <w:rsid w:val="5B2973FE"/>
    <w:rsid w:val="5B733233"/>
    <w:rsid w:val="5C056F97"/>
    <w:rsid w:val="5CCA2307"/>
    <w:rsid w:val="5CDD0B83"/>
    <w:rsid w:val="5DC56E23"/>
    <w:rsid w:val="5DE43F9A"/>
    <w:rsid w:val="5E114B41"/>
    <w:rsid w:val="5FEB280C"/>
    <w:rsid w:val="60283122"/>
    <w:rsid w:val="60B562DB"/>
    <w:rsid w:val="60C13BAC"/>
    <w:rsid w:val="60E7347B"/>
    <w:rsid w:val="612F1095"/>
    <w:rsid w:val="615B2C2E"/>
    <w:rsid w:val="617172A2"/>
    <w:rsid w:val="61863EF1"/>
    <w:rsid w:val="61A04B43"/>
    <w:rsid w:val="621F60F8"/>
    <w:rsid w:val="622950C7"/>
    <w:rsid w:val="648307D4"/>
    <w:rsid w:val="64E2625D"/>
    <w:rsid w:val="64FB74FB"/>
    <w:rsid w:val="654E5281"/>
    <w:rsid w:val="66DF5675"/>
    <w:rsid w:val="67831843"/>
    <w:rsid w:val="67866EA3"/>
    <w:rsid w:val="68291780"/>
    <w:rsid w:val="684549BC"/>
    <w:rsid w:val="684B47D6"/>
    <w:rsid w:val="68AF3751"/>
    <w:rsid w:val="698869DE"/>
    <w:rsid w:val="69F16D09"/>
    <w:rsid w:val="6AA5067A"/>
    <w:rsid w:val="6B280551"/>
    <w:rsid w:val="6BC4437E"/>
    <w:rsid w:val="6BCA6218"/>
    <w:rsid w:val="6C231DEF"/>
    <w:rsid w:val="6D472286"/>
    <w:rsid w:val="6D993991"/>
    <w:rsid w:val="6E4305E1"/>
    <w:rsid w:val="6F107F60"/>
    <w:rsid w:val="6F6860A6"/>
    <w:rsid w:val="712B79BA"/>
    <w:rsid w:val="723448D9"/>
    <w:rsid w:val="724845BB"/>
    <w:rsid w:val="72490332"/>
    <w:rsid w:val="72585492"/>
    <w:rsid w:val="729F0C6B"/>
    <w:rsid w:val="72DC3BA4"/>
    <w:rsid w:val="73BE4AFE"/>
    <w:rsid w:val="7511499B"/>
    <w:rsid w:val="75375467"/>
    <w:rsid w:val="755523CC"/>
    <w:rsid w:val="762A164A"/>
    <w:rsid w:val="76736F89"/>
    <w:rsid w:val="77067579"/>
    <w:rsid w:val="7712219F"/>
    <w:rsid w:val="77424F14"/>
    <w:rsid w:val="77C37461"/>
    <w:rsid w:val="77E46B9D"/>
    <w:rsid w:val="789B38C4"/>
    <w:rsid w:val="78CB66E0"/>
    <w:rsid w:val="78EE2E9F"/>
    <w:rsid w:val="7921037A"/>
    <w:rsid w:val="79233C9A"/>
    <w:rsid w:val="79593A3D"/>
    <w:rsid w:val="797F6B9D"/>
    <w:rsid w:val="799A6677"/>
    <w:rsid w:val="79E1673B"/>
    <w:rsid w:val="7A6424D0"/>
    <w:rsid w:val="7A95479A"/>
    <w:rsid w:val="7B4F7EE5"/>
    <w:rsid w:val="7CD922D0"/>
    <w:rsid w:val="7D6D4C4A"/>
    <w:rsid w:val="7DA55C93"/>
    <w:rsid w:val="7EDA4DF2"/>
    <w:rsid w:val="7EF740BE"/>
    <w:rsid w:val="7EFB1FDA"/>
    <w:rsid w:val="7FD2736B"/>
    <w:rsid w:val="7FE91E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7"/>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line="520" w:lineRule="exact"/>
      <w:outlineLvl w:val="1"/>
    </w:pPr>
    <w:rPr>
      <w:rFonts w:ascii="Calibri Light" w:hAnsi="Calibri Light" w:eastAsia="楷体_GB2312"/>
      <w:bCs/>
      <w:szCs w:val="32"/>
    </w:rPr>
  </w:style>
  <w:style w:type="paragraph" w:styleId="4">
    <w:name w:val="heading 3"/>
    <w:basedOn w:val="1"/>
    <w:next w:val="1"/>
    <w:link w:val="46"/>
    <w:qFormat/>
    <w:uiPriority w:val="0"/>
    <w:pPr>
      <w:autoSpaceDE w:val="0"/>
      <w:autoSpaceDN w:val="0"/>
      <w:adjustRightInd w:val="0"/>
      <w:ind w:left="964" w:hanging="504"/>
      <w:jc w:val="left"/>
      <w:outlineLvl w:val="2"/>
    </w:pPr>
    <w:rPr>
      <w:b/>
      <w:bCs/>
      <w:kern w:val="0"/>
      <w:sz w:val="28"/>
      <w:szCs w:val="28"/>
      <w:lang w:val="zh-CN"/>
    </w:rPr>
  </w:style>
  <w:style w:type="paragraph" w:styleId="5">
    <w:name w:val="heading 4"/>
    <w:basedOn w:val="1"/>
    <w:next w:val="1"/>
    <w:link w:val="48"/>
    <w:qFormat/>
    <w:uiPriority w:val="0"/>
    <w:pPr>
      <w:keepNext/>
      <w:keepLines/>
      <w:spacing w:before="280" w:after="290" w:line="376" w:lineRule="auto"/>
      <w:outlineLvl w:val="3"/>
    </w:pPr>
    <w:rPr>
      <w:rFonts w:ascii="等线 Light" w:hAnsi="等线 Light" w:eastAsia="等线 Light"/>
      <w:b/>
      <w:bCs/>
      <w:sz w:val="28"/>
      <w:szCs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qFormat/>
    <w:uiPriority w:val="35"/>
    <w:pPr>
      <w:spacing w:line="360" w:lineRule="auto"/>
      <w:ind w:firstLine="200" w:firstLineChars="200"/>
      <w:jc w:val="center"/>
    </w:pPr>
    <w:rPr>
      <w:rFonts w:ascii="Cambria" w:hAnsi="Cambria" w:cs="宋体"/>
      <w:b/>
      <w:szCs w:val="28"/>
    </w:rPr>
  </w:style>
  <w:style w:type="paragraph" w:styleId="7">
    <w:name w:val="annotation text"/>
    <w:basedOn w:val="1"/>
    <w:link w:val="50"/>
    <w:qFormat/>
    <w:uiPriority w:val="0"/>
    <w:pPr>
      <w:jc w:val="left"/>
    </w:pPr>
  </w:style>
  <w:style w:type="paragraph" w:styleId="8">
    <w:name w:val="Body Text"/>
    <w:basedOn w:val="1"/>
    <w:link w:val="42"/>
    <w:qFormat/>
    <w:uiPriority w:val="1"/>
    <w:pPr>
      <w:autoSpaceDE w:val="0"/>
      <w:autoSpaceDN w:val="0"/>
      <w:adjustRightInd w:val="0"/>
      <w:ind w:left="840" w:hanging="361"/>
      <w:jc w:val="left"/>
    </w:pPr>
    <w:rPr>
      <w:kern w:val="0"/>
      <w:sz w:val="24"/>
      <w:lang w:val="zh-CN"/>
    </w:rPr>
  </w:style>
  <w:style w:type="paragraph" w:styleId="9">
    <w:name w:val="Date"/>
    <w:basedOn w:val="1"/>
    <w:next w:val="1"/>
    <w:link w:val="36"/>
    <w:qFormat/>
    <w:uiPriority w:val="0"/>
    <w:pPr>
      <w:ind w:left="100" w:leftChars="2500"/>
    </w:pPr>
  </w:style>
  <w:style w:type="paragraph" w:styleId="10">
    <w:name w:val="Balloon Text"/>
    <w:basedOn w:val="1"/>
    <w:link w:val="35"/>
    <w:qFormat/>
    <w:uiPriority w:val="0"/>
    <w:rPr>
      <w:sz w:val="18"/>
      <w:szCs w:val="18"/>
    </w:rPr>
  </w:style>
  <w:style w:type="paragraph" w:styleId="11">
    <w:name w:val="footer"/>
    <w:basedOn w:val="1"/>
    <w:link w:val="34"/>
    <w:qFormat/>
    <w:uiPriority w:val="99"/>
    <w:pPr>
      <w:tabs>
        <w:tab w:val="center" w:pos="4153"/>
        <w:tab w:val="right" w:pos="8306"/>
      </w:tabs>
      <w:snapToGrid w:val="0"/>
      <w:jc w:val="left"/>
    </w:pPr>
    <w:rPr>
      <w:sz w:val="18"/>
      <w:szCs w:val="18"/>
    </w:rPr>
  </w:style>
  <w:style w:type="paragraph" w:styleId="12">
    <w:name w:val="header"/>
    <w:basedOn w:val="1"/>
    <w:link w:val="49"/>
    <w:qFormat/>
    <w:uiPriority w:val="99"/>
    <w:pPr>
      <w:pBdr>
        <w:bottom w:val="single" w:color="auto" w:sz="6" w:space="1"/>
      </w:pBdr>
      <w:tabs>
        <w:tab w:val="center" w:pos="4153"/>
        <w:tab w:val="right" w:pos="8306"/>
      </w:tabs>
      <w:snapToGrid w:val="0"/>
      <w:jc w:val="center"/>
    </w:pPr>
    <w:rPr>
      <w:sz w:val="18"/>
      <w:szCs w:val="18"/>
    </w:rPr>
  </w:style>
  <w:style w:type="paragraph" w:styleId="13">
    <w:name w:val="footnote text"/>
    <w:basedOn w:val="1"/>
    <w:unhideWhenUsed/>
    <w:qFormat/>
    <w:uiPriority w:val="0"/>
    <w:pPr>
      <w:snapToGrid w:val="0"/>
      <w:jc w:val="left"/>
    </w:pPr>
    <w:rPr>
      <w:sz w:val="18"/>
    </w:rPr>
  </w:style>
  <w:style w:type="paragraph" w:styleId="14">
    <w:name w:val="Normal (Web)"/>
    <w:basedOn w:val="1"/>
    <w:qFormat/>
    <w:uiPriority w:val="99"/>
    <w:pPr>
      <w:spacing w:before="42" w:after="42"/>
      <w:jc w:val="left"/>
    </w:pPr>
    <w:rPr>
      <w:kern w:val="0"/>
      <w:sz w:val="24"/>
    </w:rPr>
  </w:style>
  <w:style w:type="paragraph" w:styleId="15">
    <w:name w:val="annotation subject"/>
    <w:basedOn w:val="7"/>
    <w:next w:val="7"/>
    <w:link w:val="33"/>
    <w:qFormat/>
    <w:uiPriority w:val="0"/>
    <w:rPr>
      <w:b/>
      <w:bCs/>
    </w:rPr>
  </w:style>
  <w:style w:type="table" w:styleId="17">
    <w:name w:val="Table Grid"/>
    <w:basedOn w:val="1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Strong"/>
    <w:qFormat/>
    <w:uiPriority w:val="0"/>
    <w:rPr>
      <w:b/>
      <w:bCs/>
    </w:rPr>
  </w:style>
  <w:style w:type="character" w:styleId="20">
    <w:name w:val="page number"/>
    <w:qFormat/>
    <w:uiPriority w:val="0"/>
  </w:style>
  <w:style w:type="character" w:styleId="21">
    <w:name w:val="FollowedHyperlink"/>
    <w:qFormat/>
    <w:uiPriority w:val="0"/>
    <w:rPr>
      <w:color w:val="337AB7"/>
      <w:u w:val="none"/>
    </w:rPr>
  </w:style>
  <w:style w:type="character" w:styleId="22">
    <w:name w:val="line number"/>
    <w:qFormat/>
    <w:uiPriority w:val="0"/>
  </w:style>
  <w:style w:type="character" w:styleId="23">
    <w:name w:val="HTML Definition"/>
    <w:qFormat/>
    <w:uiPriority w:val="0"/>
    <w:rPr>
      <w:i/>
    </w:rPr>
  </w:style>
  <w:style w:type="character" w:styleId="24">
    <w:name w:val="Hyperlink"/>
    <w:qFormat/>
    <w:uiPriority w:val="0"/>
    <w:rPr>
      <w:color w:val="337AB7"/>
      <w:u w:val="none"/>
    </w:rPr>
  </w:style>
  <w:style w:type="character" w:styleId="25">
    <w:name w:val="HTML Code"/>
    <w:qFormat/>
    <w:uiPriority w:val="0"/>
    <w:rPr>
      <w:rFonts w:ascii="Consolas" w:hAnsi="Consolas" w:eastAsia="Consolas" w:cs="Consolas"/>
      <w:color w:val="C7254E"/>
      <w:sz w:val="21"/>
      <w:szCs w:val="21"/>
      <w:shd w:val="clear" w:color="auto" w:fill="F9F2F4"/>
    </w:rPr>
  </w:style>
  <w:style w:type="character" w:styleId="26">
    <w:name w:val="annotation reference"/>
    <w:qFormat/>
    <w:uiPriority w:val="0"/>
    <w:rPr>
      <w:sz w:val="21"/>
      <w:szCs w:val="21"/>
    </w:rPr>
  </w:style>
  <w:style w:type="character" w:styleId="27">
    <w:name w:val="footnote reference"/>
    <w:unhideWhenUsed/>
    <w:qFormat/>
    <w:uiPriority w:val="0"/>
    <w:rPr>
      <w:vertAlign w:val="superscript"/>
    </w:rPr>
  </w:style>
  <w:style w:type="character" w:styleId="28">
    <w:name w:val="HTML Keyboard"/>
    <w:qFormat/>
    <w:uiPriority w:val="0"/>
    <w:rPr>
      <w:rFonts w:hint="default" w:ascii="Consolas" w:hAnsi="Consolas" w:eastAsia="Consolas" w:cs="Consolas"/>
      <w:color w:val="FFFFFF"/>
      <w:sz w:val="21"/>
      <w:szCs w:val="21"/>
      <w:shd w:val="clear" w:color="auto" w:fill="333333"/>
    </w:rPr>
  </w:style>
  <w:style w:type="character" w:styleId="29">
    <w:name w:val="HTML Sample"/>
    <w:qFormat/>
    <w:uiPriority w:val="0"/>
    <w:rPr>
      <w:rFonts w:hint="default" w:ascii="Consolas" w:hAnsi="Consolas" w:eastAsia="Consolas" w:cs="Consolas"/>
      <w:sz w:val="21"/>
      <w:szCs w:val="21"/>
    </w:rPr>
  </w:style>
  <w:style w:type="character" w:customStyle="1" w:styleId="30">
    <w:name w:val="help"/>
    <w:qFormat/>
    <w:uiPriority w:val="0"/>
    <w:rPr>
      <w:color w:val="F44336"/>
    </w:rPr>
  </w:style>
  <w:style w:type="character" w:customStyle="1" w:styleId="31">
    <w:name w:val="段 Char"/>
    <w:link w:val="32"/>
    <w:qFormat/>
    <w:uiPriority w:val="0"/>
    <w:rPr>
      <w:rFonts w:ascii="宋体"/>
      <w:sz w:val="21"/>
      <w:lang w:val="en-US" w:eastAsia="zh-CN" w:bidi="ar-SA"/>
    </w:rPr>
  </w:style>
  <w:style w:type="paragraph" w:customStyle="1" w:styleId="32">
    <w:name w:val="段"/>
    <w:link w:val="31"/>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33">
    <w:name w:val="批注主题 Char"/>
    <w:link w:val="15"/>
    <w:qFormat/>
    <w:uiPriority w:val="0"/>
    <w:rPr>
      <w:b/>
      <w:bCs/>
      <w:kern w:val="2"/>
      <w:sz w:val="21"/>
      <w:szCs w:val="24"/>
    </w:rPr>
  </w:style>
  <w:style w:type="character" w:customStyle="1" w:styleId="34">
    <w:name w:val="页脚 Char"/>
    <w:link w:val="11"/>
    <w:qFormat/>
    <w:uiPriority w:val="99"/>
    <w:rPr>
      <w:kern w:val="2"/>
      <w:sz w:val="18"/>
      <w:szCs w:val="18"/>
    </w:rPr>
  </w:style>
  <w:style w:type="character" w:customStyle="1" w:styleId="35">
    <w:name w:val="批注框文本 Char"/>
    <w:link w:val="10"/>
    <w:qFormat/>
    <w:uiPriority w:val="0"/>
    <w:rPr>
      <w:kern w:val="2"/>
      <w:sz w:val="18"/>
      <w:szCs w:val="18"/>
    </w:rPr>
  </w:style>
  <w:style w:type="character" w:customStyle="1" w:styleId="36">
    <w:name w:val="日期 Char"/>
    <w:link w:val="9"/>
    <w:qFormat/>
    <w:uiPriority w:val="0"/>
    <w:rPr>
      <w:kern w:val="2"/>
      <w:sz w:val="21"/>
      <w:szCs w:val="24"/>
    </w:rPr>
  </w:style>
  <w:style w:type="character" w:customStyle="1" w:styleId="37">
    <w:name w:val="标题 1 Char"/>
    <w:link w:val="2"/>
    <w:qFormat/>
    <w:uiPriority w:val="0"/>
    <w:rPr>
      <w:b/>
      <w:bCs/>
      <w:kern w:val="44"/>
      <w:sz w:val="44"/>
      <w:szCs w:val="44"/>
    </w:rPr>
  </w:style>
  <w:style w:type="character" w:customStyle="1" w:styleId="38">
    <w:name w:val="fontstyle01"/>
    <w:qFormat/>
    <w:uiPriority w:val="0"/>
    <w:rPr>
      <w:rFonts w:hint="default" w:ascii="ArnoPro-Regular" w:hAnsi="ArnoPro-Regular"/>
      <w:color w:val="231916"/>
      <w:sz w:val="16"/>
      <w:szCs w:val="16"/>
    </w:rPr>
  </w:style>
  <w:style w:type="character" w:customStyle="1" w:styleId="39">
    <w:name w:val="time"/>
    <w:qFormat/>
    <w:uiPriority w:val="0"/>
    <w:rPr>
      <w:b/>
      <w:color w:val="2884CD"/>
    </w:rPr>
  </w:style>
  <w:style w:type="character" w:customStyle="1" w:styleId="40">
    <w:name w:val="fontstyle21"/>
    <w:qFormat/>
    <w:uiPriority w:val="0"/>
    <w:rPr>
      <w:rFonts w:hint="default" w:ascii="ArnoPro-Italic" w:hAnsi="ArnoPro-Italic"/>
      <w:i/>
      <w:iCs/>
      <w:color w:val="231916"/>
      <w:sz w:val="16"/>
      <w:szCs w:val="16"/>
    </w:rPr>
  </w:style>
  <w:style w:type="character" w:customStyle="1" w:styleId="41">
    <w:name w:val="download"/>
    <w:qFormat/>
    <w:uiPriority w:val="0"/>
    <w:rPr>
      <w:color w:val="FFFFFF"/>
      <w:sz w:val="10"/>
      <w:szCs w:val="10"/>
      <w:shd w:val="clear" w:color="auto" w:fill="9EABBE"/>
    </w:rPr>
  </w:style>
  <w:style w:type="character" w:customStyle="1" w:styleId="42">
    <w:name w:val="正文文本 Char"/>
    <w:link w:val="8"/>
    <w:qFormat/>
    <w:uiPriority w:val="1"/>
    <w:rPr>
      <w:sz w:val="24"/>
      <w:szCs w:val="24"/>
      <w:lang w:val="zh-CN"/>
    </w:rPr>
  </w:style>
  <w:style w:type="character" w:customStyle="1" w:styleId="43">
    <w:name w:val="shoulihao"/>
    <w:qFormat/>
    <w:uiPriority w:val="0"/>
    <w:rPr>
      <w:b/>
      <w:color w:val="2884CD"/>
    </w:rPr>
  </w:style>
  <w:style w:type="character" w:customStyle="1" w:styleId="44">
    <w:name w:val="f101"/>
    <w:qFormat/>
    <w:uiPriority w:val="0"/>
    <w:rPr>
      <w:sz w:val="24"/>
    </w:rPr>
  </w:style>
  <w:style w:type="character" w:customStyle="1" w:styleId="45">
    <w:name w:val="help1"/>
    <w:qFormat/>
    <w:uiPriority w:val="0"/>
    <w:rPr>
      <w:color w:val="F44336"/>
    </w:rPr>
  </w:style>
  <w:style w:type="character" w:customStyle="1" w:styleId="46">
    <w:name w:val="标题 3 Char"/>
    <w:link w:val="4"/>
    <w:qFormat/>
    <w:uiPriority w:val="0"/>
    <w:rPr>
      <w:b/>
      <w:bCs/>
      <w:sz w:val="28"/>
      <w:szCs w:val="28"/>
      <w:lang w:val="zh-CN"/>
    </w:rPr>
  </w:style>
  <w:style w:type="character" w:customStyle="1" w:styleId="47">
    <w:name w:val="avatar-circle"/>
    <w:qFormat/>
    <w:uiPriority w:val="0"/>
    <w:rPr>
      <w:color w:val="2779AA"/>
      <w:sz w:val="16"/>
      <w:szCs w:val="16"/>
      <w:bdr w:val="single" w:color="AED0EA" w:sz="2" w:space="0"/>
      <w:shd w:val="clear" w:color="auto" w:fill="D7EBF9"/>
    </w:rPr>
  </w:style>
  <w:style w:type="character" w:customStyle="1" w:styleId="48">
    <w:name w:val="标题 4 Char"/>
    <w:link w:val="5"/>
    <w:qFormat/>
    <w:uiPriority w:val="0"/>
    <w:rPr>
      <w:rFonts w:ascii="等线 Light" w:hAnsi="等线 Light" w:eastAsia="等线 Light" w:cs="Times New Roman"/>
      <w:b/>
      <w:bCs/>
      <w:kern w:val="2"/>
      <w:sz w:val="28"/>
      <w:szCs w:val="28"/>
    </w:rPr>
  </w:style>
  <w:style w:type="character" w:customStyle="1" w:styleId="49">
    <w:name w:val="页眉 Char"/>
    <w:link w:val="12"/>
    <w:qFormat/>
    <w:uiPriority w:val="99"/>
    <w:rPr>
      <w:kern w:val="2"/>
      <w:sz w:val="18"/>
      <w:szCs w:val="18"/>
    </w:rPr>
  </w:style>
  <w:style w:type="character" w:customStyle="1" w:styleId="50">
    <w:name w:val="批注文字 Char"/>
    <w:link w:val="7"/>
    <w:qFormat/>
    <w:uiPriority w:val="0"/>
    <w:rPr>
      <w:kern w:val="2"/>
      <w:sz w:val="21"/>
      <w:szCs w:val="24"/>
    </w:rPr>
  </w:style>
  <w:style w:type="character" w:customStyle="1" w:styleId="51">
    <w:name w:val="列出段落 Char"/>
    <w:link w:val="52"/>
    <w:qFormat/>
    <w:uiPriority w:val="34"/>
    <w:rPr>
      <w:rFonts w:eastAsia="仿宋_GB2312"/>
      <w:kern w:val="2"/>
      <w:sz w:val="32"/>
      <w:szCs w:val="32"/>
    </w:rPr>
  </w:style>
  <w:style w:type="paragraph" w:customStyle="1" w:styleId="52">
    <w:name w:val="列出段落1"/>
    <w:basedOn w:val="1"/>
    <w:link w:val="51"/>
    <w:qFormat/>
    <w:uiPriority w:val="34"/>
    <w:pPr>
      <w:ind w:firstLine="420" w:firstLineChars="200"/>
    </w:pPr>
    <w:rPr>
      <w:rFonts w:eastAsia="仿宋_GB2312"/>
      <w:sz w:val="32"/>
      <w:szCs w:val="32"/>
    </w:rPr>
  </w:style>
  <w:style w:type="character" w:customStyle="1" w:styleId="53">
    <w:name w:val="help2"/>
    <w:qFormat/>
    <w:uiPriority w:val="0"/>
    <w:rPr>
      <w:sz w:val="8"/>
      <w:szCs w:val="8"/>
    </w:rPr>
  </w:style>
  <w:style w:type="paragraph" w:styleId="54">
    <w:name w:val="No Spacing"/>
    <w:qFormat/>
    <w:uiPriority w:val="0"/>
    <w:pPr>
      <w:adjustRightInd w:val="0"/>
      <w:snapToGrid w:val="0"/>
    </w:pPr>
    <w:rPr>
      <w:rFonts w:ascii="Tahoma" w:hAnsi="Tahoma" w:eastAsia="微软雅黑" w:cs="Times New Roman"/>
      <w:sz w:val="22"/>
      <w:szCs w:val="22"/>
      <w:lang w:val="en-US" w:eastAsia="zh-CN" w:bidi="ar-SA"/>
    </w:rPr>
  </w:style>
  <w:style w:type="paragraph" w:customStyle="1" w:styleId="55">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56">
    <w:name w:val="列出段落2"/>
    <w:basedOn w:val="1"/>
    <w:qFormat/>
    <w:uiPriority w:val="99"/>
    <w:pPr>
      <w:ind w:firstLine="420" w:firstLineChars="200"/>
    </w:pPr>
    <w:rPr>
      <w:rFonts w:ascii="Calibri" w:hAnsi="Calibri"/>
      <w:szCs w:val="22"/>
    </w:rPr>
  </w:style>
  <w:style w:type="paragraph" w:customStyle="1" w:styleId="57">
    <w:name w:val="正首悬"/>
    <w:basedOn w:val="1"/>
    <w:qFormat/>
    <w:uiPriority w:val="0"/>
    <w:pPr>
      <w:widowControl/>
      <w:spacing w:line="360" w:lineRule="auto"/>
      <w:ind w:left="300" w:leftChars="200" w:right="200" w:rightChars="200" w:hanging="100" w:hangingChars="100"/>
    </w:pPr>
    <w:rPr>
      <w:rFonts w:ascii="Arial" w:hAnsi="Arial"/>
      <w:kern w:val="0"/>
      <w:szCs w:val="72"/>
    </w:rPr>
  </w:style>
  <w:style w:type="paragraph" w:customStyle="1" w:styleId="58">
    <w:name w:val="字母编号列项（一级）"/>
    <w:qFormat/>
    <w:uiPriority w:val="0"/>
    <w:pPr>
      <w:ind w:left="840" w:leftChars="200" w:hanging="420" w:hangingChars="200"/>
      <w:jc w:val="both"/>
    </w:pPr>
    <w:rPr>
      <w:rFonts w:ascii="宋体" w:hAnsi="Times New Roman" w:eastAsia="宋体" w:cs="宋体"/>
      <w:lang w:val="en-US" w:eastAsia="zh-CN" w:bidi="ar-SA"/>
    </w:rPr>
  </w:style>
  <w:style w:type="paragraph" w:customStyle="1" w:styleId="59">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styleId="60">
    <w:name w:val="List Paragraph"/>
    <w:basedOn w:val="1"/>
    <w:qFormat/>
    <w:uiPriority w:val="34"/>
    <w:pPr>
      <w:ind w:firstLine="420" w:firstLineChars="200"/>
    </w:pPr>
    <w:rPr>
      <w:rFonts w:ascii="Calibri" w:hAnsi="Calibri"/>
      <w:szCs w:val="22"/>
    </w:rPr>
  </w:style>
  <w:style w:type="paragraph" w:customStyle="1" w:styleId="61">
    <w:name w:val="彩色列表 - 强调文字颜色 11"/>
    <w:basedOn w:val="1"/>
    <w:qFormat/>
    <w:uiPriority w:val="34"/>
    <w:pPr>
      <w:spacing w:line="360" w:lineRule="auto"/>
      <w:ind w:firstLine="420" w:firstLineChars="200"/>
      <w:jc w:val="left"/>
    </w:pPr>
    <w:rPr>
      <w:sz w:val="24"/>
    </w:rPr>
  </w:style>
  <w:style w:type="paragraph" w:customStyle="1" w:styleId="62">
    <w:name w:val="列标题"/>
    <w:basedOn w:val="3"/>
    <w:qFormat/>
    <w:uiPriority w:val="0"/>
    <w:pPr>
      <w:keepNext w:val="0"/>
      <w:keepLines w:val="0"/>
      <w:widowControl/>
      <w:spacing w:line="240" w:lineRule="auto"/>
      <w:jc w:val="center"/>
    </w:pPr>
    <w:rPr>
      <w:rFonts w:ascii="Tahoma" w:hAnsi="Tahoma" w:eastAsia="黑体"/>
      <w:color w:val="333399"/>
      <w:kern w:val="0"/>
      <w:sz w:val="18"/>
      <w:szCs w:val="18"/>
    </w:rPr>
  </w:style>
  <w:style w:type="paragraph" w:customStyle="1" w:styleId="63">
    <w:name w:val="调查项目"/>
    <w:basedOn w:val="1"/>
    <w:qFormat/>
    <w:uiPriority w:val="0"/>
    <w:pPr>
      <w:widowControl/>
      <w:jc w:val="left"/>
      <w:outlineLvl w:val="1"/>
    </w:pPr>
    <w:rPr>
      <w:rFonts w:ascii="Tahoma" w:hAnsi="Tahoma" w:eastAsia="黑体"/>
      <w:bCs/>
      <w:color w:val="333399"/>
      <w:kern w:val="0"/>
      <w:sz w:val="18"/>
      <w:szCs w:val="18"/>
    </w:rPr>
  </w:style>
  <w:style w:type="paragraph" w:customStyle="1" w:styleId="64">
    <w:name w:val="正文 A"/>
    <w:qFormat/>
    <w:uiPriority w:val="0"/>
    <w:pPr>
      <w:widowControl w:val="0"/>
      <w:pBdr>
        <w:top w:val="none" w:color="FFFFFF" w:sz="0" w:space="31"/>
        <w:left w:val="none" w:color="FFFFFF" w:sz="0" w:space="31"/>
        <w:bottom w:val="none" w:color="FFFFFF" w:sz="0" w:space="31"/>
        <w:right w:val="none" w:color="FFFFFF" w:sz="0" w:space="31"/>
      </w:pBdr>
      <w:jc w:val="both"/>
    </w:pPr>
    <w:rPr>
      <w:rFonts w:ascii="Times New Roman" w:hAnsi="Times New Roman" w:eastAsia="Times New Roman" w:cs="Arial Unicode MS"/>
      <w:color w:val="000000"/>
      <w:kern w:val="2"/>
      <w:sz w:val="21"/>
      <w:szCs w:val="21"/>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00D99-D75F-48EE-91EC-606FB07E186C}">
  <ds:schemaRefs/>
</ds:datastoreItem>
</file>

<file path=docProps/app.xml><?xml version="1.0" encoding="utf-8"?>
<Properties xmlns="http://schemas.openxmlformats.org/officeDocument/2006/extended-properties" xmlns:vt="http://schemas.openxmlformats.org/officeDocument/2006/docPropsVTypes">
  <Template>Normal</Template>
  <Pages>26</Pages>
  <Words>11650</Words>
  <Characters>12552</Characters>
  <Lines>16</Lines>
  <Paragraphs>26</Paragraphs>
  <TotalTime>82</TotalTime>
  <ScaleCrop>false</ScaleCrop>
  <LinksUpToDate>false</LinksUpToDate>
  <CharactersWithSpaces>12660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2025-12-03T01:06:00Z</dcterms:created>
  <dc:creator>dongjinchun</dc:creator>
  <cp:lastModifiedBy>卢静</cp:lastModifiedBy>
  <cp:lastPrinted>2022-11-18T03:17:00Z</cp:lastPrinted>
  <dcterms:modified xsi:type="dcterms:W3CDTF">2026-01-14T10:22:43Z</dcterms:modified>
  <dc:title>2019新型冠状病毒技术审评要点</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D39B14F62B724760BE22D34FB757F5F0_13</vt:lpwstr>
  </property>
  <property fmtid="{D5CDD505-2E9C-101B-9397-08002B2CF9AE}" pid="4" name="KSOTemplateDocerSaveRecord">
    <vt:lpwstr>eyJoZGlkIjoiMTRkZDkxNGVlY2QzMjBiZTIwNTk5MGQwOTEzNzk0MDYiLCJ1c2VySWQiOiIxMjkxNTA5ODI0In0=</vt:lpwstr>
  </property>
</Properties>
</file>