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7D8028">
      <w:pPr>
        <w:spacing w:line="520" w:lineRule="exact"/>
        <w:outlineLvl w:val="0"/>
        <w:rPr>
          <w:rFonts w:hint="eastAsia" w:ascii="黑体" w:hAnsi="黑体" w:eastAsia="黑体"/>
          <w:sz w:val="32"/>
          <w:szCs w:val="32"/>
        </w:rPr>
      </w:pPr>
      <w:r>
        <w:rPr>
          <w:rFonts w:hint="eastAsia" w:ascii="黑体" w:hAnsi="黑体" w:eastAsia="黑体"/>
          <w:sz w:val="32"/>
          <w:szCs w:val="32"/>
        </w:rPr>
        <w:t>附件1</w:t>
      </w:r>
    </w:p>
    <w:p w14:paraId="2CAA3275">
      <w:pPr>
        <w:spacing w:line="520" w:lineRule="exact"/>
        <w:ind w:left="2" w:firstLine="640" w:firstLineChars="200"/>
        <w:rPr>
          <w:rFonts w:hint="eastAsia" w:ascii="仿宋_GB2312" w:hAnsi="华文仿宋" w:eastAsia="仿宋_GB2312"/>
          <w:sz w:val="32"/>
          <w:szCs w:val="32"/>
        </w:rPr>
      </w:pPr>
    </w:p>
    <w:p w14:paraId="185E87A0">
      <w:pPr>
        <w:spacing w:line="520" w:lineRule="exact"/>
        <w:ind w:left="2" w:hanging="2"/>
        <w:jc w:val="center"/>
        <w:rPr>
          <w:rFonts w:hint="eastAsia" w:ascii="方正小标宋简体" w:hAnsi="华文仿宋" w:eastAsia="方正小标宋简体"/>
          <w:sz w:val="44"/>
          <w:szCs w:val="44"/>
        </w:rPr>
      </w:pPr>
      <w:r>
        <w:rPr>
          <w:rFonts w:hint="eastAsia" w:ascii="方正小标宋简体" w:hAnsi="华文仿宋" w:eastAsia="方正小标宋简体"/>
          <w:sz w:val="44"/>
          <w:szCs w:val="44"/>
        </w:rPr>
        <w:t>麻醉咽喉镜注册技术审查指导原则</w:t>
      </w:r>
    </w:p>
    <w:p w14:paraId="7D85C5C9">
      <w:pPr>
        <w:spacing w:line="520" w:lineRule="exact"/>
        <w:ind w:left="2" w:firstLine="640" w:firstLineChars="200"/>
        <w:rPr>
          <w:rFonts w:eastAsia="仿宋_GB2312"/>
          <w:sz w:val="32"/>
          <w:szCs w:val="32"/>
        </w:rPr>
      </w:pPr>
    </w:p>
    <w:p w14:paraId="1001A6DC">
      <w:pPr>
        <w:spacing w:line="520" w:lineRule="exact"/>
        <w:ind w:left="2" w:firstLine="640" w:firstLineChars="200"/>
        <w:rPr>
          <w:rFonts w:eastAsia="仿宋_GB2312"/>
          <w:sz w:val="32"/>
          <w:szCs w:val="32"/>
        </w:rPr>
      </w:pPr>
      <w:r>
        <w:rPr>
          <w:rFonts w:eastAsia="仿宋_GB2312"/>
          <w:sz w:val="32"/>
          <w:szCs w:val="32"/>
        </w:rPr>
        <w:t>本指导原则旨在指导注册申请人准备及撰写麻醉咽喉镜注册申报资料，同时也为技术审评部门审评注册申报资料提供参考。</w:t>
      </w:r>
    </w:p>
    <w:p w14:paraId="2A6AFCB2">
      <w:pPr>
        <w:spacing w:line="520" w:lineRule="exact"/>
        <w:ind w:left="2" w:firstLine="640" w:firstLineChars="200"/>
        <w:rPr>
          <w:rFonts w:eastAsia="仿宋_GB2312"/>
          <w:sz w:val="32"/>
          <w:szCs w:val="32"/>
        </w:rPr>
      </w:pPr>
      <w:r>
        <w:rPr>
          <w:rFonts w:eastAsia="仿宋_GB2312"/>
          <w:sz w:val="32"/>
          <w:szCs w:val="32"/>
        </w:rPr>
        <w:t>本指导原则是对麻醉咽喉镜的</w:t>
      </w:r>
      <w:r>
        <w:rPr>
          <w:rFonts w:hint="eastAsia" w:eastAsia="仿宋_GB2312"/>
          <w:sz w:val="32"/>
          <w:szCs w:val="32"/>
        </w:rPr>
        <w:t>注册申报资料的</w:t>
      </w:r>
      <w:r>
        <w:rPr>
          <w:rFonts w:eastAsia="仿宋_GB2312"/>
          <w:sz w:val="32"/>
          <w:szCs w:val="32"/>
        </w:rPr>
        <w:t>一般性要求，</w:t>
      </w:r>
      <w:r>
        <w:rPr>
          <w:rFonts w:hint="eastAsia" w:eastAsia="仿宋_GB2312"/>
          <w:sz w:val="32"/>
          <w:szCs w:val="32"/>
        </w:rPr>
        <w:t>注册</w:t>
      </w:r>
      <w:r>
        <w:rPr>
          <w:rFonts w:eastAsia="仿宋_GB2312"/>
          <w:sz w:val="32"/>
          <w:szCs w:val="32"/>
        </w:rPr>
        <w:t>申请人应根据产品的</w:t>
      </w:r>
      <w:r>
        <w:rPr>
          <w:rFonts w:hint="eastAsia" w:eastAsia="仿宋_GB2312"/>
          <w:sz w:val="32"/>
          <w:szCs w:val="32"/>
        </w:rPr>
        <w:t>具体</w:t>
      </w:r>
      <w:r>
        <w:rPr>
          <w:rFonts w:eastAsia="仿宋_GB2312"/>
          <w:sz w:val="32"/>
          <w:szCs w:val="32"/>
        </w:rPr>
        <w:t>特性，判断指导原则中的具体内容是否适用，不适用内容应详述理由</w:t>
      </w:r>
      <w:r>
        <w:rPr>
          <w:rFonts w:hint="eastAsia" w:eastAsia="仿宋_GB2312"/>
          <w:sz w:val="32"/>
          <w:szCs w:val="32"/>
        </w:rPr>
        <w:t>及相应的科学依据</w:t>
      </w:r>
      <w:r>
        <w:rPr>
          <w:rFonts w:eastAsia="仿宋_GB2312"/>
          <w:sz w:val="32"/>
          <w:szCs w:val="32"/>
        </w:rPr>
        <w:t>。并依据产品的具体特性对注册申报资料的内容进行充实和细化。</w:t>
      </w:r>
    </w:p>
    <w:p w14:paraId="656D0A09">
      <w:pPr>
        <w:spacing w:line="520" w:lineRule="exact"/>
        <w:ind w:left="2" w:firstLine="640" w:firstLineChars="200"/>
        <w:rPr>
          <w:rFonts w:eastAsia="仿宋_GB2312"/>
          <w:sz w:val="32"/>
          <w:szCs w:val="32"/>
        </w:rPr>
      </w:pPr>
      <w:r>
        <w:rPr>
          <w:rFonts w:eastAsia="仿宋_GB2312"/>
          <w:sz w:val="32"/>
          <w:szCs w:val="32"/>
        </w:rPr>
        <w:t>本指导原则是供</w:t>
      </w:r>
      <w:r>
        <w:rPr>
          <w:rFonts w:hint="eastAsia" w:eastAsia="仿宋_GB2312"/>
          <w:sz w:val="32"/>
          <w:szCs w:val="32"/>
        </w:rPr>
        <w:t>注册</w:t>
      </w:r>
      <w:r>
        <w:rPr>
          <w:rFonts w:eastAsia="仿宋_GB2312"/>
          <w:sz w:val="32"/>
          <w:szCs w:val="32"/>
        </w:rPr>
        <w:t>申请人和</w:t>
      </w:r>
      <w:r>
        <w:rPr>
          <w:rFonts w:hint="eastAsia" w:eastAsia="仿宋_GB2312"/>
          <w:sz w:val="32"/>
          <w:szCs w:val="32"/>
        </w:rPr>
        <w:t>技术审评</w:t>
      </w:r>
      <w:r>
        <w:rPr>
          <w:rFonts w:eastAsia="仿宋_GB2312"/>
          <w:sz w:val="32"/>
          <w:szCs w:val="32"/>
        </w:rPr>
        <w:t>人员的指导性文件，</w:t>
      </w:r>
      <w:r>
        <w:rPr>
          <w:rFonts w:hint="eastAsia" w:eastAsia="仿宋_GB2312"/>
          <w:sz w:val="32"/>
          <w:szCs w:val="32"/>
        </w:rPr>
        <w:t>但不包括</w:t>
      </w:r>
      <w:r>
        <w:rPr>
          <w:rFonts w:eastAsia="仿宋_GB2312"/>
          <w:sz w:val="32"/>
          <w:szCs w:val="32"/>
        </w:rPr>
        <w:t>注册审批</w:t>
      </w:r>
      <w:r>
        <w:rPr>
          <w:rFonts w:hint="eastAsia" w:eastAsia="仿宋_GB2312"/>
          <w:sz w:val="32"/>
          <w:szCs w:val="32"/>
        </w:rPr>
        <w:t>所涉及的</w:t>
      </w:r>
      <w:r>
        <w:rPr>
          <w:rFonts w:eastAsia="仿宋_GB2312"/>
          <w:sz w:val="32"/>
          <w:szCs w:val="32"/>
        </w:rPr>
        <w:t>行政事项，亦不作为法规强制执行，应在遵循相关法规的前提下使用本指导原则。</w:t>
      </w:r>
    </w:p>
    <w:p w14:paraId="2326DF27">
      <w:pPr>
        <w:spacing w:line="520" w:lineRule="exact"/>
        <w:ind w:left="2" w:firstLine="640" w:firstLineChars="200"/>
        <w:rPr>
          <w:rFonts w:eastAsia="仿宋_GB2312"/>
          <w:sz w:val="32"/>
          <w:szCs w:val="32"/>
        </w:rPr>
      </w:pPr>
      <w:r>
        <w:rPr>
          <w:rFonts w:eastAsia="仿宋_GB2312"/>
          <w:sz w:val="32"/>
          <w:szCs w:val="32"/>
        </w:rPr>
        <w:t>如有能够满足法规要求的其他方法，也可以采用，但应提供详细的研究资料和验证资料。本指导原则是在现行法规和标准体系以及当前认知水平下制定的，随着法规和标准体系的不断完善和科学技术的不断发展，本指导原则相关内容也将适时进行调整。</w:t>
      </w:r>
    </w:p>
    <w:p w14:paraId="254B9384">
      <w:pPr>
        <w:spacing w:line="520" w:lineRule="exact"/>
        <w:ind w:firstLine="640" w:firstLineChars="200"/>
        <w:outlineLvl w:val="0"/>
        <w:rPr>
          <w:rFonts w:eastAsia="黑体"/>
          <w:sz w:val="32"/>
          <w:szCs w:val="32"/>
        </w:rPr>
      </w:pPr>
      <w:r>
        <w:rPr>
          <w:rFonts w:eastAsia="黑体"/>
          <w:sz w:val="32"/>
          <w:szCs w:val="32"/>
        </w:rPr>
        <w:t>一、适用范围</w:t>
      </w:r>
    </w:p>
    <w:p w14:paraId="5D90442B">
      <w:pPr>
        <w:spacing w:line="520" w:lineRule="exact"/>
        <w:ind w:left="2" w:firstLine="640" w:firstLineChars="200"/>
        <w:rPr>
          <w:rFonts w:hint="eastAsia" w:eastAsia="仿宋_GB2312"/>
          <w:sz w:val="32"/>
          <w:szCs w:val="32"/>
          <w:lang w:eastAsia="zh-CN"/>
        </w:rPr>
      </w:pPr>
      <w:r>
        <w:rPr>
          <w:rFonts w:eastAsia="仿宋_GB2312"/>
          <w:sz w:val="32"/>
          <w:szCs w:val="32"/>
        </w:rPr>
        <w:t>本指导原则适用于麻醉咽喉镜产品，包括重复使用的麻醉咽喉镜和一次性使用麻醉咽喉镜，参考《医疗器械分类目录》</w:t>
      </w:r>
      <w:r>
        <w:rPr>
          <w:rFonts w:hint="eastAsia" w:ascii="仿宋_GB2312" w:hAnsi="华文仿宋" w:eastAsia="仿宋_GB2312"/>
          <w:sz w:val="32"/>
          <w:szCs w:val="32"/>
        </w:rPr>
        <w:t>，该类设备</w:t>
      </w:r>
      <w:r>
        <w:rPr>
          <w:rFonts w:eastAsia="仿宋_GB2312"/>
          <w:sz w:val="32"/>
          <w:szCs w:val="32"/>
        </w:rPr>
        <w:t>按第二类医疗器械管理</w:t>
      </w:r>
      <w:r>
        <w:rPr>
          <w:rFonts w:hint="eastAsia" w:eastAsia="仿宋_GB2312"/>
          <w:sz w:val="32"/>
          <w:szCs w:val="32"/>
        </w:rPr>
        <w:t>，</w:t>
      </w:r>
      <w:r>
        <w:rPr>
          <w:rFonts w:hint="eastAsia" w:ascii="仿宋_GB2312" w:hAnsi="华文仿宋" w:eastAsia="仿宋_GB2312"/>
          <w:sz w:val="32"/>
          <w:szCs w:val="32"/>
        </w:rPr>
        <w:t>分类编码为</w:t>
      </w:r>
      <w:r>
        <w:rPr>
          <w:rFonts w:eastAsia="仿宋_GB2312"/>
          <w:sz w:val="32"/>
          <w:szCs w:val="32"/>
        </w:rPr>
        <w:t>08</w:t>
      </w:r>
      <w:r>
        <w:rPr>
          <w:rFonts w:hint="eastAsia" w:ascii="仿宋_GB2312" w:hAnsi="华文仿宋" w:eastAsia="仿宋_GB2312"/>
          <w:sz w:val="32"/>
          <w:szCs w:val="32"/>
        </w:rPr>
        <w:t>—</w:t>
      </w:r>
      <w:r>
        <w:rPr>
          <w:rFonts w:eastAsia="仿宋_GB2312"/>
          <w:sz w:val="32"/>
          <w:szCs w:val="32"/>
        </w:rPr>
        <w:t>05</w:t>
      </w:r>
      <w:r>
        <w:rPr>
          <w:rFonts w:hint="eastAsia" w:ascii="仿宋_GB2312" w:hAnsi="华文仿宋" w:eastAsia="仿宋_GB2312"/>
          <w:sz w:val="32"/>
          <w:szCs w:val="32"/>
        </w:rPr>
        <w:t>—</w:t>
      </w:r>
      <w:r>
        <w:rPr>
          <w:rFonts w:eastAsia="仿宋_GB2312"/>
          <w:sz w:val="32"/>
          <w:szCs w:val="32"/>
        </w:rPr>
        <w:t>06</w:t>
      </w:r>
      <w:r>
        <w:rPr>
          <w:rFonts w:hint="eastAsia" w:eastAsia="仿宋_GB2312"/>
          <w:sz w:val="32"/>
          <w:szCs w:val="32"/>
          <w:lang w:eastAsia="zh-CN"/>
        </w:rPr>
        <w:t>。</w:t>
      </w:r>
      <w:r>
        <w:rPr>
          <w:rFonts w:eastAsia="仿宋_GB2312"/>
          <w:sz w:val="32"/>
          <w:szCs w:val="32"/>
        </w:rPr>
        <w:t>对于仅包括窥视片、不包括手柄的产品，本指导原则也可参照执行。</w:t>
      </w:r>
    </w:p>
    <w:p w14:paraId="0C734052">
      <w:pPr>
        <w:spacing w:line="520" w:lineRule="exact"/>
        <w:ind w:left="2" w:firstLine="640" w:firstLineChars="200"/>
        <w:rPr>
          <w:rFonts w:eastAsia="仿宋_GB2312"/>
          <w:sz w:val="32"/>
          <w:szCs w:val="32"/>
        </w:rPr>
      </w:pPr>
      <w:r>
        <w:rPr>
          <w:rFonts w:eastAsia="仿宋_GB2312"/>
          <w:sz w:val="32"/>
          <w:szCs w:val="32"/>
        </w:rPr>
        <w:t>本指导原则不适用于带有视频功能的喉镜产品和与之配套的喉镜片。</w:t>
      </w:r>
    </w:p>
    <w:p w14:paraId="3C774A01">
      <w:pPr>
        <w:spacing w:line="520" w:lineRule="exact"/>
        <w:ind w:firstLine="640" w:firstLineChars="200"/>
        <w:outlineLvl w:val="0"/>
        <w:rPr>
          <w:rFonts w:eastAsia="黑体"/>
          <w:sz w:val="32"/>
          <w:szCs w:val="32"/>
        </w:rPr>
      </w:pPr>
      <w:r>
        <w:rPr>
          <w:rFonts w:eastAsia="黑体"/>
          <w:sz w:val="32"/>
          <w:szCs w:val="32"/>
        </w:rPr>
        <w:t>二、技术审查要点</w:t>
      </w:r>
    </w:p>
    <w:p w14:paraId="475ED564">
      <w:pPr>
        <w:spacing w:line="520" w:lineRule="exact"/>
        <w:ind w:firstLine="640" w:firstLineChars="200"/>
        <w:outlineLvl w:val="1"/>
        <w:rPr>
          <w:rFonts w:eastAsia="楷体_GB2312"/>
          <w:sz w:val="32"/>
          <w:szCs w:val="32"/>
        </w:rPr>
      </w:pPr>
      <w:r>
        <w:rPr>
          <w:rFonts w:hint="eastAsia" w:eastAsia="楷体_GB2312"/>
          <w:sz w:val="32"/>
          <w:szCs w:val="32"/>
        </w:rPr>
        <w:t>（一）监管信息</w:t>
      </w:r>
    </w:p>
    <w:p w14:paraId="1C2D2CAE">
      <w:pPr>
        <w:spacing w:line="520" w:lineRule="exact"/>
        <w:ind w:firstLine="640" w:firstLineChars="200"/>
        <w:outlineLvl w:val="1"/>
        <w:rPr>
          <w:rFonts w:eastAsia="楷体_GB2312"/>
          <w:sz w:val="32"/>
          <w:szCs w:val="32"/>
        </w:rPr>
      </w:pPr>
      <w:r>
        <w:rPr>
          <w:rFonts w:hint="eastAsia" w:eastAsia="楷体_GB2312"/>
          <w:sz w:val="32"/>
          <w:szCs w:val="32"/>
        </w:rPr>
        <w:t>1.</w:t>
      </w:r>
      <w:r>
        <w:rPr>
          <w:rFonts w:eastAsia="楷体_GB2312"/>
          <w:sz w:val="32"/>
          <w:szCs w:val="32"/>
        </w:rPr>
        <w:t>产品名称</w:t>
      </w:r>
    </w:p>
    <w:p w14:paraId="0C17D067">
      <w:pPr>
        <w:spacing w:line="520" w:lineRule="exact"/>
        <w:ind w:left="2" w:firstLine="640" w:firstLineChars="200"/>
        <w:rPr>
          <w:rFonts w:eastAsia="仿宋_GB2312"/>
          <w:sz w:val="32"/>
          <w:szCs w:val="32"/>
        </w:rPr>
      </w:pPr>
      <w:r>
        <w:rPr>
          <w:rFonts w:eastAsia="仿宋_GB2312"/>
          <w:sz w:val="32"/>
          <w:szCs w:val="32"/>
        </w:rPr>
        <w:t>产品名称应遵循《医疗器械通用名称命名规则》</w:t>
      </w:r>
      <w:r>
        <w:rPr>
          <w:rFonts w:hint="eastAsia" w:eastAsia="仿宋_GB2312"/>
          <w:sz w:val="32"/>
          <w:szCs w:val="32"/>
        </w:rPr>
        <w:t>《呼吸、麻醉和急救器械通用名称命名指导原则》</w:t>
      </w:r>
      <w:r>
        <w:rPr>
          <w:rFonts w:eastAsia="仿宋_GB2312"/>
          <w:sz w:val="32"/>
          <w:szCs w:val="32"/>
        </w:rPr>
        <w:t>等规范性文件的要求。产品名称应以体现产品的工作原理、技术结构特征、功能属性为基本准则，如“麻醉咽喉镜</w:t>
      </w:r>
      <w:r>
        <w:rPr>
          <w:rFonts w:eastAsia="仿宋_GB2312"/>
          <w:color w:val="000000"/>
          <w:sz w:val="32"/>
          <w:szCs w:val="32"/>
        </w:rPr>
        <w:t>”“</w:t>
      </w:r>
      <w:r>
        <w:rPr>
          <w:rFonts w:eastAsia="仿宋_GB2312"/>
          <w:sz w:val="32"/>
          <w:szCs w:val="32"/>
        </w:rPr>
        <w:t>一次性使用麻醉咽喉镜”。</w:t>
      </w:r>
    </w:p>
    <w:p w14:paraId="355ADE25">
      <w:pPr>
        <w:spacing w:line="520" w:lineRule="exact"/>
        <w:ind w:firstLine="640" w:firstLineChars="200"/>
        <w:outlineLvl w:val="1"/>
        <w:rPr>
          <w:rFonts w:eastAsia="楷体_GB2312"/>
          <w:sz w:val="32"/>
          <w:szCs w:val="32"/>
        </w:rPr>
      </w:pPr>
      <w:r>
        <w:rPr>
          <w:rFonts w:hint="eastAsia" w:eastAsia="楷体_GB2312"/>
          <w:sz w:val="32"/>
          <w:szCs w:val="32"/>
          <w:lang w:val="en-US" w:eastAsia="zh-CN"/>
        </w:rPr>
        <w:t>2</w:t>
      </w:r>
      <w:r>
        <w:rPr>
          <w:rFonts w:hint="eastAsia" w:eastAsia="楷体_GB2312"/>
          <w:sz w:val="32"/>
          <w:szCs w:val="32"/>
        </w:rPr>
        <w:t>.</w:t>
      </w:r>
      <w:r>
        <w:rPr>
          <w:rFonts w:eastAsia="楷体_GB2312"/>
          <w:sz w:val="32"/>
          <w:szCs w:val="32"/>
        </w:rPr>
        <w:t>注册单元划分的原则和实例</w:t>
      </w:r>
    </w:p>
    <w:p w14:paraId="7A0904E9">
      <w:pPr>
        <w:spacing w:line="520" w:lineRule="exact"/>
        <w:ind w:left="2" w:firstLine="640" w:firstLineChars="200"/>
        <w:rPr>
          <w:rFonts w:eastAsia="楷体_GB2312"/>
          <w:sz w:val="32"/>
          <w:szCs w:val="32"/>
        </w:rPr>
      </w:pPr>
      <w:r>
        <w:rPr>
          <w:rFonts w:eastAsia="仿宋_GB2312"/>
          <w:sz w:val="32"/>
          <w:szCs w:val="32"/>
        </w:rPr>
        <w:t>依据《医疗器械注册单元划分指导原则》的相关要求，</w:t>
      </w:r>
      <w:r>
        <w:rPr>
          <w:rFonts w:hint="eastAsia" w:eastAsia="仿宋_GB2312"/>
          <w:sz w:val="32"/>
          <w:szCs w:val="32"/>
        </w:rPr>
        <w:t>原则上以产品的技术原理、结构组成、性能指标和适用范围为划分依据。</w:t>
      </w:r>
      <w:r>
        <w:rPr>
          <w:rFonts w:hint="eastAsia" w:eastAsia="仿宋_GB2312"/>
          <w:sz w:val="32"/>
          <w:szCs w:val="32"/>
          <w:lang w:val="en-US" w:eastAsia="zh-CN"/>
        </w:rPr>
        <w:t>由于一次性使用麻醉咽喉镜与可重复使用麻醉咽喉镜的</w:t>
      </w:r>
      <w:r>
        <w:rPr>
          <w:rFonts w:eastAsia="仿宋_GB2312"/>
          <w:sz w:val="32"/>
          <w:szCs w:val="32"/>
        </w:rPr>
        <w:t>原材料、生产工艺（</w:t>
      </w:r>
      <w:r>
        <w:rPr>
          <w:rFonts w:eastAsia="仿宋_GB2312"/>
          <w:color w:val="000000"/>
          <w:sz w:val="32"/>
          <w:szCs w:val="32"/>
        </w:rPr>
        <w:t>含</w:t>
      </w:r>
      <w:r>
        <w:rPr>
          <w:rFonts w:eastAsia="仿宋_GB2312"/>
          <w:sz w:val="32"/>
          <w:szCs w:val="32"/>
        </w:rPr>
        <w:t>灭菌方式）存在明显差异，</w:t>
      </w:r>
      <w:r>
        <w:rPr>
          <w:rFonts w:hint="eastAsia" w:eastAsia="仿宋_GB2312"/>
          <w:sz w:val="32"/>
          <w:szCs w:val="32"/>
        </w:rPr>
        <w:t>导致产品安全有效性存在差异时，</w:t>
      </w:r>
      <w:r>
        <w:rPr>
          <w:rFonts w:eastAsia="仿宋_GB2312"/>
          <w:sz w:val="32"/>
          <w:szCs w:val="32"/>
        </w:rPr>
        <w:t>应划分为不同的注册单元；分体和连体的麻醉咽喉镜，如区别仅为窥视片与手柄是否分离，可以划分为同一注册单元。</w:t>
      </w:r>
    </w:p>
    <w:p w14:paraId="470E45D2">
      <w:pPr>
        <w:numPr>
          <w:ilvl w:val="0"/>
          <w:numId w:val="1"/>
        </w:numPr>
        <w:spacing w:line="520" w:lineRule="exact"/>
        <w:ind w:firstLine="640" w:firstLineChars="200"/>
        <w:outlineLvl w:val="1"/>
        <w:rPr>
          <w:rFonts w:eastAsia="楷体_GB2312"/>
          <w:sz w:val="32"/>
          <w:szCs w:val="32"/>
        </w:rPr>
      </w:pPr>
      <w:r>
        <w:rPr>
          <w:rFonts w:hint="eastAsia" w:eastAsia="楷体_GB2312"/>
          <w:sz w:val="32"/>
          <w:szCs w:val="32"/>
        </w:rPr>
        <w:t>综述资料</w:t>
      </w:r>
    </w:p>
    <w:p w14:paraId="099967C7">
      <w:pPr>
        <w:pStyle w:val="17"/>
        <w:overflowPunct w:val="0"/>
        <w:autoSpaceDE w:val="0"/>
        <w:autoSpaceDN w:val="0"/>
        <w:spacing w:line="520" w:lineRule="exact"/>
        <w:ind w:right="210" w:firstLine="640"/>
        <w:outlineLvl w:val="3"/>
        <w:rPr>
          <w:rFonts w:ascii="Times New Roman" w:hAnsi="Times New Roman" w:eastAsia="仿宋_GB2312"/>
          <w:snapToGrid w:val="0"/>
          <w:kern w:val="0"/>
          <w:sz w:val="32"/>
          <w:szCs w:val="32"/>
        </w:rPr>
      </w:pPr>
      <w:r>
        <w:rPr>
          <w:rFonts w:hint="eastAsia" w:ascii="Times New Roman" w:hAnsi="Times New Roman" w:eastAsia="仿宋_GB2312"/>
          <w:snapToGrid w:val="0"/>
          <w:kern w:val="0"/>
          <w:sz w:val="32"/>
          <w:szCs w:val="32"/>
        </w:rPr>
        <w:t>1.器械及操作原理描述</w:t>
      </w:r>
    </w:p>
    <w:p w14:paraId="5D2EF2A4">
      <w:pPr>
        <w:spacing w:line="520" w:lineRule="exact"/>
        <w:ind w:firstLine="640" w:firstLineChars="200"/>
        <w:outlineLvl w:val="1"/>
        <w:rPr>
          <w:rFonts w:eastAsia="楷体_GB2312"/>
          <w:sz w:val="32"/>
          <w:szCs w:val="32"/>
        </w:rPr>
      </w:pPr>
      <w:r>
        <w:rPr>
          <w:rFonts w:hint="eastAsia" w:eastAsia="楷体_GB2312"/>
          <w:sz w:val="32"/>
          <w:szCs w:val="32"/>
        </w:rPr>
        <w:t>1.1</w:t>
      </w:r>
      <w:r>
        <w:rPr>
          <w:rFonts w:eastAsia="楷体_GB2312"/>
          <w:sz w:val="32"/>
          <w:szCs w:val="32"/>
        </w:rPr>
        <w:t>工作原理</w:t>
      </w:r>
    </w:p>
    <w:p w14:paraId="6D1F6401">
      <w:pPr>
        <w:spacing w:line="520" w:lineRule="exact"/>
        <w:ind w:left="2" w:firstLine="640" w:firstLineChars="200"/>
        <w:rPr>
          <w:rFonts w:eastAsia="仿宋_GB2312"/>
          <w:sz w:val="32"/>
          <w:szCs w:val="32"/>
        </w:rPr>
      </w:pPr>
      <w:r>
        <w:rPr>
          <w:rFonts w:eastAsia="仿宋_GB2312"/>
          <w:sz w:val="32"/>
          <w:szCs w:val="32"/>
        </w:rPr>
        <w:t>麻醉咽喉镜</w:t>
      </w:r>
      <w:r>
        <w:rPr>
          <w:rFonts w:hint="eastAsia" w:eastAsia="仿宋_GB2312"/>
          <w:sz w:val="32"/>
          <w:szCs w:val="32"/>
        </w:rPr>
        <w:t>一般</w:t>
      </w:r>
      <w:r>
        <w:rPr>
          <w:rFonts w:eastAsia="仿宋_GB2312"/>
          <w:sz w:val="32"/>
          <w:szCs w:val="32"/>
        </w:rPr>
        <w:t>由窥视片和手柄组成，当电源接通后，窥视片插入患者的口腔中并压住舌部，光束可集中照射于咽喉部位。供临床喉部检查、协助插管用。</w:t>
      </w:r>
    </w:p>
    <w:p w14:paraId="684C5FD0">
      <w:pPr>
        <w:spacing w:line="520" w:lineRule="exact"/>
        <w:ind w:left="2" w:firstLine="640" w:firstLineChars="200"/>
        <w:rPr>
          <w:rFonts w:eastAsia="仿宋_GB2312"/>
          <w:sz w:val="32"/>
          <w:szCs w:val="32"/>
        </w:rPr>
      </w:pPr>
      <w:r>
        <w:rPr>
          <w:rFonts w:eastAsia="仿宋_GB2312"/>
          <w:sz w:val="32"/>
          <w:szCs w:val="32"/>
        </w:rPr>
        <w:t>描述产品的工作原理、主要功能及其组成部件（关键组件）的功能，以及区别于其他同类产品的特征等内容。</w:t>
      </w:r>
    </w:p>
    <w:p w14:paraId="5504ACAA">
      <w:pPr>
        <w:spacing w:line="520" w:lineRule="exact"/>
        <w:ind w:firstLine="640" w:firstLineChars="200"/>
        <w:outlineLvl w:val="1"/>
        <w:rPr>
          <w:rFonts w:eastAsia="楷体_GB2312"/>
          <w:sz w:val="32"/>
          <w:szCs w:val="32"/>
        </w:rPr>
      </w:pPr>
      <w:r>
        <w:rPr>
          <w:rFonts w:hint="eastAsia" w:eastAsia="楷体_GB2312"/>
          <w:sz w:val="32"/>
          <w:szCs w:val="32"/>
        </w:rPr>
        <w:t>1.2</w:t>
      </w:r>
      <w:r>
        <w:rPr>
          <w:rFonts w:eastAsia="楷体_GB2312"/>
          <w:sz w:val="32"/>
          <w:szCs w:val="32"/>
        </w:rPr>
        <w:t>结构组成</w:t>
      </w:r>
    </w:p>
    <w:p w14:paraId="2F60EA7F">
      <w:pPr>
        <w:spacing w:line="520" w:lineRule="exact"/>
        <w:ind w:left="2" w:firstLine="640" w:firstLineChars="200"/>
        <w:rPr>
          <w:rFonts w:eastAsia="仿宋_GB2312"/>
          <w:sz w:val="32"/>
          <w:szCs w:val="32"/>
        </w:rPr>
      </w:pPr>
      <w:r>
        <w:rPr>
          <w:rFonts w:eastAsia="仿宋_GB2312"/>
          <w:sz w:val="32"/>
          <w:szCs w:val="32"/>
        </w:rPr>
        <w:t>麻醉咽喉镜</w:t>
      </w:r>
      <w:r>
        <w:rPr>
          <w:rFonts w:hint="eastAsia" w:eastAsia="仿宋_GB2312"/>
          <w:sz w:val="32"/>
          <w:szCs w:val="32"/>
        </w:rPr>
        <w:t>一般</w:t>
      </w:r>
      <w:r>
        <w:rPr>
          <w:rFonts w:eastAsia="仿宋_GB2312"/>
          <w:sz w:val="32"/>
          <w:szCs w:val="32"/>
        </w:rPr>
        <w:t>由窥视片和手柄组成</w:t>
      </w:r>
      <w:r>
        <w:rPr>
          <w:rFonts w:hint="eastAsia" w:eastAsia="仿宋_GB2312"/>
          <w:sz w:val="32"/>
          <w:szCs w:val="32"/>
        </w:rPr>
        <w:t>。</w:t>
      </w:r>
    </w:p>
    <w:p w14:paraId="3410E3D4">
      <w:pPr>
        <w:spacing w:line="520" w:lineRule="exact"/>
        <w:ind w:left="2" w:firstLine="640" w:firstLineChars="200"/>
        <w:rPr>
          <w:rFonts w:eastAsia="仿宋_GB2312"/>
          <w:sz w:val="32"/>
          <w:szCs w:val="32"/>
        </w:rPr>
      </w:pPr>
      <w:r>
        <w:rPr>
          <w:rFonts w:eastAsia="仿宋_GB2312"/>
          <w:sz w:val="32"/>
          <w:szCs w:val="32"/>
        </w:rPr>
        <w:t>按照结构的不同，分为连体式和分体式；按照光源不同，分为LED光源式、灯泡光源式</w:t>
      </w:r>
      <w:r>
        <w:rPr>
          <w:rFonts w:eastAsia="仿宋_GB2312"/>
          <w:color w:val="FF0000"/>
          <w:sz w:val="32"/>
          <w:szCs w:val="32"/>
        </w:rPr>
        <w:t>；</w:t>
      </w:r>
      <w:r>
        <w:rPr>
          <w:rFonts w:eastAsia="仿宋_GB2312"/>
          <w:sz w:val="32"/>
          <w:szCs w:val="32"/>
        </w:rPr>
        <w:t>按照导光方式不同，分为直接照明式和纤维导光束照明式；窥视片可按照形式的不同，分为弯型、直型、弯钩型等；按照使用次数可以分为可重复使用和一次性使用产品。</w:t>
      </w:r>
    </w:p>
    <w:p w14:paraId="0700FFC1">
      <w:pPr>
        <w:spacing w:line="520" w:lineRule="exact"/>
        <w:ind w:left="2" w:firstLine="640" w:firstLineChars="200"/>
        <w:rPr>
          <w:rFonts w:eastAsia="仿宋_GB2312"/>
          <w:sz w:val="32"/>
          <w:szCs w:val="32"/>
        </w:rPr>
      </w:pPr>
      <w:r>
        <w:rPr>
          <w:rFonts w:eastAsia="仿宋_GB2312"/>
          <w:sz w:val="32"/>
          <w:szCs w:val="32"/>
        </w:rPr>
        <w:t>说明麻醉咽喉镜的结构，提供产品结构示意图及实物图（如图1、图2）。</w:t>
      </w:r>
    </w:p>
    <w:p w14:paraId="4C604A62">
      <w:pPr>
        <w:ind w:left="2" w:hanging="2"/>
        <w:jc w:val="center"/>
        <w:rPr>
          <w:rFonts w:hint="eastAsia" w:ascii="仿宋_GB2312" w:hAnsi="华文仿宋" w:eastAsia="仿宋_GB2312"/>
          <w:sz w:val="32"/>
          <w:szCs w:val="32"/>
        </w:rPr>
      </w:pPr>
      <w:r>
        <w:rPr>
          <w:rFonts w:eastAsia="仿宋_GB2312"/>
          <w:sz w:val="28"/>
          <w:szCs w:val="28"/>
        </w:rPr>
        <w:drawing>
          <wp:inline distT="0" distB="0" distL="0" distR="0">
            <wp:extent cx="3505200" cy="1800860"/>
            <wp:effectExtent l="19050" t="0" r="0" b="0"/>
            <wp:docPr id="1" name="图片 1" descr="说明: 窥视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窥视片"/>
                    <pic:cNvPicPr>
                      <a:picLocks noChangeAspect="1" noChangeArrowheads="1"/>
                    </pic:cNvPicPr>
                  </pic:nvPicPr>
                  <pic:blipFill>
                    <a:blip r:embed="rId6"/>
                    <a:srcRect/>
                    <a:stretch>
                      <a:fillRect/>
                    </a:stretch>
                  </pic:blipFill>
                  <pic:spPr>
                    <a:xfrm>
                      <a:off x="0" y="0"/>
                      <a:ext cx="3505200" cy="1800860"/>
                    </a:xfrm>
                    <a:prstGeom prst="rect">
                      <a:avLst/>
                    </a:prstGeom>
                    <a:noFill/>
                    <a:ln w="9525">
                      <a:noFill/>
                      <a:miter lim="800000"/>
                      <a:headEnd/>
                      <a:tailEnd/>
                    </a:ln>
                  </pic:spPr>
                </pic:pic>
              </a:graphicData>
            </a:graphic>
          </wp:inline>
        </w:drawing>
      </w:r>
    </w:p>
    <w:p w14:paraId="25125F14">
      <w:pPr>
        <w:jc w:val="center"/>
        <w:rPr>
          <w:rFonts w:eastAsia="仿宋_GB2312"/>
          <w:szCs w:val="32"/>
        </w:rPr>
      </w:pPr>
      <w:r>
        <w:rPr>
          <w:rFonts w:eastAsia="仿宋_GB2312"/>
          <w:szCs w:val="32"/>
        </w:rPr>
        <w:t>1</w:t>
      </w:r>
      <w:r>
        <w:rPr>
          <w:rFonts w:hint="eastAsia" w:eastAsia="仿宋_GB2312"/>
          <w:szCs w:val="32"/>
        </w:rPr>
        <w:t>—</w:t>
      </w:r>
      <w:r>
        <w:rPr>
          <w:rFonts w:eastAsia="仿宋_GB2312"/>
          <w:szCs w:val="32"/>
        </w:rPr>
        <w:t>光源；2</w:t>
      </w:r>
      <w:r>
        <w:rPr>
          <w:rFonts w:hint="eastAsia" w:eastAsia="仿宋_GB2312"/>
          <w:szCs w:val="32"/>
        </w:rPr>
        <w:t>—</w:t>
      </w:r>
      <w:r>
        <w:rPr>
          <w:rFonts w:eastAsia="仿宋_GB2312"/>
          <w:szCs w:val="32"/>
        </w:rPr>
        <w:t>铰链槽；3</w:t>
      </w:r>
      <w:r>
        <w:rPr>
          <w:rFonts w:hint="eastAsia" w:eastAsia="仿宋_GB2312"/>
          <w:szCs w:val="32"/>
        </w:rPr>
        <w:t>—</w:t>
      </w:r>
      <w:r>
        <w:rPr>
          <w:rFonts w:eastAsia="仿宋_GB2312"/>
          <w:szCs w:val="32"/>
        </w:rPr>
        <w:t>电接触点；4</w:t>
      </w:r>
      <w:r>
        <w:rPr>
          <w:rFonts w:hint="eastAsia" w:eastAsia="仿宋_GB2312"/>
          <w:szCs w:val="32"/>
        </w:rPr>
        <w:t>—</w:t>
      </w:r>
      <w:r>
        <w:rPr>
          <w:rFonts w:eastAsia="仿宋_GB2312"/>
          <w:szCs w:val="32"/>
        </w:rPr>
        <w:t>锁定表面；</w:t>
      </w:r>
    </w:p>
    <w:p w14:paraId="4CD65510">
      <w:pPr>
        <w:jc w:val="center"/>
        <w:rPr>
          <w:rFonts w:eastAsia="仿宋_GB2312"/>
          <w:szCs w:val="32"/>
        </w:rPr>
      </w:pPr>
      <w:r>
        <w:rPr>
          <w:rFonts w:eastAsia="仿宋_GB2312"/>
          <w:szCs w:val="32"/>
        </w:rPr>
        <w:t>B</w:t>
      </w:r>
      <w:r>
        <w:rPr>
          <w:rFonts w:hint="eastAsia" w:eastAsia="仿宋_GB2312"/>
          <w:szCs w:val="32"/>
        </w:rPr>
        <w:t>—</w:t>
      </w:r>
      <w:r>
        <w:rPr>
          <w:rFonts w:eastAsia="仿宋_GB2312"/>
          <w:szCs w:val="32"/>
        </w:rPr>
        <w:t>窥视片的宽度；H</w:t>
      </w:r>
      <w:r>
        <w:rPr>
          <w:rFonts w:hint="eastAsia" w:eastAsia="仿宋_GB2312"/>
          <w:szCs w:val="32"/>
        </w:rPr>
        <w:t>—</w:t>
      </w:r>
      <w:r>
        <w:rPr>
          <w:rFonts w:eastAsia="仿宋_GB2312"/>
          <w:szCs w:val="32"/>
        </w:rPr>
        <w:t>窥视片前部尖端至镜片最高处的距离；L</w:t>
      </w:r>
      <w:r>
        <w:rPr>
          <w:rFonts w:hint="eastAsia" w:eastAsia="仿宋_GB2312"/>
          <w:szCs w:val="32"/>
        </w:rPr>
        <w:t>—</w:t>
      </w:r>
      <w:r>
        <w:rPr>
          <w:rFonts w:eastAsia="仿宋_GB2312"/>
          <w:szCs w:val="32"/>
        </w:rPr>
        <w:t>窥视片的有效长度</w:t>
      </w:r>
    </w:p>
    <w:p w14:paraId="558A15A3">
      <w:pPr>
        <w:spacing w:line="520" w:lineRule="exact"/>
        <w:ind w:left="2" w:hanging="2"/>
        <w:jc w:val="center"/>
        <w:rPr>
          <w:rFonts w:hint="eastAsia" w:ascii="黑体" w:hAnsi="黑体" w:eastAsia="黑体"/>
          <w:sz w:val="28"/>
          <w:szCs w:val="28"/>
        </w:rPr>
      </w:pPr>
      <w:r>
        <w:rPr>
          <w:rFonts w:hint="eastAsia" w:ascii="黑体" w:hAnsi="黑体" w:eastAsia="黑体"/>
          <w:sz w:val="28"/>
          <w:szCs w:val="28"/>
        </w:rPr>
        <w:t>图1 窥视片示意图</w:t>
      </w:r>
    </w:p>
    <w:p w14:paraId="2D6CEB5A">
      <w:pPr>
        <w:ind w:left="2" w:hanging="2"/>
        <w:jc w:val="center"/>
        <w:rPr>
          <w:rFonts w:hint="eastAsia" w:ascii="仿宋_GB2312" w:hAnsi="华文仿宋" w:eastAsia="仿宋_GB2312"/>
          <w:sz w:val="32"/>
          <w:szCs w:val="32"/>
        </w:rPr>
      </w:pPr>
      <w:r>
        <w:rPr>
          <w:rFonts w:eastAsia="仿宋_GB2312"/>
          <w:sz w:val="28"/>
          <w:szCs w:val="28"/>
        </w:rPr>
        <w:drawing>
          <wp:inline distT="0" distB="0" distL="0" distR="0">
            <wp:extent cx="3373755" cy="2161540"/>
            <wp:effectExtent l="19050" t="0" r="0" b="0"/>
            <wp:docPr id="2" name="图片 1" descr="说明: t019c89ddfc209050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说明: t019c89ddfc209050c0"/>
                    <pic:cNvPicPr>
                      <a:picLocks noChangeAspect="1" noChangeArrowheads="1"/>
                    </pic:cNvPicPr>
                  </pic:nvPicPr>
                  <pic:blipFill>
                    <a:blip r:embed="rId7"/>
                    <a:srcRect/>
                    <a:stretch>
                      <a:fillRect/>
                    </a:stretch>
                  </pic:blipFill>
                  <pic:spPr>
                    <a:xfrm>
                      <a:off x="0" y="0"/>
                      <a:ext cx="3373755" cy="2161540"/>
                    </a:xfrm>
                    <a:prstGeom prst="rect">
                      <a:avLst/>
                    </a:prstGeom>
                    <a:noFill/>
                    <a:ln w="9525">
                      <a:noFill/>
                      <a:miter lim="800000"/>
                      <a:headEnd/>
                      <a:tailEnd/>
                    </a:ln>
                  </pic:spPr>
                </pic:pic>
              </a:graphicData>
            </a:graphic>
          </wp:inline>
        </w:drawing>
      </w:r>
    </w:p>
    <w:p w14:paraId="468DAD11">
      <w:pPr>
        <w:spacing w:line="520" w:lineRule="exact"/>
        <w:ind w:left="2" w:hanging="2"/>
        <w:jc w:val="center"/>
        <w:rPr>
          <w:rFonts w:hint="eastAsia" w:ascii="黑体" w:hAnsi="黑体" w:eastAsia="黑体"/>
          <w:sz w:val="28"/>
          <w:szCs w:val="32"/>
        </w:rPr>
      </w:pPr>
      <w:r>
        <w:rPr>
          <w:rFonts w:hint="eastAsia" w:ascii="黑体" w:hAnsi="黑体" w:eastAsia="黑体"/>
          <w:sz w:val="28"/>
          <w:szCs w:val="32"/>
        </w:rPr>
        <w:t xml:space="preserve">图2 </w:t>
      </w:r>
      <w:r>
        <w:rPr>
          <w:rFonts w:hint="eastAsia" w:ascii="黑体" w:hAnsi="黑体" w:eastAsia="黑体"/>
          <w:sz w:val="28"/>
          <w:szCs w:val="32"/>
          <w:u w:val="single"/>
        </w:rPr>
        <w:t>典型麻醉咽喉镜实物图</w:t>
      </w:r>
    </w:p>
    <w:p w14:paraId="4435490E">
      <w:pPr>
        <w:spacing w:line="520" w:lineRule="exact"/>
        <w:ind w:left="2" w:firstLine="640" w:firstLineChars="200"/>
        <w:rPr>
          <w:rFonts w:hint="eastAsia" w:ascii="仿宋_GB2312" w:hAnsi="华文仿宋" w:eastAsia="仿宋_GB2312"/>
          <w:sz w:val="32"/>
          <w:szCs w:val="32"/>
        </w:rPr>
      </w:pPr>
    </w:p>
    <w:p w14:paraId="4B407CCC">
      <w:pPr>
        <w:spacing w:line="520" w:lineRule="exact"/>
        <w:ind w:left="2" w:firstLine="640" w:firstLineChars="200"/>
        <w:rPr>
          <w:rFonts w:eastAsia="仿宋_GB2312" w:cs="仿宋_GB2312"/>
          <w:sz w:val="32"/>
          <w:szCs w:val="32"/>
        </w:rPr>
      </w:pPr>
      <w:r>
        <w:rPr>
          <w:rFonts w:hint="eastAsia" w:eastAsia="仿宋_GB2312" w:cs="仿宋_GB2312"/>
          <w:sz w:val="32"/>
          <w:szCs w:val="32"/>
        </w:rPr>
        <w:t>1.3型号规格</w:t>
      </w:r>
    </w:p>
    <w:p w14:paraId="0400685E">
      <w:pPr>
        <w:pStyle w:val="18"/>
        <w:ind w:firstLine="640" w:firstLineChars="200"/>
        <w:rPr>
          <w:rFonts w:eastAsia="仿宋_GB2312" w:cs="仿宋_GB2312"/>
          <w:sz w:val="32"/>
          <w:szCs w:val="32"/>
        </w:rPr>
      </w:pPr>
      <w:r>
        <w:rPr>
          <w:rFonts w:hint="eastAsia" w:eastAsia="仿宋_GB2312" w:cs="仿宋_GB2312"/>
          <w:sz w:val="32"/>
          <w:szCs w:val="32"/>
        </w:rPr>
        <w:t>需明确申报产品的型号规格，产品型号规格及其划分说明，如同一个注册单元包含多个型号规格，需提供产品型号规格区分列表或配置表。</w:t>
      </w:r>
    </w:p>
    <w:p w14:paraId="1EB091DA">
      <w:pPr>
        <w:pStyle w:val="18"/>
        <w:spacing w:line="520" w:lineRule="exact"/>
        <w:ind w:firstLine="640" w:firstLineChars="200"/>
        <w:rPr>
          <w:rFonts w:ascii="Times New Roman" w:hAnsi="Times New Roman" w:eastAsia="仿宋_GB2312"/>
          <w:snapToGrid w:val="0"/>
          <w:sz w:val="32"/>
          <w:szCs w:val="32"/>
        </w:rPr>
      </w:pPr>
      <w:r>
        <w:rPr>
          <w:rFonts w:hint="eastAsia" w:ascii="Times New Roman" w:hAnsi="Times New Roman" w:eastAsia="仿宋_GB2312"/>
          <w:snapToGrid w:val="0"/>
          <w:sz w:val="32"/>
          <w:szCs w:val="32"/>
        </w:rPr>
        <w:t>1.4包装说明</w:t>
      </w:r>
    </w:p>
    <w:p w14:paraId="76D81868">
      <w:pPr>
        <w:pStyle w:val="18"/>
        <w:ind w:firstLine="640" w:firstLineChars="200"/>
        <w:rPr>
          <w:rFonts w:ascii="Times New Roman" w:hAnsi="Times New Roman" w:eastAsia="仿宋_GB2312"/>
          <w:snapToGrid w:val="0"/>
          <w:sz w:val="32"/>
          <w:szCs w:val="32"/>
        </w:rPr>
      </w:pPr>
      <w:r>
        <w:rPr>
          <w:rFonts w:hint="eastAsia" w:ascii="Times New Roman" w:hAnsi="Times New Roman" w:eastAsia="仿宋_GB2312"/>
          <w:snapToGrid w:val="0"/>
          <w:sz w:val="32"/>
          <w:szCs w:val="32"/>
        </w:rPr>
        <w:t>申请人应详细描述申报产品中注册单元所有产品组成的包装情况，说明包装清单和包装方式，提供包装图示。</w:t>
      </w:r>
    </w:p>
    <w:p w14:paraId="5B2D412B">
      <w:pPr>
        <w:pStyle w:val="18"/>
        <w:spacing w:line="520" w:lineRule="exact"/>
        <w:ind w:firstLine="640" w:firstLineChars="200"/>
        <w:rPr>
          <w:rFonts w:ascii="Times New Roman" w:hAnsi="Times New Roman" w:eastAsia="仿宋_GB2312"/>
          <w:snapToGrid w:val="0"/>
          <w:sz w:val="32"/>
          <w:szCs w:val="32"/>
        </w:rPr>
      </w:pPr>
      <w:r>
        <w:rPr>
          <w:rFonts w:hint="eastAsia" w:ascii="Times New Roman" w:hAnsi="Times New Roman" w:eastAsia="仿宋_GB2312"/>
          <w:snapToGrid w:val="0"/>
          <w:sz w:val="32"/>
          <w:szCs w:val="32"/>
        </w:rPr>
        <w:t>1.5研发历程</w:t>
      </w:r>
    </w:p>
    <w:p w14:paraId="722A0455">
      <w:pPr>
        <w:pStyle w:val="18"/>
        <w:spacing w:line="520" w:lineRule="exact"/>
        <w:ind w:firstLine="640" w:firstLineChars="200"/>
        <w:rPr>
          <w:rFonts w:ascii="Times New Roman" w:hAnsi="Times New Roman" w:eastAsia="仿宋_GB2312"/>
          <w:snapToGrid w:val="0"/>
          <w:sz w:val="32"/>
          <w:szCs w:val="32"/>
        </w:rPr>
      </w:pPr>
      <w:r>
        <w:rPr>
          <w:rFonts w:hint="eastAsia" w:ascii="Times New Roman" w:hAnsi="Times New Roman" w:eastAsia="仿宋_GB2312"/>
          <w:snapToGrid w:val="0"/>
          <w:sz w:val="32"/>
          <w:szCs w:val="32"/>
        </w:rPr>
        <w:t>应描述申报产品的研发背景和目的，如申报产品的研发历史概述。</w:t>
      </w:r>
    </w:p>
    <w:p w14:paraId="50F5186E">
      <w:pPr>
        <w:pStyle w:val="18"/>
        <w:spacing w:line="520" w:lineRule="exact"/>
        <w:ind w:firstLine="640" w:firstLineChars="200"/>
        <w:rPr>
          <w:rFonts w:ascii="Times New Roman" w:hAnsi="Times New Roman" w:eastAsia="仿宋_GB2312"/>
          <w:snapToGrid w:val="0"/>
          <w:sz w:val="32"/>
          <w:szCs w:val="32"/>
        </w:rPr>
      </w:pPr>
      <w:r>
        <w:rPr>
          <w:rFonts w:hint="eastAsia" w:ascii="Times New Roman" w:hAnsi="Times New Roman" w:eastAsia="仿宋_GB2312"/>
          <w:snapToGrid w:val="0"/>
          <w:sz w:val="32"/>
          <w:szCs w:val="32"/>
        </w:rPr>
        <w:t>1.6与同类和/或前代产品的参考和比较</w:t>
      </w:r>
    </w:p>
    <w:p w14:paraId="65B70EFF">
      <w:pPr>
        <w:pStyle w:val="18"/>
        <w:ind w:firstLine="640" w:firstLineChars="200"/>
        <w:rPr>
          <w:rFonts w:ascii="Times New Roman" w:hAnsi="Times New Roman" w:eastAsia="仿宋_GB2312"/>
          <w:snapToGrid w:val="0"/>
          <w:sz w:val="32"/>
          <w:szCs w:val="32"/>
        </w:rPr>
      </w:pPr>
      <w:r>
        <w:rPr>
          <w:rFonts w:hint="eastAsia" w:ascii="Times New Roman" w:hAnsi="Times New Roman" w:eastAsia="仿宋_GB2312"/>
          <w:snapToGrid w:val="0"/>
          <w:sz w:val="32"/>
          <w:szCs w:val="32"/>
        </w:rPr>
        <w:t>对于研发参考的同类产品或前代产品，应说明选择其作为研发参考的原因。同时列表说明申报产品与研发参考产品在工作原理、结构组成、性能指标及适用范围等方面的异同。</w:t>
      </w:r>
    </w:p>
    <w:p w14:paraId="3AC74113">
      <w:pPr>
        <w:spacing w:line="520" w:lineRule="exact"/>
        <w:ind w:left="2" w:firstLine="640" w:firstLineChars="200"/>
        <w:rPr>
          <w:rFonts w:eastAsia="仿宋_GB2312" w:cs="仿宋_GB2312"/>
          <w:sz w:val="32"/>
          <w:szCs w:val="32"/>
        </w:rPr>
      </w:pPr>
      <w:r>
        <w:rPr>
          <w:rFonts w:hint="eastAsia" w:eastAsia="仿宋_GB2312" w:cs="仿宋_GB2312"/>
          <w:sz w:val="32"/>
          <w:szCs w:val="32"/>
        </w:rPr>
        <w:t>2.产品的适用范围、适用人群、禁忌证</w:t>
      </w:r>
    </w:p>
    <w:p w14:paraId="09185A16">
      <w:pPr>
        <w:spacing w:line="520" w:lineRule="exact"/>
        <w:ind w:left="2" w:firstLine="640" w:firstLineChars="200"/>
        <w:rPr>
          <w:rFonts w:eastAsia="仿宋_GB2312" w:cs="仿宋_GB2312"/>
          <w:sz w:val="32"/>
          <w:szCs w:val="32"/>
        </w:rPr>
      </w:pPr>
      <w:r>
        <w:rPr>
          <w:rFonts w:hint="eastAsia" w:eastAsia="仿宋_GB2312" w:cs="仿宋_GB2312"/>
          <w:sz w:val="32"/>
          <w:szCs w:val="32"/>
        </w:rPr>
        <w:t>2.1适用范围：供临床喉部检查、急救及麻醉手术时协助插管用。</w:t>
      </w:r>
    </w:p>
    <w:p w14:paraId="0644ABDA">
      <w:pPr>
        <w:spacing w:line="520" w:lineRule="exact"/>
        <w:ind w:left="2" w:firstLine="640" w:firstLineChars="200"/>
        <w:rPr>
          <w:rFonts w:eastAsia="仿宋_GB2312" w:cs="仿宋_GB2312"/>
          <w:sz w:val="32"/>
          <w:szCs w:val="32"/>
        </w:rPr>
      </w:pPr>
      <w:r>
        <w:rPr>
          <w:rFonts w:hint="eastAsia" w:eastAsia="仿宋_GB2312" w:cs="仿宋_GB2312"/>
          <w:sz w:val="32"/>
          <w:szCs w:val="32"/>
        </w:rPr>
        <w:t>2.2适用人群</w:t>
      </w:r>
    </w:p>
    <w:p w14:paraId="138183F8">
      <w:pPr>
        <w:spacing w:line="520" w:lineRule="exact"/>
        <w:ind w:left="2" w:firstLine="640" w:firstLineChars="200"/>
        <w:rPr>
          <w:rFonts w:eastAsia="仿宋_GB2312" w:cs="仿宋_GB2312"/>
          <w:sz w:val="32"/>
          <w:szCs w:val="32"/>
        </w:rPr>
      </w:pPr>
      <w:r>
        <w:rPr>
          <w:rFonts w:hint="eastAsia" w:eastAsia="仿宋_GB2312" w:cs="仿宋_GB2312"/>
          <w:sz w:val="32"/>
          <w:szCs w:val="32"/>
        </w:rPr>
        <w:t>需临床喉部检查、急救及麻醉手术时协助插管用的患者</w:t>
      </w:r>
    </w:p>
    <w:p w14:paraId="6AB0764A">
      <w:pPr>
        <w:spacing w:line="520" w:lineRule="exact"/>
        <w:ind w:firstLine="640" w:firstLineChars="200"/>
        <w:rPr>
          <w:rFonts w:eastAsia="仿宋_GB2312" w:cs="仿宋_GB2312"/>
          <w:sz w:val="32"/>
          <w:szCs w:val="28"/>
        </w:rPr>
      </w:pPr>
      <w:r>
        <w:rPr>
          <w:rFonts w:hint="eastAsia" w:eastAsia="仿宋_GB2312" w:cs="仿宋_GB2312"/>
          <w:sz w:val="32"/>
          <w:szCs w:val="32"/>
        </w:rPr>
        <w:t>2.3</w:t>
      </w:r>
      <w:r>
        <w:rPr>
          <w:rFonts w:hint="eastAsia" w:eastAsia="仿宋_GB2312" w:cs="仿宋_GB2312"/>
          <w:sz w:val="32"/>
          <w:szCs w:val="28"/>
        </w:rPr>
        <w:t>预期使用环境</w:t>
      </w:r>
    </w:p>
    <w:p w14:paraId="0EB6F3BD">
      <w:pPr>
        <w:spacing w:line="520" w:lineRule="exact"/>
        <w:ind w:firstLine="640" w:firstLineChars="200"/>
        <w:rPr>
          <w:rFonts w:eastAsia="仿宋_GB2312" w:cs="仿宋_GB2312"/>
          <w:sz w:val="32"/>
          <w:szCs w:val="28"/>
        </w:rPr>
      </w:pPr>
      <w:r>
        <w:rPr>
          <w:rFonts w:hint="eastAsia" w:eastAsia="仿宋_GB2312" w:cs="仿宋_GB2312"/>
          <w:sz w:val="32"/>
          <w:szCs w:val="28"/>
        </w:rPr>
        <w:t>明确该产品预期使用的地点、可能影响其安全性和有效性的环境条件。应明确对设备使用地点和使用环境的要求。使用环境</w:t>
      </w:r>
      <w:r>
        <w:rPr>
          <w:rFonts w:hint="eastAsia" w:cs="仿宋_GB2312"/>
          <w:sz w:val="32"/>
          <w:szCs w:val="28"/>
        </w:rPr>
        <w:t>条件</w:t>
      </w:r>
      <w:r>
        <w:rPr>
          <w:rFonts w:hint="eastAsia" w:eastAsia="仿宋_GB2312" w:cs="仿宋_GB2312"/>
          <w:sz w:val="32"/>
          <w:szCs w:val="28"/>
        </w:rPr>
        <w:t>一般包括：温度、湿度、大气压、移动、振动、海拔</w:t>
      </w:r>
      <w:r>
        <w:rPr>
          <w:rFonts w:hint="eastAsia" w:cs="仿宋_GB2312"/>
          <w:sz w:val="32"/>
          <w:szCs w:val="28"/>
        </w:rPr>
        <w:t>等</w:t>
      </w:r>
      <w:r>
        <w:rPr>
          <w:rFonts w:hint="eastAsia" w:eastAsia="仿宋_GB2312" w:cs="仿宋_GB2312"/>
          <w:sz w:val="32"/>
          <w:szCs w:val="28"/>
        </w:rPr>
        <w:t>。</w:t>
      </w:r>
    </w:p>
    <w:p w14:paraId="1BB160FF">
      <w:pPr>
        <w:spacing w:line="520" w:lineRule="exact"/>
        <w:ind w:left="2" w:firstLine="640" w:firstLineChars="200"/>
        <w:rPr>
          <w:rFonts w:eastAsia="仿宋_GB2312" w:cs="仿宋_GB2312"/>
          <w:sz w:val="32"/>
          <w:szCs w:val="32"/>
        </w:rPr>
      </w:pPr>
      <w:r>
        <w:rPr>
          <w:rFonts w:hint="eastAsia" w:eastAsia="仿宋_GB2312" w:cs="仿宋_GB2312"/>
          <w:sz w:val="32"/>
          <w:szCs w:val="32"/>
        </w:rPr>
        <w:t>2.4禁忌证：暂无已知禁忌证。</w:t>
      </w:r>
    </w:p>
    <w:p w14:paraId="7EE2C71D">
      <w:pPr>
        <w:numPr>
          <w:ilvl w:val="0"/>
          <w:numId w:val="1"/>
        </w:numPr>
        <w:spacing w:line="520" w:lineRule="exact"/>
        <w:ind w:firstLine="640" w:firstLineChars="200"/>
        <w:rPr>
          <w:rFonts w:eastAsia="仿宋_GB2312" w:cs="仿宋_GB2312"/>
          <w:sz w:val="32"/>
          <w:szCs w:val="32"/>
        </w:rPr>
      </w:pPr>
      <w:r>
        <w:rPr>
          <w:rFonts w:hint="eastAsia" w:eastAsia="仿宋_GB2312" w:cs="仿宋_GB2312"/>
          <w:sz w:val="32"/>
          <w:szCs w:val="32"/>
        </w:rPr>
        <w:t>非临床资料</w:t>
      </w:r>
    </w:p>
    <w:p w14:paraId="5CFD9161">
      <w:pPr>
        <w:spacing w:line="520" w:lineRule="exact"/>
        <w:ind w:firstLine="640" w:firstLineChars="200"/>
        <w:outlineLvl w:val="1"/>
        <w:rPr>
          <w:rFonts w:hint="eastAsia" w:ascii="楷体_GB2312" w:hAnsi="华文仿宋" w:eastAsia="楷体_GB2312"/>
          <w:sz w:val="32"/>
          <w:szCs w:val="32"/>
        </w:rPr>
      </w:pPr>
      <w:r>
        <w:rPr>
          <w:rFonts w:hint="eastAsia" w:ascii="楷体_GB2312" w:hAnsi="华文仿宋" w:eastAsia="楷体_GB2312"/>
          <w:sz w:val="32"/>
          <w:szCs w:val="32"/>
        </w:rPr>
        <w:t>1.产品风险管理资料</w:t>
      </w:r>
    </w:p>
    <w:p w14:paraId="06BF1B2C">
      <w:pPr>
        <w:spacing w:line="520" w:lineRule="exact"/>
        <w:ind w:firstLine="640" w:firstLineChars="200"/>
        <w:rPr>
          <w:rFonts w:hint="eastAsia" w:ascii="仿宋_GB2312" w:hAnsi="华文仿宋" w:eastAsia="仿宋_GB2312"/>
          <w:sz w:val="32"/>
          <w:szCs w:val="32"/>
        </w:rPr>
      </w:pPr>
      <w:r>
        <w:rPr>
          <w:rFonts w:eastAsia="仿宋_GB2312"/>
          <w:snapToGrid w:val="0"/>
          <w:sz w:val="32"/>
          <w:szCs w:val="32"/>
        </w:rPr>
        <w:t>注册申请人需对产品全生命周期实施风险管理，依据GB/T 42062</w:t>
      </w:r>
      <w:r>
        <w:rPr>
          <w:rFonts w:hint="eastAsia" w:eastAsia="仿宋_GB2312"/>
          <w:snapToGrid w:val="0"/>
          <w:sz w:val="32"/>
          <w:szCs w:val="32"/>
        </w:rPr>
        <w:t xml:space="preserve"> </w:t>
      </w:r>
      <w:r>
        <w:rPr>
          <w:rFonts w:eastAsia="仿宋_GB2312"/>
          <w:snapToGrid w:val="0"/>
          <w:sz w:val="32"/>
          <w:szCs w:val="32"/>
        </w:rPr>
        <w:t>《医疗器械</w:t>
      </w:r>
      <w:r>
        <w:rPr>
          <w:rFonts w:hint="eastAsia" w:eastAsia="仿宋_GB2312"/>
          <w:snapToGrid w:val="0"/>
          <w:sz w:val="32"/>
          <w:szCs w:val="32"/>
        </w:rPr>
        <w:t xml:space="preserve"> </w:t>
      </w:r>
      <w:r>
        <w:rPr>
          <w:rFonts w:eastAsia="仿宋_GB2312"/>
          <w:snapToGrid w:val="0"/>
          <w:sz w:val="32"/>
          <w:szCs w:val="32"/>
        </w:rPr>
        <w:t>风险管理对医疗器械的应用》，</w:t>
      </w:r>
      <w:r>
        <w:rPr>
          <w:rFonts w:eastAsia="仿宋_GB2312"/>
          <w:snapToGrid w:val="0"/>
          <w:sz w:val="32"/>
          <w:szCs w:val="32"/>
          <w:lang w:val="zh-CN"/>
        </w:rPr>
        <w:t>提供产品风险管理报告。</w:t>
      </w:r>
    </w:p>
    <w:p w14:paraId="6C820DCB">
      <w:pPr>
        <w:spacing w:line="520" w:lineRule="exact"/>
        <w:ind w:firstLine="640" w:firstLineChars="200"/>
        <w:rPr>
          <w:rFonts w:eastAsia="仿宋_GB2312"/>
          <w:sz w:val="32"/>
          <w:szCs w:val="32"/>
        </w:rPr>
      </w:pPr>
      <w:r>
        <w:rPr>
          <w:rFonts w:hint="eastAsia" w:eastAsia="仿宋_GB2312"/>
          <w:sz w:val="32"/>
          <w:szCs w:val="32"/>
        </w:rPr>
        <w:t>申请人需重点说明：申报</w:t>
      </w:r>
      <w:r>
        <w:rPr>
          <w:rFonts w:eastAsia="仿宋_GB2312"/>
          <w:sz w:val="32"/>
          <w:szCs w:val="32"/>
        </w:rPr>
        <w:t>产品的研制阶段已对其有关可能的危险（源）及产生的风险进行了估计和评价，并有针对性地实施了降低风险的技术和管理方面的措施</w:t>
      </w:r>
      <w:r>
        <w:rPr>
          <w:rFonts w:hint="eastAsia" w:eastAsia="仿宋_GB2312"/>
          <w:sz w:val="32"/>
          <w:szCs w:val="32"/>
        </w:rPr>
        <w:t>，</w:t>
      </w:r>
      <w:r>
        <w:rPr>
          <w:rFonts w:eastAsia="仿宋_GB2312"/>
          <w:sz w:val="32"/>
          <w:szCs w:val="32"/>
        </w:rPr>
        <w:t>在产品性能测试中部分验证了这些措施的有效性，达到了通用和相应专用标准的要求。对所有剩余风险进行了评价。全部达到可接受的水平。</w:t>
      </w:r>
      <w:r>
        <w:rPr>
          <w:rFonts w:hint="eastAsia" w:eastAsia="仿宋_GB2312"/>
          <w:sz w:val="32"/>
          <w:szCs w:val="32"/>
        </w:rPr>
        <w:t>产品风险分析资料需为</w:t>
      </w:r>
      <w:r>
        <w:rPr>
          <w:rFonts w:eastAsia="仿宋_GB2312"/>
          <w:sz w:val="32"/>
          <w:szCs w:val="32"/>
        </w:rPr>
        <w:t>申请人对产品的安全性的承诺</w:t>
      </w:r>
      <w:r>
        <w:rPr>
          <w:rFonts w:hint="eastAsia" w:eastAsia="仿宋_GB2312"/>
          <w:sz w:val="32"/>
          <w:szCs w:val="32"/>
        </w:rPr>
        <w:t>提供支持</w:t>
      </w:r>
      <w:r>
        <w:rPr>
          <w:rFonts w:eastAsia="仿宋_GB2312"/>
          <w:sz w:val="32"/>
          <w:szCs w:val="32"/>
        </w:rPr>
        <w:t>。</w:t>
      </w:r>
    </w:p>
    <w:p w14:paraId="54582865">
      <w:pPr>
        <w:spacing w:line="520" w:lineRule="exact"/>
        <w:ind w:left="2" w:firstLine="640" w:firstLineChars="200"/>
        <w:rPr>
          <w:rFonts w:eastAsia="仿宋_GB2312"/>
          <w:sz w:val="32"/>
          <w:szCs w:val="32"/>
        </w:rPr>
      </w:pPr>
      <w:r>
        <w:rPr>
          <w:rFonts w:eastAsia="仿宋_GB2312"/>
          <w:sz w:val="32"/>
          <w:szCs w:val="32"/>
        </w:rPr>
        <w:t>风险管理报告的内容至少包括：</w:t>
      </w:r>
    </w:p>
    <w:p w14:paraId="55128A13">
      <w:pPr>
        <w:spacing w:line="520" w:lineRule="exact"/>
        <w:ind w:left="2" w:firstLine="640" w:firstLineChars="200"/>
        <w:rPr>
          <w:rFonts w:eastAsia="仿宋_GB2312"/>
          <w:sz w:val="32"/>
          <w:szCs w:val="32"/>
        </w:rPr>
      </w:pPr>
      <w:r>
        <w:rPr>
          <w:rFonts w:hint="eastAsia" w:eastAsia="仿宋_GB2312"/>
          <w:sz w:val="32"/>
          <w:szCs w:val="32"/>
        </w:rPr>
        <w:t>1.1</w:t>
      </w:r>
      <w:r>
        <w:rPr>
          <w:rFonts w:eastAsia="仿宋_GB2312"/>
          <w:sz w:val="32"/>
          <w:szCs w:val="32"/>
        </w:rPr>
        <w:t>产品的风险管理组织。</w:t>
      </w:r>
    </w:p>
    <w:p w14:paraId="4347DD82">
      <w:pPr>
        <w:spacing w:line="520" w:lineRule="exact"/>
        <w:ind w:left="2" w:firstLine="640" w:firstLineChars="200"/>
        <w:rPr>
          <w:rFonts w:eastAsia="仿宋_GB2312"/>
          <w:sz w:val="32"/>
          <w:szCs w:val="32"/>
        </w:rPr>
      </w:pPr>
      <w:r>
        <w:rPr>
          <w:rFonts w:hint="eastAsia" w:eastAsia="仿宋_GB2312"/>
          <w:sz w:val="32"/>
          <w:szCs w:val="32"/>
        </w:rPr>
        <w:t>1.2</w:t>
      </w:r>
      <w:r>
        <w:rPr>
          <w:rFonts w:eastAsia="仿宋_GB2312"/>
          <w:sz w:val="32"/>
          <w:szCs w:val="32"/>
        </w:rPr>
        <w:t>产品的组成</w:t>
      </w:r>
    </w:p>
    <w:p w14:paraId="37099F91">
      <w:pPr>
        <w:spacing w:line="520" w:lineRule="exact"/>
        <w:ind w:left="2" w:firstLine="640" w:firstLineChars="200"/>
        <w:rPr>
          <w:rFonts w:eastAsia="仿宋_GB2312"/>
          <w:sz w:val="32"/>
          <w:szCs w:val="32"/>
        </w:rPr>
      </w:pPr>
      <w:r>
        <w:rPr>
          <w:rFonts w:hint="eastAsia" w:eastAsia="仿宋_GB2312"/>
          <w:sz w:val="32"/>
          <w:szCs w:val="32"/>
        </w:rPr>
        <w:t>1.3</w:t>
      </w:r>
      <w:r>
        <w:rPr>
          <w:rFonts w:eastAsia="仿宋_GB2312"/>
          <w:snapToGrid w:val="0"/>
          <w:sz w:val="32"/>
          <w:szCs w:val="32"/>
          <w:lang w:val="zh-CN"/>
        </w:rPr>
        <w:t>产品符合的安全标准。</w:t>
      </w:r>
    </w:p>
    <w:p w14:paraId="073B4144">
      <w:pPr>
        <w:spacing w:line="520" w:lineRule="exact"/>
        <w:ind w:left="2" w:firstLine="640" w:firstLineChars="200"/>
        <w:rPr>
          <w:rFonts w:eastAsia="仿宋_GB2312"/>
          <w:sz w:val="32"/>
          <w:szCs w:val="32"/>
        </w:rPr>
      </w:pPr>
      <w:r>
        <w:rPr>
          <w:rFonts w:hint="eastAsia" w:eastAsia="仿宋_GB2312"/>
          <w:sz w:val="32"/>
          <w:szCs w:val="32"/>
        </w:rPr>
        <w:t>1.4</w:t>
      </w:r>
      <w:r>
        <w:rPr>
          <w:rFonts w:eastAsia="仿宋_GB2312"/>
          <w:sz w:val="32"/>
          <w:szCs w:val="32"/>
        </w:rPr>
        <w:t>产品</w:t>
      </w:r>
      <w:r>
        <w:rPr>
          <w:rFonts w:hint="eastAsia" w:eastAsia="仿宋_GB2312"/>
          <w:sz w:val="32"/>
          <w:szCs w:val="32"/>
        </w:rPr>
        <w:t>的预期用途，</w:t>
      </w:r>
      <w:r>
        <w:rPr>
          <w:rFonts w:eastAsia="仿宋_GB2312"/>
          <w:sz w:val="32"/>
          <w:szCs w:val="32"/>
        </w:rPr>
        <w:t>与安全有关的特征的判定。</w:t>
      </w:r>
    </w:p>
    <w:p w14:paraId="07437B0A">
      <w:pPr>
        <w:overflowPunct w:val="0"/>
        <w:autoSpaceDE w:val="0"/>
        <w:autoSpaceDN w:val="0"/>
        <w:adjustRightInd w:val="0"/>
        <w:spacing w:line="520" w:lineRule="exact"/>
        <w:ind w:firstLine="640" w:firstLineChars="200"/>
        <w:rPr>
          <w:rFonts w:eastAsia="仿宋_GB2312"/>
          <w:snapToGrid w:val="0"/>
          <w:sz w:val="32"/>
          <w:szCs w:val="32"/>
          <w:lang w:val="zh-CN"/>
        </w:rPr>
      </w:pPr>
      <w:r>
        <w:rPr>
          <w:rFonts w:eastAsia="仿宋_GB2312"/>
          <w:snapToGrid w:val="0"/>
          <w:sz w:val="32"/>
          <w:szCs w:val="32"/>
        </w:rPr>
        <w:t>1.5</w:t>
      </w:r>
      <w:r>
        <w:rPr>
          <w:rFonts w:eastAsia="仿宋_GB2312"/>
          <w:snapToGrid w:val="0"/>
          <w:sz w:val="32"/>
          <w:szCs w:val="32"/>
          <w:lang w:val="zh-CN"/>
        </w:rPr>
        <w:t>对申报产品的可能危</w:t>
      </w:r>
      <w:r>
        <w:rPr>
          <w:rFonts w:eastAsia="仿宋_GB2312"/>
          <w:snapToGrid w:val="0"/>
          <w:sz w:val="32"/>
          <w:szCs w:val="32"/>
        </w:rPr>
        <w:t>险</w:t>
      </w:r>
      <w:r>
        <w:rPr>
          <w:rFonts w:eastAsia="仿宋_GB2312"/>
          <w:snapToGrid w:val="0"/>
          <w:sz w:val="32"/>
          <w:szCs w:val="32"/>
          <w:lang w:val="zh-CN"/>
        </w:rPr>
        <w:t>作出判定（见附</w:t>
      </w:r>
      <w:r>
        <w:rPr>
          <w:rFonts w:hint="eastAsia" w:eastAsia="仿宋_GB2312"/>
          <w:snapToGrid w:val="0"/>
          <w:sz w:val="32"/>
          <w:szCs w:val="32"/>
          <w:lang w:val="zh-CN"/>
        </w:rPr>
        <w:t>表1</w:t>
      </w:r>
      <w:r>
        <w:rPr>
          <w:rFonts w:eastAsia="仿宋_GB2312"/>
          <w:snapToGrid w:val="0"/>
          <w:sz w:val="32"/>
          <w:szCs w:val="32"/>
          <w:lang w:val="zh-CN"/>
        </w:rPr>
        <w:t>）。</w:t>
      </w:r>
    </w:p>
    <w:p w14:paraId="42D3DDFD">
      <w:pPr>
        <w:overflowPunct w:val="0"/>
        <w:autoSpaceDE w:val="0"/>
        <w:autoSpaceDN w:val="0"/>
        <w:adjustRightInd w:val="0"/>
        <w:spacing w:line="520" w:lineRule="exact"/>
        <w:ind w:firstLine="640" w:firstLineChars="200"/>
        <w:rPr>
          <w:rFonts w:eastAsia="仿宋_GB2312"/>
          <w:snapToGrid w:val="0"/>
          <w:sz w:val="32"/>
          <w:szCs w:val="32"/>
          <w:lang w:val="zh-CN"/>
        </w:rPr>
      </w:pPr>
      <w:r>
        <w:rPr>
          <w:rFonts w:eastAsia="仿宋_GB2312"/>
          <w:snapToGrid w:val="0"/>
          <w:sz w:val="32"/>
          <w:szCs w:val="32"/>
        </w:rPr>
        <w:t>1.6</w:t>
      </w:r>
      <w:r>
        <w:rPr>
          <w:rFonts w:eastAsia="仿宋_GB2312"/>
          <w:snapToGrid w:val="0"/>
          <w:sz w:val="32"/>
          <w:szCs w:val="32"/>
          <w:lang w:val="zh-CN"/>
        </w:rPr>
        <w:t>对所判定的危</w:t>
      </w:r>
      <w:r>
        <w:rPr>
          <w:rFonts w:eastAsia="仿宋_GB2312"/>
          <w:snapToGrid w:val="0"/>
          <w:sz w:val="32"/>
          <w:szCs w:val="32"/>
        </w:rPr>
        <w:t>险</w:t>
      </w:r>
      <w:r>
        <w:rPr>
          <w:rFonts w:eastAsia="仿宋_GB2312"/>
          <w:snapToGrid w:val="0"/>
          <w:sz w:val="32"/>
          <w:szCs w:val="32"/>
          <w:lang w:val="zh-CN"/>
        </w:rPr>
        <w:t>采取的降低风险的控制措施。</w:t>
      </w:r>
    </w:p>
    <w:p w14:paraId="54F804F5">
      <w:pPr>
        <w:spacing w:line="520" w:lineRule="exact"/>
        <w:ind w:firstLine="640" w:firstLineChars="200"/>
      </w:pPr>
      <w:r>
        <w:rPr>
          <w:rFonts w:eastAsia="仿宋_GB2312"/>
          <w:snapToGrid w:val="0"/>
          <w:sz w:val="32"/>
          <w:szCs w:val="32"/>
        </w:rPr>
        <w:t>1.7</w:t>
      </w:r>
      <w:r>
        <w:rPr>
          <w:rFonts w:eastAsia="仿宋_GB2312"/>
          <w:snapToGrid w:val="0"/>
          <w:sz w:val="32"/>
          <w:szCs w:val="32"/>
          <w:lang w:val="zh-CN"/>
        </w:rPr>
        <w:t>对采取控制措施后的剩余风险进行估计和评价</w:t>
      </w:r>
      <w:r>
        <w:t>。</w:t>
      </w:r>
    </w:p>
    <w:p w14:paraId="49E300DF">
      <w:pPr>
        <w:spacing w:line="520" w:lineRule="exact"/>
        <w:ind w:firstLine="640" w:firstLineChars="200"/>
        <w:rPr>
          <w:rFonts w:eastAsia="仿宋_GB2312"/>
          <w:snapToGrid w:val="0"/>
          <w:sz w:val="32"/>
          <w:szCs w:val="32"/>
          <w:lang w:val="zh-CN"/>
        </w:rPr>
      </w:pPr>
      <w:r>
        <w:rPr>
          <w:rFonts w:eastAsia="仿宋_GB2312"/>
          <w:snapToGrid w:val="0"/>
          <w:sz w:val="32"/>
          <w:szCs w:val="32"/>
          <w:lang w:val="zh-CN"/>
        </w:rPr>
        <w:t>1.8对风险管理计划的实施情况</w:t>
      </w:r>
      <w:r>
        <w:rPr>
          <w:rFonts w:eastAsia="仿宋_GB2312"/>
          <w:snapToGrid w:val="0"/>
          <w:sz w:val="32"/>
          <w:szCs w:val="32"/>
        </w:rPr>
        <w:t>进行</w:t>
      </w:r>
      <w:r>
        <w:rPr>
          <w:rFonts w:eastAsia="仿宋_GB2312"/>
          <w:snapToGrid w:val="0"/>
          <w:sz w:val="32"/>
          <w:szCs w:val="32"/>
          <w:lang w:val="zh-CN"/>
        </w:rPr>
        <w:t>评审。</w:t>
      </w:r>
    </w:p>
    <w:p w14:paraId="24A54AFF">
      <w:pPr>
        <w:pStyle w:val="18"/>
        <w:ind w:firstLine="640" w:firstLineChars="200"/>
        <w:rPr>
          <w:rFonts w:ascii="Times New Roman" w:hAnsi="Times New Roman" w:eastAsia="仿宋_GB2312"/>
          <w:snapToGrid w:val="0"/>
          <w:sz w:val="32"/>
          <w:szCs w:val="32"/>
        </w:rPr>
      </w:pPr>
      <w:r>
        <w:rPr>
          <w:rFonts w:ascii="Times New Roman" w:hAnsi="Times New Roman" w:eastAsia="仿宋_GB2312"/>
          <w:snapToGrid w:val="0"/>
          <w:sz w:val="32"/>
          <w:szCs w:val="32"/>
          <w:lang w:val="zh-CN"/>
        </w:rPr>
        <w:t>1.9</w:t>
      </w:r>
      <w:r>
        <w:rPr>
          <w:rFonts w:ascii="Times New Roman" w:hAnsi="Times New Roman" w:eastAsia="仿宋_GB2312"/>
          <w:snapToGrid w:val="0"/>
          <w:sz w:val="32"/>
          <w:szCs w:val="32"/>
        </w:rPr>
        <w:t>对生产和生产后活动收集与评审信息。</w:t>
      </w:r>
    </w:p>
    <w:p w14:paraId="743AE642">
      <w:pPr>
        <w:spacing w:line="560" w:lineRule="exact"/>
        <w:ind w:firstLine="640" w:firstLineChars="200"/>
        <w:rPr>
          <w:rFonts w:eastAsia="仿宋_GB2312"/>
          <w:snapToGrid w:val="0"/>
          <w:sz w:val="32"/>
          <w:szCs w:val="32"/>
        </w:rPr>
      </w:pPr>
      <w:r>
        <w:rPr>
          <w:rFonts w:hint="eastAsia" w:eastAsia="仿宋_GB2312"/>
          <w:sz w:val="32"/>
          <w:szCs w:val="32"/>
        </w:rPr>
        <w:t>同时，因申报产品含有光源，申请人应参照《医疗器械光辐射安全注册审查指导原则》光辐射安全进行风险分析。</w:t>
      </w:r>
    </w:p>
    <w:p w14:paraId="12A07913">
      <w:pPr>
        <w:spacing w:line="520" w:lineRule="exact"/>
        <w:ind w:firstLine="640" w:firstLineChars="200"/>
        <w:outlineLvl w:val="1"/>
        <w:rPr>
          <w:rFonts w:eastAsia="楷体_GB2312"/>
          <w:sz w:val="32"/>
          <w:szCs w:val="32"/>
        </w:rPr>
      </w:pPr>
      <w:r>
        <w:rPr>
          <w:rFonts w:hint="eastAsia" w:eastAsia="楷体_GB2312"/>
          <w:sz w:val="32"/>
          <w:szCs w:val="32"/>
        </w:rPr>
        <w:t>2.产品技术要求及检验报告</w:t>
      </w:r>
    </w:p>
    <w:p w14:paraId="31519490">
      <w:pPr>
        <w:spacing w:line="520" w:lineRule="exact"/>
        <w:ind w:firstLine="640" w:firstLineChars="200"/>
        <w:outlineLvl w:val="1"/>
        <w:rPr>
          <w:rFonts w:eastAsia="楷体_GB2312"/>
          <w:sz w:val="32"/>
          <w:szCs w:val="32"/>
        </w:rPr>
      </w:pPr>
      <w:r>
        <w:rPr>
          <w:rFonts w:hint="eastAsia" w:eastAsia="楷体_GB2312"/>
          <w:sz w:val="32"/>
          <w:szCs w:val="32"/>
        </w:rPr>
        <w:t>2.1</w:t>
      </w:r>
      <w:r>
        <w:rPr>
          <w:rFonts w:eastAsia="楷体_GB2312"/>
          <w:sz w:val="32"/>
          <w:szCs w:val="32"/>
        </w:rPr>
        <w:t>产品适用标准</w:t>
      </w:r>
      <w:r>
        <w:rPr>
          <w:rFonts w:hint="eastAsia" w:eastAsia="楷体_GB2312"/>
          <w:sz w:val="32"/>
          <w:szCs w:val="32"/>
        </w:rPr>
        <w:t>情况</w:t>
      </w:r>
    </w:p>
    <w:p w14:paraId="21BD16CE">
      <w:pPr>
        <w:spacing w:line="540" w:lineRule="exact"/>
        <w:ind w:firstLine="640" w:firstLineChars="200"/>
        <w:rPr>
          <w:rFonts w:eastAsia="仿宋_GB2312"/>
          <w:sz w:val="32"/>
          <w:szCs w:val="32"/>
        </w:rPr>
      </w:pPr>
      <w:r>
        <w:rPr>
          <w:rFonts w:hint="eastAsia" w:ascii="仿宋_GB2312" w:hAnsi="华文仿宋" w:eastAsia="仿宋_GB2312"/>
          <w:sz w:val="32"/>
          <w:szCs w:val="32"/>
        </w:rPr>
        <w:t>产品适用及引用标准的审查可以分两步来进行。首先对引用标准的齐全性和适宜性进行审查，也就是在编写注册产品技术要求时，是否引用了与产品相关的国家标准、行业标准，以及引用是否准确。应注意所引用标准是否为有效版本。其次对引用标准的采纳情况进行审查。即，所引用的标准中的条款要求，是否在注册产品技术要求中进行了实质性的体现和条款引用。这种引用通常采用两种方式，文字表述繁多内容复杂的可以直接引用标准及条款号，比较简单的也可以直接引述具体内容。</w:t>
      </w:r>
      <w:r>
        <w:rPr>
          <w:rFonts w:eastAsia="仿宋_GB2312"/>
          <w:sz w:val="32"/>
          <w:szCs w:val="32"/>
        </w:rPr>
        <w:t>如表1列出麻醉咽喉镜主要涉及的现行有效的国家/行业标准；</w:t>
      </w:r>
    </w:p>
    <w:p w14:paraId="6E20A30B">
      <w:pPr>
        <w:spacing w:line="520" w:lineRule="exact"/>
        <w:ind w:left="2" w:hanging="2"/>
        <w:jc w:val="center"/>
        <w:rPr>
          <w:rFonts w:hint="eastAsia" w:ascii="黑体" w:hAnsi="黑体" w:eastAsia="黑体"/>
          <w:sz w:val="28"/>
          <w:szCs w:val="28"/>
        </w:rPr>
      </w:pPr>
      <w:r>
        <w:rPr>
          <w:rFonts w:hint="eastAsia" w:ascii="黑体" w:hAnsi="黑体" w:eastAsia="黑体"/>
          <w:sz w:val="28"/>
          <w:szCs w:val="28"/>
        </w:rPr>
        <w:t>表1 产品适用标准</w:t>
      </w:r>
    </w:p>
    <w:tbl>
      <w:tblPr>
        <w:tblStyle w:val="8"/>
        <w:tblW w:w="9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2948"/>
        <w:gridCol w:w="6632"/>
      </w:tblGrid>
      <w:tr w14:paraId="5804D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blHeader/>
          <w:jc w:val="center"/>
        </w:trPr>
        <w:tc>
          <w:tcPr>
            <w:tcW w:w="2948" w:type="dxa"/>
            <w:shd w:val="clear" w:color="auto" w:fill="FFFFFF"/>
            <w:vAlign w:val="center"/>
          </w:tcPr>
          <w:p w14:paraId="751BBE66">
            <w:pPr>
              <w:spacing w:line="520" w:lineRule="exact"/>
              <w:ind w:left="2" w:hanging="2"/>
              <w:jc w:val="center"/>
              <w:rPr>
                <w:rFonts w:hint="eastAsia" w:ascii="黑体" w:hAnsi="黑体" w:eastAsia="黑体"/>
                <w:sz w:val="28"/>
                <w:szCs w:val="28"/>
              </w:rPr>
            </w:pPr>
            <w:r>
              <w:rPr>
                <w:rFonts w:ascii="黑体" w:hAnsi="黑体" w:eastAsia="黑体"/>
                <w:sz w:val="28"/>
                <w:szCs w:val="28"/>
              </w:rPr>
              <w:t>标准编号</w:t>
            </w:r>
          </w:p>
        </w:tc>
        <w:tc>
          <w:tcPr>
            <w:tcW w:w="6632" w:type="dxa"/>
            <w:shd w:val="clear" w:color="auto" w:fill="FFFFFF"/>
            <w:vAlign w:val="center"/>
          </w:tcPr>
          <w:p w14:paraId="4464545A">
            <w:pPr>
              <w:spacing w:line="520" w:lineRule="exact"/>
              <w:ind w:left="2" w:hanging="2"/>
              <w:jc w:val="center"/>
              <w:rPr>
                <w:rFonts w:hint="eastAsia" w:ascii="黑体" w:hAnsi="黑体" w:eastAsia="黑体"/>
                <w:sz w:val="28"/>
                <w:szCs w:val="28"/>
              </w:rPr>
            </w:pPr>
            <w:r>
              <w:rPr>
                <w:rFonts w:ascii="黑体" w:hAnsi="黑体" w:eastAsia="黑体"/>
                <w:sz w:val="28"/>
                <w:szCs w:val="28"/>
              </w:rPr>
              <w:t>标准名称</w:t>
            </w:r>
          </w:p>
        </w:tc>
      </w:tr>
      <w:tr w14:paraId="51621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73" w:hRule="atLeast"/>
          <w:jc w:val="center"/>
        </w:trPr>
        <w:tc>
          <w:tcPr>
            <w:tcW w:w="2948" w:type="dxa"/>
            <w:shd w:val="clear" w:color="auto" w:fill="FFFFFF"/>
            <w:vAlign w:val="center"/>
          </w:tcPr>
          <w:p w14:paraId="4E0F8221">
            <w:pPr>
              <w:spacing w:line="520" w:lineRule="exact"/>
              <w:ind w:left="2" w:hanging="2"/>
              <w:rPr>
                <w:rFonts w:eastAsia="仿宋_GB2312"/>
                <w:sz w:val="28"/>
                <w:szCs w:val="28"/>
              </w:rPr>
            </w:pPr>
            <w:r>
              <w:rPr>
                <w:rFonts w:eastAsia="仿宋_GB2312"/>
                <w:sz w:val="28"/>
                <w:szCs w:val="28"/>
              </w:rPr>
              <w:t>GB/T 191</w:t>
            </w:r>
          </w:p>
        </w:tc>
        <w:tc>
          <w:tcPr>
            <w:tcW w:w="6632" w:type="dxa"/>
            <w:shd w:val="clear" w:color="auto" w:fill="FFFFFF"/>
            <w:vAlign w:val="center"/>
          </w:tcPr>
          <w:p w14:paraId="44000F91">
            <w:pPr>
              <w:spacing w:line="520" w:lineRule="exact"/>
              <w:ind w:left="2" w:hanging="2"/>
              <w:rPr>
                <w:rFonts w:eastAsia="仿宋_GB2312"/>
                <w:sz w:val="28"/>
                <w:szCs w:val="28"/>
              </w:rPr>
            </w:pPr>
            <w:r>
              <w:rPr>
                <w:rFonts w:eastAsia="仿宋_GB2312"/>
                <w:sz w:val="28"/>
                <w:szCs w:val="28"/>
              </w:rPr>
              <w:t>包装储运图示标志</w:t>
            </w:r>
          </w:p>
        </w:tc>
      </w:tr>
      <w:tr w14:paraId="08DEB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2948" w:type="dxa"/>
            <w:shd w:val="clear" w:color="auto" w:fill="FFFFFF"/>
            <w:vAlign w:val="center"/>
          </w:tcPr>
          <w:p w14:paraId="3B146A1D">
            <w:pPr>
              <w:spacing w:line="520" w:lineRule="exact"/>
              <w:ind w:left="2" w:hanging="2"/>
              <w:rPr>
                <w:rFonts w:eastAsia="仿宋_GB2312"/>
                <w:sz w:val="28"/>
                <w:szCs w:val="28"/>
              </w:rPr>
            </w:pPr>
            <w:r>
              <w:rPr>
                <w:rFonts w:eastAsia="仿宋_GB2312"/>
                <w:sz w:val="28"/>
                <w:szCs w:val="28"/>
              </w:rPr>
              <w:t>GB/T 2828.1</w:t>
            </w:r>
          </w:p>
        </w:tc>
        <w:tc>
          <w:tcPr>
            <w:tcW w:w="6632" w:type="dxa"/>
            <w:shd w:val="clear" w:color="auto" w:fill="FFFFFF"/>
            <w:vAlign w:val="center"/>
          </w:tcPr>
          <w:p w14:paraId="1937B31A">
            <w:pPr>
              <w:spacing w:line="520" w:lineRule="exact"/>
              <w:ind w:left="2" w:hanging="2"/>
              <w:rPr>
                <w:rFonts w:eastAsia="仿宋_GB2312"/>
                <w:sz w:val="28"/>
                <w:szCs w:val="28"/>
              </w:rPr>
            </w:pPr>
            <w:r>
              <w:rPr>
                <w:rFonts w:eastAsia="仿宋_GB2312"/>
                <w:sz w:val="28"/>
                <w:szCs w:val="28"/>
              </w:rPr>
              <w:t>计数抽样检验程序第1部分：按接受质量限（AQL）检索的逐批检验抽样计划</w:t>
            </w:r>
          </w:p>
        </w:tc>
      </w:tr>
      <w:tr w14:paraId="6BB2E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jc w:val="center"/>
        </w:trPr>
        <w:tc>
          <w:tcPr>
            <w:tcW w:w="2948" w:type="dxa"/>
            <w:shd w:val="clear" w:color="auto" w:fill="FFFFFF"/>
            <w:vAlign w:val="center"/>
          </w:tcPr>
          <w:p w14:paraId="63AF041B">
            <w:pPr>
              <w:spacing w:line="520" w:lineRule="exact"/>
              <w:ind w:left="2" w:hanging="2"/>
              <w:rPr>
                <w:rFonts w:eastAsia="仿宋_GB2312"/>
                <w:sz w:val="28"/>
                <w:szCs w:val="28"/>
              </w:rPr>
            </w:pPr>
            <w:r>
              <w:rPr>
                <w:rFonts w:eastAsia="仿宋_GB2312"/>
                <w:sz w:val="28"/>
                <w:szCs w:val="28"/>
              </w:rPr>
              <w:t>GB/T 2829</w:t>
            </w:r>
          </w:p>
        </w:tc>
        <w:tc>
          <w:tcPr>
            <w:tcW w:w="6632" w:type="dxa"/>
            <w:shd w:val="clear" w:color="auto" w:fill="FFFFFF"/>
            <w:vAlign w:val="center"/>
          </w:tcPr>
          <w:p w14:paraId="4C3D6E07">
            <w:pPr>
              <w:spacing w:line="520" w:lineRule="exact"/>
              <w:ind w:left="2" w:hanging="2"/>
              <w:rPr>
                <w:rFonts w:eastAsia="仿宋_GB2312"/>
                <w:sz w:val="28"/>
                <w:szCs w:val="28"/>
              </w:rPr>
            </w:pPr>
            <w:r>
              <w:rPr>
                <w:rFonts w:eastAsia="仿宋_GB2312"/>
                <w:sz w:val="28"/>
                <w:szCs w:val="28"/>
              </w:rPr>
              <w:t>周期检验计数抽样程序及表（适用于对过程稳定性的检验）</w:t>
            </w:r>
          </w:p>
        </w:tc>
      </w:tr>
      <w:tr w14:paraId="6FBF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jc w:val="center"/>
        </w:trPr>
        <w:tc>
          <w:tcPr>
            <w:tcW w:w="2948" w:type="dxa"/>
            <w:shd w:val="clear" w:color="auto" w:fill="FFFFFF"/>
            <w:vAlign w:val="center"/>
          </w:tcPr>
          <w:p w14:paraId="48DA0078">
            <w:pPr>
              <w:spacing w:line="520" w:lineRule="exact"/>
              <w:ind w:left="2" w:hanging="2"/>
              <w:rPr>
                <w:rFonts w:eastAsia="仿宋_GB2312"/>
                <w:sz w:val="28"/>
                <w:szCs w:val="28"/>
              </w:rPr>
            </w:pPr>
            <w:r>
              <w:rPr>
                <w:rFonts w:eastAsia="仿宋_GB2312"/>
                <w:sz w:val="28"/>
                <w:szCs w:val="28"/>
              </w:rPr>
              <w:t>GB 9706.1</w:t>
            </w:r>
          </w:p>
        </w:tc>
        <w:tc>
          <w:tcPr>
            <w:tcW w:w="6632" w:type="dxa"/>
            <w:shd w:val="clear" w:color="auto" w:fill="FFFFFF"/>
            <w:vAlign w:val="center"/>
          </w:tcPr>
          <w:p w14:paraId="6E50E311">
            <w:pPr>
              <w:spacing w:line="520" w:lineRule="exact"/>
              <w:ind w:left="2" w:hanging="2"/>
              <w:rPr>
                <w:rFonts w:eastAsia="仿宋_GB2312"/>
                <w:sz w:val="28"/>
                <w:szCs w:val="28"/>
              </w:rPr>
            </w:pPr>
            <w:r>
              <w:rPr>
                <w:rFonts w:eastAsia="仿宋_GB2312"/>
                <w:sz w:val="28"/>
                <w:szCs w:val="28"/>
              </w:rPr>
              <w:t>医用电气设备第1部分：</w:t>
            </w:r>
            <w:r>
              <w:rPr>
                <w:rFonts w:hint="eastAsia" w:eastAsia="仿宋_GB2312"/>
                <w:sz w:val="28"/>
                <w:szCs w:val="28"/>
              </w:rPr>
              <w:t>基本</w:t>
            </w:r>
            <w:r>
              <w:rPr>
                <w:rFonts w:eastAsia="仿宋_GB2312"/>
                <w:sz w:val="28"/>
                <w:szCs w:val="28"/>
              </w:rPr>
              <w:t>安全</w:t>
            </w:r>
            <w:r>
              <w:rPr>
                <w:rFonts w:hint="eastAsia" w:eastAsia="仿宋_GB2312"/>
                <w:sz w:val="28"/>
                <w:szCs w:val="28"/>
              </w:rPr>
              <w:t>和基本性能</w:t>
            </w:r>
            <w:r>
              <w:rPr>
                <w:rFonts w:eastAsia="仿宋_GB2312"/>
                <w:sz w:val="28"/>
                <w:szCs w:val="28"/>
              </w:rPr>
              <w:t>通用要求</w:t>
            </w:r>
          </w:p>
          <w:p w14:paraId="3023FD76">
            <w:pPr>
              <w:spacing w:line="520" w:lineRule="exact"/>
              <w:ind w:left="2" w:hanging="2"/>
              <w:rPr>
                <w:rFonts w:eastAsia="仿宋_GB2312"/>
                <w:sz w:val="28"/>
                <w:szCs w:val="28"/>
              </w:rPr>
            </w:pPr>
            <w:r>
              <w:rPr>
                <w:rFonts w:hint="eastAsia" w:eastAsia="仿宋_GB2312"/>
                <w:sz w:val="28"/>
                <w:szCs w:val="28"/>
              </w:rPr>
              <w:t>最新标准：</w:t>
            </w:r>
            <w:r>
              <w:rPr>
                <w:rFonts w:eastAsia="仿宋_GB2312"/>
                <w:sz w:val="28"/>
                <w:szCs w:val="28"/>
              </w:rPr>
              <w:t>GB 9706.1</w:t>
            </w:r>
            <w:r>
              <w:rPr>
                <w:rFonts w:hint="eastAsia" w:eastAsia="仿宋_GB2312"/>
                <w:sz w:val="28"/>
                <w:szCs w:val="28"/>
              </w:rPr>
              <w:t>-2020</w:t>
            </w:r>
            <w:r>
              <w:rPr>
                <w:rFonts w:eastAsia="仿宋_GB2312"/>
                <w:sz w:val="28"/>
                <w:szCs w:val="28"/>
              </w:rPr>
              <w:t xml:space="preserve">  </w:t>
            </w:r>
            <w:r>
              <w:rPr>
                <w:rFonts w:hint="eastAsia" w:eastAsia="仿宋_GB2312"/>
                <w:sz w:val="28"/>
                <w:szCs w:val="28"/>
              </w:rPr>
              <w:t>在2026年5月日执行</w:t>
            </w:r>
          </w:p>
        </w:tc>
      </w:tr>
      <w:tr w14:paraId="141A6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48" w:type="dxa"/>
            <w:shd w:val="clear" w:color="auto" w:fill="FFFFFF"/>
            <w:vAlign w:val="center"/>
          </w:tcPr>
          <w:p w14:paraId="1B3E23AD">
            <w:pPr>
              <w:spacing w:line="520" w:lineRule="exact"/>
              <w:ind w:left="2" w:hanging="2"/>
              <w:rPr>
                <w:rFonts w:eastAsia="仿宋_GB2312"/>
                <w:sz w:val="28"/>
                <w:szCs w:val="28"/>
              </w:rPr>
            </w:pPr>
            <w:r>
              <w:rPr>
                <w:rFonts w:eastAsia="仿宋_GB2312"/>
                <w:sz w:val="28"/>
                <w:szCs w:val="28"/>
              </w:rPr>
              <w:t>GB/T 14710</w:t>
            </w:r>
          </w:p>
        </w:tc>
        <w:tc>
          <w:tcPr>
            <w:tcW w:w="6632" w:type="dxa"/>
            <w:shd w:val="clear" w:color="auto" w:fill="FFFFFF"/>
            <w:vAlign w:val="center"/>
          </w:tcPr>
          <w:p w14:paraId="39EB54A0">
            <w:pPr>
              <w:spacing w:line="520" w:lineRule="exact"/>
              <w:ind w:left="2" w:hanging="2"/>
              <w:rPr>
                <w:rFonts w:eastAsia="仿宋_GB2312"/>
                <w:sz w:val="28"/>
                <w:szCs w:val="28"/>
              </w:rPr>
            </w:pPr>
            <w:r>
              <w:rPr>
                <w:rFonts w:eastAsia="仿宋_GB2312"/>
                <w:sz w:val="28"/>
                <w:szCs w:val="28"/>
              </w:rPr>
              <w:t>医用电器环境要求及试验方法</w:t>
            </w:r>
          </w:p>
        </w:tc>
      </w:tr>
      <w:tr w14:paraId="06DAB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jc w:val="center"/>
        </w:trPr>
        <w:tc>
          <w:tcPr>
            <w:tcW w:w="2948" w:type="dxa"/>
            <w:shd w:val="clear" w:color="auto" w:fill="FFFFFF"/>
            <w:vAlign w:val="center"/>
          </w:tcPr>
          <w:p w14:paraId="531A7FFA">
            <w:pPr>
              <w:spacing w:line="520" w:lineRule="exact"/>
              <w:ind w:left="2" w:hanging="2"/>
              <w:rPr>
                <w:rFonts w:eastAsia="仿宋_GB2312"/>
                <w:sz w:val="28"/>
                <w:szCs w:val="28"/>
              </w:rPr>
            </w:pPr>
            <w:r>
              <w:rPr>
                <w:rFonts w:eastAsia="仿宋_GB2312"/>
                <w:sz w:val="28"/>
                <w:szCs w:val="28"/>
              </w:rPr>
              <w:t>GB/T 16886.1</w:t>
            </w:r>
          </w:p>
        </w:tc>
        <w:tc>
          <w:tcPr>
            <w:tcW w:w="6632" w:type="dxa"/>
            <w:shd w:val="clear" w:color="auto" w:fill="FFFFFF"/>
            <w:vAlign w:val="center"/>
          </w:tcPr>
          <w:p w14:paraId="3AAC80EC">
            <w:pPr>
              <w:spacing w:line="520" w:lineRule="exact"/>
              <w:ind w:left="2" w:hanging="2"/>
              <w:rPr>
                <w:rFonts w:eastAsia="仿宋_GB2312"/>
                <w:sz w:val="28"/>
                <w:szCs w:val="28"/>
              </w:rPr>
            </w:pPr>
            <w:r>
              <w:rPr>
                <w:rFonts w:eastAsia="仿宋_GB2312"/>
                <w:sz w:val="28"/>
                <w:szCs w:val="28"/>
              </w:rPr>
              <w:t>医疗器械生物学评价第1部分：风险管理过程中的评价与试验</w:t>
            </w:r>
          </w:p>
        </w:tc>
      </w:tr>
      <w:tr w14:paraId="207CA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48" w:type="dxa"/>
            <w:shd w:val="clear" w:color="auto" w:fill="FFFFFF"/>
            <w:vAlign w:val="center"/>
          </w:tcPr>
          <w:p w14:paraId="0F655837">
            <w:pPr>
              <w:spacing w:line="520" w:lineRule="exact"/>
              <w:ind w:left="2" w:hanging="2"/>
              <w:rPr>
                <w:rFonts w:eastAsia="仿宋_GB2312"/>
                <w:sz w:val="28"/>
                <w:szCs w:val="28"/>
              </w:rPr>
            </w:pPr>
            <w:r>
              <w:rPr>
                <w:rFonts w:eastAsia="仿宋_GB2312"/>
                <w:sz w:val="28"/>
                <w:szCs w:val="28"/>
              </w:rPr>
              <w:t>GB/T 16886.5</w:t>
            </w:r>
          </w:p>
        </w:tc>
        <w:tc>
          <w:tcPr>
            <w:tcW w:w="6632" w:type="dxa"/>
            <w:shd w:val="clear" w:color="auto" w:fill="FFFFFF"/>
            <w:vAlign w:val="center"/>
          </w:tcPr>
          <w:p w14:paraId="3DF5F9CB">
            <w:pPr>
              <w:spacing w:line="520" w:lineRule="exact"/>
              <w:ind w:left="2" w:hanging="2"/>
              <w:rPr>
                <w:rFonts w:eastAsia="仿宋_GB2312"/>
                <w:sz w:val="28"/>
                <w:szCs w:val="28"/>
              </w:rPr>
            </w:pPr>
            <w:r>
              <w:rPr>
                <w:rFonts w:eastAsia="仿宋_GB2312"/>
                <w:sz w:val="28"/>
                <w:szCs w:val="28"/>
              </w:rPr>
              <w:t>医疗器械生物学评价第5部分：体外细胞毒性试验</w:t>
            </w:r>
          </w:p>
        </w:tc>
      </w:tr>
      <w:tr w14:paraId="2D1D6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jc w:val="center"/>
        </w:trPr>
        <w:tc>
          <w:tcPr>
            <w:tcW w:w="2948" w:type="dxa"/>
            <w:shd w:val="clear" w:color="auto" w:fill="FFFFFF"/>
            <w:vAlign w:val="center"/>
          </w:tcPr>
          <w:p w14:paraId="688566E6">
            <w:pPr>
              <w:spacing w:line="520" w:lineRule="exact"/>
              <w:ind w:left="2" w:hanging="2"/>
              <w:rPr>
                <w:rFonts w:eastAsia="仿宋_GB2312"/>
                <w:sz w:val="28"/>
                <w:szCs w:val="28"/>
              </w:rPr>
            </w:pPr>
            <w:r>
              <w:rPr>
                <w:rFonts w:eastAsia="仿宋_GB2312"/>
                <w:sz w:val="28"/>
                <w:szCs w:val="28"/>
              </w:rPr>
              <w:t>GB/T 16886.10</w:t>
            </w:r>
          </w:p>
        </w:tc>
        <w:tc>
          <w:tcPr>
            <w:tcW w:w="6632" w:type="dxa"/>
            <w:shd w:val="clear" w:color="auto" w:fill="FFFFFF"/>
            <w:vAlign w:val="center"/>
          </w:tcPr>
          <w:p w14:paraId="60C97F16">
            <w:pPr>
              <w:spacing w:line="520" w:lineRule="exact"/>
              <w:ind w:left="2" w:hanging="2"/>
              <w:rPr>
                <w:rFonts w:eastAsia="仿宋_GB2312"/>
                <w:sz w:val="28"/>
                <w:szCs w:val="28"/>
              </w:rPr>
            </w:pPr>
            <w:r>
              <w:rPr>
                <w:rFonts w:eastAsia="仿宋_GB2312"/>
                <w:sz w:val="28"/>
                <w:szCs w:val="28"/>
              </w:rPr>
              <w:t>医疗器械生物学评价第10部分：</w:t>
            </w:r>
            <w:r>
              <w:rPr>
                <w:rFonts w:hint="eastAsia" w:eastAsia="仿宋_GB2312"/>
                <w:sz w:val="28"/>
                <w:szCs w:val="28"/>
              </w:rPr>
              <w:t>皮肤致敏</w:t>
            </w:r>
            <w:r>
              <w:rPr>
                <w:rFonts w:eastAsia="仿宋_GB2312"/>
                <w:sz w:val="28"/>
                <w:szCs w:val="28"/>
              </w:rPr>
              <w:t>试验</w:t>
            </w:r>
            <w:r>
              <w:rPr>
                <w:rFonts w:hint="eastAsia" w:eastAsia="仿宋_GB2312" w:cs="仿宋_GB2312"/>
                <w:sz w:val="28"/>
                <w:szCs w:val="28"/>
              </w:rPr>
              <w:t>（2025.9.1即将实施）</w:t>
            </w:r>
          </w:p>
        </w:tc>
      </w:tr>
      <w:tr w14:paraId="3500B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48" w:type="dxa"/>
            <w:shd w:val="clear" w:color="auto" w:fill="FFFFFF"/>
            <w:vAlign w:val="center"/>
          </w:tcPr>
          <w:p w14:paraId="5B11FBEC">
            <w:pPr>
              <w:spacing w:line="520" w:lineRule="exact"/>
              <w:ind w:left="2" w:hanging="2"/>
              <w:rPr>
                <w:rFonts w:eastAsia="仿宋_GB2312"/>
                <w:sz w:val="28"/>
                <w:szCs w:val="28"/>
              </w:rPr>
            </w:pPr>
            <w:r>
              <w:rPr>
                <w:rFonts w:eastAsia="仿宋_GB2312"/>
                <w:sz w:val="28"/>
                <w:szCs w:val="28"/>
              </w:rPr>
              <w:t>GB/T 19633.1</w:t>
            </w:r>
          </w:p>
        </w:tc>
        <w:tc>
          <w:tcPr>
            <w:tcW w:w="6632" w:type="dxa"/>
            <w:shd w:val="clear" w:color="auto" w:fill="FFFFFF"/>
            <w:vAlign w:val="center"/>
          </w:tcPr>
          <w:p w14:paraId="5BFA8657">
            <w:pPr>
              <w:spacing w:line="520" w:lineRule="exact"/>
              <w:ind w:left="2" w:hanging="2"/>
              <w:rPr>
                <w:rFonts w:eastAsia="仿宋_GB2312"/>
                <w:sz w:val="28"/>
                <w:szCs w:val="28"/>
              </w:rPr>
            </w:pPr>
            <w:r>
              <w:rPr>
                <w:rFonts w:eastAsia="仿宋_GB2312"/>
                <w:sz w:val="28"/>
                <w:szCs w:val="28"/>
              </w:rPr>
              <w:t>最终灭菌医疗器械包装第1部分：材料、无菌屏障系统和包装系统的要求</w:t>
            </w:r>
          </w:p>
        </w:tc>
      </w:tr>
      <w:tr w14:paraId="554BE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jc w:val="center"/>
        </w:trPr>
        <w:tc>
          <w:tcPr>
            <w:tcW w:w="2948" w:type="dxa"/>
            <w:shd w:val="clear" w:color="auto" w:fill="FFFFFF"/>
            <w:vAlign w:val="center"/>
          </w:tcPr>
          <w:p w14:paraId="7675FEEE">
            <w:pPr>
              <w:spacing w:line="520" w:lineRule="exact"/>
              <w:ind w:left="2" w:hanging="2"/>
              <w:rPr>
                <w:rFonts w:eastAsia="仿宋_GB2312"/>
                <w:sz w:val="28"/>
                <w:szCs w:val="28"/>
              </w:rPr>
            </w:pPr>
            <w:r>
              <w:rPr>
                <w:rFonts w:eastAsia="仿宋_GB2312"/>
                <w:sz w:val="28"/>
                <w:szCs w:val="28"/>
              </w:rPr>
              <w:t>GB/T 19633.2</w:t>
            </w:r>
          </w:p>
        </w:tc>
        <w:tc>
          <w:tcPr>
            <w:tcW w:w="6632" w:type="dxa"/>
            <w:shd w:val="clear" w:color="auto" w:fill="FFFFFF"/>
            <w:vAlign w:val="center"/>
          </w:tcPr>
          <w:p w14:paraId="27C1EA72">
            <w:pPr>
              <w:spacing w:line="520" w:lineRule="exact"/>
              <w:ind w:left="2" w:hanging="2"/>
              <w:rPr>
                <w:rFonts w:eastAsia="仿宋_GB2312"/>
                <w:sz w:val="28"/>
                <w:szCs w:val="28"/>
              </w:rPr>
            </w:pPr>
            <w:r>
              <w:rPr>
                <w:rFonts w:eastAsia="仿宋_GB2312"/>
                <w:sz w:val="28"/>
                <w:szCs w:val="28"/>
              </w:rPr>
              <w:t>最终灭菌医疗器械包装第2部分：成形、密封和装配过程的确认的要求</w:t>
            </w:r>
          </w:p>
        </w:tc>
      </w:tr>
      <w:tr w14:paraId="51985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48" w:type="dxa"/>
            <w:shd w:val="clear" w:color="auto" w:fill="FFFFFF"/>
            <w:vAlign w:val="center"/>
          </w:tcPr>
          <w:p w14:paraId="5BC9AF6D">
            <w:pPr>
              <w:spacing w:line="520" w:lineRule="exact"/>
              <w:ind w:left="2" w:hanging="2"/>
              <w:rPr>
                <w:rFonts w:eastAsia="仿宋_GB2312"/>
                <w:sz w:val="28"/>
                <w:szCs w:val="28"/>
              </w:rPr>
            </w:pPr>
            <w:r>
              <w:rPr>
                <w:rFonts w:eastAsia="仿宋_GB2312"/>
                <w:sz w:val="28"/>
                <w:szCs w:val="28"/>
              </w:rPr>
              <w:t>YY/T 0313</w:t>
            </w:r>
          </w:p>
        </w:tc>
        <w:tc>
          <w:tcPr>
            <w:tcW w:w="6632" w:type="dxa"/>
            <w:shd w:val="clear" w:color="auto" w:fill="FFFFFF"/>
            <w:vAlign w:val="center"/>
          </w:tcPr>
          <w:p w14:paraId="635BBE17">
            <w:pPr>
              <w:spacing w:line="520" w:lineRule="exact"/>
              <w:ind w:left="2" w:hanging="2"/>
              <w:rPr>
                <w:rFonts w:eastAsia="仿宋_GB2312"/>
                <w:sz w:val="28"/>
                <w:szCs w:val="28"/>
              </w:rPr>
            </w:pPr>
            <w:r>
              <w:rPr>
                <w:rFonts w:eastAsia="仿宋_GB2312"/>
                <w:sz w:val="28"/>
                <w:szCs w:val="28"/>
              </w:rPr>
              <w:t>医用高分子产品包装和制造商提供信息的要求</w:t>
            </w:r>
          </w:p>
        </w:tc>
      </w:tr>
      <w:tr w14:paraId="2F085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48" w:type="dxa"/>
            <w:shd w:val="clear" w:color="auto" w:fill="FFFFFF"/>
            <w:vAlign w:val="center"/>
          </w:tcPr>
          <w:p w14:paraId="5D08E927">
            <w:pPr>
              <w:spacing w:line="520" w:lineRule="exact"/>
              <w:ind w:left="2" w:hanging="2"/>
              <w:rPr>
                <w:rFonts w:eastAsia="仿宋_GB2312"/>
                <w:sz w:val="28"/>
                <w:szCs w:val="28"/>
              </w:rPr>
            </w:pPr>
            <w:r>
              <w:rPr>
                <w:rFonts w:hint="eastAsia" w:eastAsia="仿宋_GB2312"/>
                <w:sz w:val="28"/>
                <w:szCs w:val="28"/>
              </w:rPr>
              <w:t>GB/T 42062</w:t>
            </w:r>
          </w:p>
        </w:tc>
        <w:tc>
          <w:tcPr>
            <w:tcW w:w="6632" w:type="dxa"/>
            <w:shd w:val="clear" w:color="auto" w:fill="FFFFFF"/>
            <w:vAlign w:val="center"/>
          </w:tcPr>
          <w:p w14:paraId="39E55C07">
            <w:pPr>
              <w:spacing w:line="520" w:lineRule="exact"/>
              <w:ind w:left="2" w:hanging="2"/>
              <w:rPr>
                <w:rFonts w:eastAsia="仿宋_GB2312"/>
                <w:sz w:val="28"/>
                <w:szCs w:val="28"/>
              </w:rPr>
            </w:pPr>
            <w:r>
              <w:rPr>
                <w:rFonts w:eastAsia="仿宋_GB2312"/>
                <w:sz w:val="28"/>
                <w:szCs w:val="28"/>
              </w:rPr>
              <w:t>医疗器械</w:t>
            </w:r>
            <w:r>
              <w:rPr>
                <w:rFonts w:hint="eastAsia" w:eastAsia="仿宋_GB2312"/>
                <w:sz w:val="28"/>
                <w:szCs w:val="28"/>
              </w:rPr>
              <w:t xml:space="preserve"> </w:t>
            </w:r>
            <w:r>
              <w:rPr>
                <w:rFonts w:eastAsia="仿宋_GB2312"/>
                <w:sz w:val="28"/>
                <w:szCs w:val="28"/>
              </w:rPr>
              <w:t>风险管理对医疗器械的应用</w:t>
            </w:r>
          </w:p>
        </w:tc>
      </w:tr>
      <w:tr w14:paraId="77EA8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jc w:val="center"/>
        </w:trPr>
        <w:tc>
          <w:tcPr>
            <w:tcW w:w="2948" w:type="dxa"/>
            <w:shd w:val="clear" w:color="auto" w:fill="FFFFFF"/>
            <w:vAlign w:val="center"/>
          </w:tcPr>
          <w:p w14:paraId="6D0E0E1E">
            <w:pPr>
              <w:spacing w:line="520" w:lineRule="exact"/>
              <w:ind w:left="2" w:hanging="2"/>
              <w:rPr>
                <w:rFonts w:eastAsia="仿宋_GB2312"/>
                <w:sz w:val="28"/>
                <w:szCs w:val="28"/>
              </w:rPr>
            </w:pPr>
            <w:r>
              <w:rPr>
                <w:rFonts w:eastAsia="仿宋_GB2312"/>
                <w:sz w:val="28"/>
                <w:szCs w:val="28"/>
              </w:rPr>
              <w:t>YY/T 0466.1</w:t>
            </w:r>
          </w:p>
        </w:tc>
        <w:tc>
          <w:tcPr>
            <w:tcW w:w="6632" w:type="dxa"/>
            <w:shd w:val="clear" w:color="auto" w:fill="FFFFFF"/>
            <w:vAlign w:val="center"/>
          </w:tcPr>
          <w:p w14:paraId="4F407C39">
            <w:pPr>
              <w:spacing w:line="520" w:lineRule="exact"/>
              <w:ind w:left="2" w:hanging="2"/>
              <w:rPr>
                <w:rFonts w:eastAsia="仿宋_GB2312"/>
                <w:sz w:val="28"/>
                <w:szCs w:val="28"/>
              </w:rPr>
            </w:pPr>
            <w:r>
              <w:rPr>
                <w:rFonts w:eastAsia="仿宋_GB2312"/>
                <w:sz w:val="28"/>
                <w:szCs w:val="28"/>
              </w:rPr>
              <w:t>医疗器械</w:t>
            </w:r>
            <w:r>
              <w:rPr>
                <w:rFonts w:hint="eastAsia" w:eastAsia="仿宋_GB2312"/>
                <w:sz w:val="28"/>
                <w:szCs w:val="28"/>
              </w:rPr>
              <w:t xml:space="preserve"> </w:t>
            </w:r>
            <w:r>
              <w:rPr>
                <w:rFonts w:eastAsia="仿宋_GB2312"/>
                <w:sz w:val="28"/>
                <w:szCs w:val="28"/>
              </w:rPr>
              <w:t>用于</w:t>
            </w:r>
            <w:r>
              <w:rPr>
                <w:rFonts w:hint="eastAsia" w:eastAsia="仿宋_GB2312"/>
                <w:sz w:val="28"/>
                <w:szCs w:val="28"/>
              </w:rPr>
              <w:t>制造商</w:t>
            </w:r>
            <w:r>
              <w:rPr>
                <w:rFonts w:eastAsia="仿宋_GB2312"/>
                <w:sz w:val="28"/>
                <w:szCs w:val="28"/>
              </w:rPr>
              <w:t>提供信息的符号第1部分：通用要求</w:t>
            </w:r>
            <w:r>
              <w:rPr>
                <w:rFonts w:hint="eastAsia" w:eastAsia="仿宋_GB2312" w:cs="仿宋_GB2312"/>
                <w:sz w:val="28"/>
                <w:szCs w:val="28"/>
              </w:rPr>
              <w:t>（2025.9.15即将实施）</w:t>
            </w:r>
          </w:p>
        </w:tc>
      </w:tr>
      <w:tr w14:paraId="5B064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jc w:val="center"/>
        </w:trPr>
        <w:tc>
          <w:tcPr>
            <w:tcW w:w="2948" w:type="dxa"/>
            <w:shd w:val="clear" w:color="auto" w:fill="FFFFFF"/>
            <w:vAlign w:val="center"/>
          </w:tcPr>
          <w:p w14:paraId="7AB55C75">
            <w:pPr>
              <w:spacing w:line="520" w:lineRule="exact"/>
              <w:ind w:left="2" w:hanging="2"/>
              <w:rPr>
                <w:rFonts w:eastAsia="仿宋_GB2312"/>
                <w:sz w:val="28"/>
                <w:szCs w:val="28"/>
              </w:rPr>
            </w:pPr>
            <w:r>
              <w:rPr>
                <w:rFonts w:eastAsia="仿宋_GB2312"/>
                <w:sz w:val="28"/>
                <w:szCs w:val="28"/>
              </w:rPr>
              <w:t>YY 0499</w:t>
            </w:r>
          </w:p>
        </w:tc>
        <w:tc>
          <w:tcPr>
            <w:tcW w:w="6632" w:type="dxa"/>
            <w:shd w:val="clear" w:color="auto" w:fill="FFFFFF"/>
            <w:vAlign w:val="center"/>
          </w:tcPr>
          <w:p w14:paraId="1AA8DBD5">
            <w:pPr>
              <w:spacing w:line="520" w:lineRule="exact"/>
              <w:ind w:left="2" w:hanging="2"/>
              <w:rPr>
                <w:rFonts w:eastAsia="仿宋_GB2312"/>
                <w:sz w:val="28"/>
                <w:szCs w:val="28"/>
              </w:rPr>
            </w:pPr>
            <w:r>
              <w:rPr>
                <w:rFonts w:hint="eastAsia" w:eastAsia="仿宋_GB2312"/>
                <w:sz w:val="28"/>
                <w:szCs w:val="28"/>
              </w:rPr>
              <w:t>麻醉和呼吸设备 气管插管用喉镜（2026.5.1即将实施）</w:t>
            </w:r>
          </w:p>
        </w:tc>
      </w:tr>
      <w:tr w14:paraId="328DE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948" w:type="dxa"/>
            <w:shd w:val="clear" w:color="auto" w:fill="FFFFFF"/>
            <w:vAlign w:val="center"/>
          </w:tcPr>
          <w:p w14:paraId="19E2DC29">
            <w:pPr>
              <w:spacing w:line="520" w:lineRule="exact"/>
              <w:ind w:left="2" w:hanging="2"/>
              <w:rPr>
                <w:rFonts w:eastAsia="仿宋_GB2312"/>
                <w:sz w:val="28"/>
                <w:szCs w:val="28"/>
              </w:rPr>
            </w:pPr>
            <w:r>
              <w:rPr>
                <w:rFonts w:eastAsia="仿宋_GB2312"/>
                <w:sz w:val="28"/>
                <w:szCs w:val="28"/>
              </w:rPr>
              <w:t xml:space="preserve">YY </w:t>
            </w:r>
            <w:r>
              <w:rPr>
                <w:rFonts w:hint="eastAsia" w:eastAsia="仿宋_GB2312"/>
                <w:sz w:val="28"/>
                <w:szCs w:val="28"/>
              </w:rPr>
              <w:t>9706.102</w:t>
            </w:r>
          </w:p>
        </w:tc>
        <w:tc>
          <w:tcPr>
            <w:tcW w:w="6632" w:type="dxa"/>
            <w:shd w:val="clear" w:color="auto" w:fill="FFFFFF"/>
            <w:vAlign w:val="center"/>
          </w:tcPr>
          <w:p w14:paraId="2F24D1B5">
            <w:pPr>
              <w:spacing w:line="520" w:lineRule="exact"/>
              <w:ind w:left="2" w:hanging="2"/>
              <w:rPr>
                <w:rFonts w:eastAsia="仿宋_GB2312"/>
                <w:sz w:val="28"/>
                <w:szCs w:val="28"/>
              </w:rPr>
            </w:pPr>
            <w:r>
              <w:rPr>
                <w:rFonts w:eastAsia="仿宋_GB2312"/>
                <w:sz w:val="28"/>
                <w:szCs w:val="28"/>
              </w:rPr>
              <w:t>医用电气设备</w:t>
            </w:r>
            <w:r>
              <w:rPr>
                <w:rFonts w:hint="eastAsia" w:eastAsia="仿宋_GB2312"/>
                <w:sz w:val="28"/>
                <w:szCs w:val="28"/>
              </w:rPr>
              <w:t xml:space="preserve"> </w:t>
            </w:r>
            <w:r>
              <w:rPr>
                <w:rFonts w:eastAsia="仿宋_GB2312"/>
                <w:sz w:val="28"/>
                <w:szCs w:val="28"/>
              </w:rPr>
              <w:t>第1</w:t>
            </w:r>
            <w:r>
              <w:rPr>
                <w:rFonts w:hint="eastAsia" w:eastAsia="仿宋_GB2312"/>
                <w:sz w:val="28"/>
                <w:szCs w:val="28"/>
              </w:rPr>
              <w:t>—</w:t>
            </w:r>
            <w:r>
              <w:rPr>
                <w:rFonts w:eastAsia="仿宋_GB2312"/>
                <w:sz w:val="28"/>
                <w:szCs w:val="28"/>
              </w:rPr>
              <w:t>2部分：</w:t>
            </w:r>
            <w:r>
              <w:rPr>
                <w:rFonts w:hint="eastAsia" w:eastAsia="仿宋_GB2312"/>
                <w:sz w:val="28"/>
                <w:szCs w:val="28"/>
              </w:rPr>
              <w:t>基本</w:t>
            </w:r>
            <w:r>
              <w:rPr>
                <w:rFonts w:eastAsia="仿宋_GB2312"/>
                <w:sz w:val="28"/>
                <w:szCs w:val="28"/>
              </w:rPr>
              <w:t>安全</w:t>
            </w:r>
            <w:r>
              <w:rPr>
                <w:rFonts w:hint="eastAsia" w:eastAsia="仿宋_GB2312"/>
                <w:sz w:val="28"/>
                <w:szCs w:val="28"/>
              </w:rPr>
              <w:t>和基本性能的</w:t>
            </w:r>
            <w:r>
              <w:rPr>
                <w:rFonts w:eastAsia="仿宋_GB2312"/>
                <w:sz w:val="28"/>
                <w:szCs w:val="28"/>
              </w:rPr>
              <w:t>通用要求</w:t>
            </w:r>
            <w:r>
              <w:rPr>
                <w:rFonts w:hint="eastAsia" w:eastAsia="仿宋_GB2312"/>
                <w:sz w:val="28"/>
                <w:szCs w:val="28"/>
              </w:rPr>
              <w:t xml:space="preserve"> </w:t>
            </w:r>
            <w:r>
              <w:rPr>
                <w:rFonts w:eastAsia="仿宋_GB2312"/>
                <w:sz w:val="28"/>
                <w:szCs w:val="28"/>
              </w:rPr>
              <w:t>并列标准</w:t>
            </w:r>
            <w:r>
              <w:rPr>
                <w:rFonts w:hint="eastAsia" w:eastAsia="仿宋_GB2312"/>
                <w:sz w:val="28"/>
                <w:szCs w:val="28"/>
              </w:rPr>
              <w:t>：</w:t>
            </w:r>
            <w:r>
              <w:rPr>
                <w:rFonts w:eastAsia="仿宋_GB2312"/>
                <w:sz w:val="28"/>
                <w:szCs w:val="28"/>
              </w:rPr>
              <w:t>电磁兼容要求和试验</w:t>
            </w:r>
          </w:p>
        </w:tc>
      </w:tr>
      <w:tr w14:paraId="27909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42" w:hRule="atLeast"/>
          <w:jc w:val="center"/>
        </w:trPr>
        <w:tc>
          <w:tcPr>
            <w:tcW w:w="2948" w:type="dxa"/>
            <w:shd w:val="clear" w:color="auto" w:fill="FFFFFF"/>
            <w:vAlign w:val="center"/>
          </w:tcPr>
          <w:p w14:paraId="09837F01">
            <w:pPr>
              <w:spacing w:line="520" w:lineRule="exact"/>
              <w:ind w:left="2" w:hanging="2"/>
              <w:rPr>
                <w:rFonts w:eastAsia="仿宋_GB2312"/>
                <w:sz w:val="28"/>
                <w:szCs w:val="28"/>
              </w:rPr>
            </w:pPr>
            <w:r>
              <w:rPr>
                <w:rFonts w:eastAsia="仿宋_GB2312"/>
                <w:sz w:val="28"/>
                <w:szCs w:val="28"/>
              </w:rPr>
              <w:t>YY</w:t>
            </w:r>
            <w:r>
              <w:rPr>
                <w:rFonts w:hint="eastAsia" w:eastAsia="仿宋_GB2312"/>
                <w:sz w:val="28"/>
                <w:szCs w:val="28"/>
              </w:rPr>
              <w:t xml:space="preserve"> </w:t>
            </w:r>
            <w:r>
              <w:rPr>
                <w:rFonts w:eastAsia="仿宋_GB2312"/>
                <w:sz w:val="28"/>
                <w:szCs w:val="28"/>
              </w:rPr>
              <w:t>9706.112</w:t>
            </w:r>
          </w:p>
        </w:tc>
        <w:tc>
          <w:tcPr>
            <w:tcW w:w="6632" w:type="dxa"/>
            <w:shd w:val="clear" w:color="auto" w:fill="FFFFFF"/>
            <w:vAlign w:val="center"/>
          </w:tcPr>
          <w:p w14:paraId="14AC0D8D">
            <w:pPr>
              <w:spacing w:line="520" w:lineRule="exact"/>
              <w:ind w:left="2" w:hanging="2"/>
              <w:rPr>
                <w:rFonts w:eastAsia="仿宋_GB2312"/>
                <w:sz w:val="28"/>
                <w:szCs w:val="28"/>
              </w:rPr>
            </w:pPr>
            <w:r>
              <w:rPr>
                <w:rFonts w:hint="eastAsia" w:eastAsia="仿宋_GB2312"/>
                <w:sz w:val="28"/>
                <w:szCs w:val="28"/>
              </w:rPr>
              <w:t>医用电气设备 第1-12部分：基本安全和基本性能的通用要求 并列标准：预期在紧急医疗服务环境中使用的医用电气设备和医用电气系统的要求</w:t>
            </w:r>
          </w:p>
        </w:tc>
      </w:tr>
      <w:tr w14:paraId="27F3D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948" w:type="dxa"/>
            <w:shd w:val="clear" w:color="auto" w:fill="FFFFFF"/>
            <w:vAlign w:val="center"/>
          </w:tcPr>
          <w:p w14:paraId="71480A4C">
            <w:pPr>
              <w:spacing w:line="520" w:lineRule="exact"/>
              <w:ind w:left="2" w:hanging="2"/>
              <w:rPr>
                <w:rFonts w:eastAsia="仿宋_GB2312"/>
                <w:sz w:val="28"/>
                <w:szCs w:val="28"/>
              </w:rPr>
            </w:pPr>
            <w:r>
              <w:rPr>
                <w:rFonts w:eastAsia="仿宋_GB2312"/>
                <w:sz w:val="28"/>
                <w:szCs w:val="28"/>
              </w:rPr>
              <w:t>YY/T 0681系列标准</w:t>
            </w:r>
          </w:p>
        </w:tc>
        <w:tc>
          <w:tcPr>
            <w:tcW w:w="6632" w:type="dxa"/>
            <w:shd w:val="clear" w:color="auto" w:fill="FFFFFF"/>
            <w:vAlign w:val="center"/>
          </w:tcPr>
          <w:p w14:paraId="73C00103">
            <w:pPr>
              <w:spacing w:line="520" w:lineRule="exact"/>
              <w:ind w:left="2" w:hanging="2"/>
              <w:rPr>
                <w:rFonts w:eastAsia="仿宋_GB2312"/>
                <w:sz w:val="28"/>
                <w:szCs w:val="28"/>
              </w:rPr>
            </w:pPr>
            <w:r>
              <w:rPr>
                <w:rFonts w:eastAsia="仿宋_GB2312"/>
                <w:sz w:val="28"/>
                <w:szCs w:val="28"/>
              </w:rPr>
              <w:t>无菌医疗器械包装试验方法</w:t>
            </w:r>
          </w:p>
        </w:tc>
      </w:tr>
      <w:tr w14:paraId="4DCC9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42" w:hRule="atLeast"/>
          <w:jc w:val="center"/>
        </w:trPr>
        <w:tc>
          <w:tcPr>
            <w:tcW w:w="2948" w:type="dxa"/>
            <w:shd w:val="clear" w:color="auto" w:fill="FFFFFF"/>
            <w:vAlign w:val="center"/>
          </w:tcPr>
          <w:p w14:paraId="507C1421">
            <w:pPr>
              <w:spacing w:line="520" w:lineRule="exact"/>
              <w:ind w:left="2" w:hanging="2"/>
              <w:rPr>
                <w:rFonts w:eastAsia="仿宋_GB2312"/>
                <w:sz w:val="28"/>
                <w:szCs w:val="28"/>
              </w:rPr>
            </w:pPr>
            <w:r>
              <w:rPr>
                <w:rFonts w:eastAsia="仿宋_GB2312"/>
                <w:sz w:val="28"/>
                <w:szCs w:val="28"/>
              </w:rPr>
              <w:t>YY/T 0698系列标准</w:t>
            </w:r>
          </w:p>
        </w:tc>
        <w:tc>
          <w:tcPr>
            <w:tcW w:w="6632" w:type="dxa"/>
            <w:shd w:val="clear" w:color="auto" w:fill="FFFFFF"/>
            <w:vAlign w:val="center"/>
          </w:tcPr>
          <w:p w14:paraId="431D1572">
            <w:pPr>
              <w:spacing w:line="520" w:lineRule="exact"/>
              <w:ind w:left="2" w:hanging="2"/>
              <w:rPr>
                <w:rFonts w:eastAsia="仿宋_GB2312"/>
                <w:sz w:val="28"/>
                <w:szCs w:val="28"/>
              </w:rPr>
            </w:pPr>
            <w:r>
              <w:rPr>
                <w:rFonts w:eastAsia="仿宋_GB2312"/>
                <w:sz w:val="28"/>
                <w:szCs w:val="28"/>
              </w:rPr>
              <w:t>最终灭菌医疗器械包装材料</w:t>
            </w:r>
          </w:p>
        </w:tc>
      </w:tr>
      <w:tr w14:paraId="520B9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42" w:hRule="atLeast"/>
          <w:jc w:val="center"/>
        </w:trPr>
        <w:tc>
          <w:tcPr>
            <w:tcW w:w="2948" w:type="dxa"/>
            <w:shd w:val="clear" w:color="auto" w:fill="FFFFFF"/>
            <w:vAlign w:val="center"/>
          </w:tcPr>
          <w:p w14:paraId="3E228421">
            <w:pPr>
              <w:spacing w:line="520" w:lineRule="exact"/>
              <w:ind w:left="2" w:hanging="2"/>
              <w:rPr>
                <w:rFonts w:eastAsia="仿宋_GB2312"/>
                <w:sz w:val="28"/>
                <w:szCs w:val="28"/>
              </w:rPr>
            </w:pPr>
            <w:r>
              <w:rPr>
                <w:rFonts w:eastAsia="仿宋_GB2312"/>
                <w:sz w:val="28"/>
                <w:szCs w:val="28"/>
              </w:rPr>
              <w:t>YY/ T1474</w:t>
            </w:r>
          </w:p>
        </w:tc>
        <w:tc>
          <w:tcPr>
            <w:tcW w:w="6632" w:type="dxa"/>
            <w:shd w:val="clear" w:color="auto" w:fill="FFFFFF"/>
            <w:vAlign w:val="center"/>
          </w:tcPr>
          <w:p w14:paraId="4D33A9F3">
            <w:pPr>
              <w:spacing w:line="520" w:lineRule="exact"/>
              <w:ind w:left="2" w:hanging="2"/>
              <w:rPr>
                <w:rFonts w:eastAsia="仿宋_GB2312"/>
                <w:sz w:val="28"/>
                <w:szCs w:val="28"/>
              </w:rPr>
            </w:pPr>
            <w:r>
              <w:rPr>
                <w:rFonts w:eastAsia="仿宋_GB2312"/>
                <w:sz w:val="28"/>
                <w:szCs w:val="28"/>
              </w:rPr>
              <w:t>医疗器械可用性工程对医疗器械的应用</w:t>
            </w:r>
          </w:p>
        </w:tc>
      </w:tr>
      <w:tr w14:paraId="2ECC8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2948" w:type="dxa"/>
            <w:shd w:val="clear" w:color="auto" w:fill="FFFFFF"/>
            <w:vAlign w:val="center"/>
          </w:tcPr>
          <w:p w14:paraId="22F0E641">
            <w:pPr>
              <w:spacing w:line="520" w:lineRule="exact"/>
              <w:ind w:left="2" w:hanging="2"/>
              <w:rPr>
                <w:rFonts w:eastAsia="仿宋_GB2312"/>
                <w:sz w:val="28"/>
                <w:szCs w:val="28"/>
              </w:rPr>
            </w:pPr>
            <w:r>
              <w:rPr>
                <w:rFonts w:hint="eastAsia" w:eastAsia="仿宋_GB2312"/>
                <w:sz w:val="28"/>
                <w:szCs w:val="28"/>
              </w:rPr>
              <w:t>YY/T 1844</w:t>
            </w:r>
          </w:p>
        </w:tc>
        <w:tc>
          <w:tcPr>
            <w:tcW w:w="6632" w:type="dxa"/>
            <w:shd w:val="clear" w:color="auto" w:fill="FFFFFF"/>
            <w:vAlign w:val="center"/>
          </w:tcPr>
          <w:p w14:paraId="0EBE1F89">
            <w:pPr>
              <w:spacing w:line="520" w:lineRule="exact"/>
              <w:ind w:left="2" w:hanging="2"/>
              <w:rPr>
                <w:rFonts w:eastAsia="仿宋_GB2312"/>
                <w:sz w:val="28"/>
                <w:szCs w:val="28"/>
              </w:rPr>
            </w:pPr>
            <w:r>
              <w:rPr>
                <w:rFonts w:hint="eastAsia" w:eastAsia="仿宋_GB2312"/>
                <w:sz w:val="28"/>
                <w:szCs w:val="28"/>
              </w:rPr>
              <w:t>麻醉和呼吸设备 导气管和相关设备的通用要求</w:t>
            </w:r>
          </w:p>
        </w:tc>
      </w:tr>
    </w:tbl>
    <w:p w14:paraId="7897EB96">
      <w:pPr>
        <w:spacing w:line="520" w:lineRule="exact"/>
        <w:rPr>
          <w:rFonts w:hint="eastAsia" w:ascii="仿宋_GB2312" w:hAnsi="华文仿宋" w:eastAsia="仿宋_GB2312"/>
          <w:sz w:val="32"/>
          <w:szCs w:val="32"/>
        </w:rPr>
      </w:pPr>
    </w:p>
    <w:p w14:paraId="7735D6D8">
      <w:pPr>
        <w:spacing w:line="520" w:lineRule="exact"/>
        <w:ind w:firstLine="640" w:firstLineChars="200"/>
        <w:outlineLvl w:val="1"/>
        <w:rPr>
          <w:rFonts w:hint="eastAsia" w:ascii="楷体_GB2312" w:hAnsi="华文仿宋" w:eastAsia="楷体_GB2312"/>
          <w:sz w:val="32"/>
          <w:szCs w:val="32"/>
        </w:rPr>
      </w:pPr>
      <w:r>
        <w:rPr>
          <w:rFonts w:hint="eastAsia" w:ascii="楷体_GB2312" w:hAnsi="华文仿宋" w:eastAsia="楷体_GB2312"/>
          <w:sz w:val="32"/>
          <w:szCs w:val="32"/>
        </w:rPr>
        <w:t>2.2产品技术要求应包括的主要性能指标</w:t>
      </w:r>
    </w:p>
    <w:p w14:paraId="67801853">
      <w:pPr>
        <w:spacing w:line="520" w:lineRule="exact"/>
        <w:ind w:left="2" w:firstLine="640" w:firstLineChars="200"/>
        <w:rPr>
          <w:rFonts w:eastAsia="仿宋_GB2312"/>
          <w:sz w:val="32"/>
          <w:szCs w:val="32"/>
        </w:rPr>
      </w:pPr>
      <w:r>
        <w:rPr>
          <w:rFonts w:eastAsia="仿宋_GB2312"/>
          <w:sz w:val="32"/>
          <w:szCs w:val="32"/>
        </w:rPr>
        <w:t>申请人应根据产品的实际情况，拟定产品技术要求应符合《医疗器械注册与备案管理办法》等相关规定，应不低于产品适用的强制性国家标准/行业标准，按照《医疗器械产品技术要求编写指导原则》要求编写。</w:t>
      </w:r>
    </w:p>
    <w:p w14:paraId="38320BBC">
      <w:pPr>
        <w:spacing w:line="520" w:lineRule="exact"/>
        <w:ind w:left="2" w:firstLine="640" w:firstLineChars="200"/>
        <w:rPr>
          <w:rFonts w:hint="eastAsia" w:ascii="仿宋_GB2312" w:hAnsi="华文仿宋" w:eastAsia="仿宋_GB2312"/>
          <w:sz w:val="32"/>
          <w:szCs w:val="32"/>
        </w:rPr>
      </w:pPr>
      <w:r>
        <w:rPr>
          <w:rFonts w:hint="eastAsia" w:eastAsia="仿宋_GB2312"/>
          <w:sz w:val="32"/>
          <w:szCs w:val="32"/>
        </w:rPr>
        <w:t>2.2.1</w:t>
      </w:r>
      <w:r>
        <w:rPr>
          <w:rFonts w:eastAsia="仿宋_GB2312"/>
          <w:spacing w:val="6"/>
          <w:sz w:val="32"/>
          <w:szCs w:val="32"/>
        </w:rPr>
        <w:t>一次性使用的麻醉咽喉镜因其材质与重复使用的产品不同，性能指标与YY 0499、</w:t>
      </w:r>
      <w:r>
        <w:rPr>
          <w:rFonts w:hint="eastAsia" w:eastAsia="仿宋_GB2312"/>
          <w:spacing w:val="6"/>
          <w:sz w:val="32"/>
          <w:szCs w:val="32"/>
        </w:rPr>
        <w:t>GB9706.1、YY  9706.102（如适用）</w:t>
      </w:r>
      <w:r>
        <w:rPr>
          <w:rFonts w:hint="eastAsia" w:ascii="仿宋_GB2312" w:hAnsi="华文仿宋" w:eastAsia="仿宋_GB2312"/>
          <w:sz w:val="32"/>
          <w:szCs w:val="32"/>
        </w:rPr>
        <w:t>中具体要求可能存在不适用的情况，在制定技术要求时，应充分考虑产品自身特点，对于不适用的内容，应在性能研究资料中详细说明原因，提供有关证据。可考虑根据产品实际特点增加相关指标要求</w:t>
      </w:r>
      <w:r>
        <w:rPr>
          <w:rFonts w:hint="eastAsia" w:ascii="仿宋_GB2312" w:hAnsi="华文仿宋" w:eastAsia="仿宋_GB2312"/>
          <w:sz w:val="32"/>
          <w:szCs w:val="32"/>
          <w:lang w:eastAsia="zh-CN"/>
        </w:rPr>
        <w:t>，</w:t>
      </w:r>
      <w:r>
        <w:rPr>
          <w:rFonts w:hint="eastAsia" w:ascii="仿宋_GB2312" w:hAnsi="华文仿宋" w:eastAsia="仿宋_GB2312"/>
          <w:sz w:val="32"/>
          <w:szCs w:val="32"/>
          <w:lang w:val="en-US" w:eastAsia="zh-CN"/>
        </w:rPr>
        <w:t>如环氧乙烷灭菌的一次性使用的麻醉咽喉镜应制定无菌、环氧乙烷残留量性能指标要求</w:t>
      </w:r>
      <w:r>
        <w:rPr>
          <w:rFonts w:hint="eastAsia" w:ascii="仿宋_GB2312" w:hAnsi="华文仿宋" w:eastAsia="仿宋_GB2312"/>
          <w:sz w:val="32"/>
          <w:szCs w:val="32"/>
        </w:rPr>
        <w:t>。</w:t>
      </w:r>
    </w:p>
    <w:p w14:paraId="72F8EE21">
      <w:pPr>
        <w:spacing w:line="520" w:lineRule="exact"/>
        <w:ind w:left="2" w:firstLine="640" w:firstLineChars="200"/>
        <w:rPr>
          <w:rFonts w:hint="eastAsia" w:ascii="仿宋_GB2312" w:hAnsi="华文仿宋" w:eastAsia="仿宋_GB2312"/>
          <w:sz w:val="32"/>
          <w:szCs w:val="32"/>
        </w:rPr>
      </w:pPr>
      <w:r>
        <w:rPr>
          <w:rFonts w:hint="eastAsia" w:eastAsia="仿宋_GB2312"/>
          <w:sz w:val="32"/>
          <w:szCs w:val="32"/>
        </w:rPr>
        <w:t>2.2.2</w:t>
      </w:r>
      <w:r>
        <w:rPr>
          <w:rFonts w:eastAsia="仿宋_GB2312"/>
          <w:sz w:val="32"/>
          <w:szCs w:val="32"/>
        </w:rPr>
        <w:t>电磁兼容性</w:t>
      </w:r>
      <w:r>
        <w:rPr>
          <w:rFonts w:hint="eastAsia" w:eastAsia="仿宋_GB2312"/>
          <w:sz w:val="32"/>
          <w:szCs w:val="32"/>
        </w:rPr>
        <w:t>应</w:t>
      </w:r>
      <w:r>
        <w:rPr>
          <w:rFonts w:eastAsia="仿宋_GB2312"/>
          <w:sz w:val="32"/>
          <w:szCs w:val="32"/>
        </w:rPr>
        <w:t xml:space="preserve">按照YY </w:t>
      </w:r>
      <w:r>
        <w:rPr>
          <w:rFonts w:hint="eastAsia" w:eastAsia="仿宋_GB2312"/>
          <w:sz w:val="32"/>
          <w:szCs w:val="32"/>
        </w:rPr>
        <w:t>9706.102</w:t>
      </w:r>
      <w:r>
        <w:rPr>
          <w:rFonts w:hint="eastAsia" w:ascii="仿宋_GB2312" w:hAnsi="华文仿宋" w:eastAsia="仿宋_GB2312"/>
          <w:sz w:val="32"/>
          <w:szCs w:val="32"/>
        </w:rPr>
        <w:t>的要求检验。对于仅包含光纤，无光源的窥视片产品，可不要求电磁兼容检验。安规检验报告和电磁兼容检验报告应具有关联性。</w:t>
      </w:r>
    </w:p>
    <w:p w14:paraId="52D46917">
      <w:pPr>
        <w:spacing w:line="520" w:lineRule="exact"/>
        <w:ind w:firstLine="640" w:firstLineChars="200"/>
        <w:rPr>
          <w:rFonts w:eastAsia="仿宋_GB2312"/>
          <w:spacing w:val="4"/>
          <w:sz w:val="32"/>
          <w:szCs w:val="32"/>
        </w:rPr>
      </w:pPr>
      <w:r>
        <w:rPr>
          <w:rFonts w:hint="eastAsia" w:eastAsia="仿宋_GB2312"/>
          <w:sz w:val="32"/>
          <w:szCs w:val="32"/>
        </w:rPr>
        <w:t>2.2</w:t>
      </w:r>
      <w:r>
        <w:rPr>
          <w:rFonts w:eastAsia="仿宋_GB2312"/>
          <w:sz w:val="32"/>
          <w:szCs w:val="32"/>
        </w:rPr>
        <w:t>.</w:t>
      </w:r>
      <w:r>
        <w:rPr>
          <w:rFonts w:hint="eastAsia" w:eastAsia="仿宋_GB2312"/>
          <w:sz w:val="32"/>
          <w:szCs w:val="32"/>
          <w:lang w:val="en-US" w:eastAsia="zh-CN"/>
        </w:rPr>
        <w:t>3</w:t>
      </w:r>
      <w:r>
        <w:rPr>
          <w:rFonts w:eastAsia="仿宋_GB2312"/>
          <w:spacing w:val="4"/>
          <w:sz w:val="32"/>
          <w:szCs w:val="32"/>
        </w:rPr>
        <w:t>手柄</w:t>
      </w:r>
    </w:p>
    <w:p w14:paraId="39D06FFF">
      <w:pPr>
        <w:spacing w:line="520" w:lineRule="exact"/>
        <w:ind w:firstLine="640" w:firstLineChars="200"/>
        <w:rPr>
          <w:rFonts w:eastAsia="仿宋_GB2312"/>
          <w:spacing w:val="4"/>
          <w:sz w:val="32"/>
          <w:szCs w:val="32"/>
        </w:rPr>
      </w:pPr>
      <w:r>
        <w:rPr>
          <w:rFonts w:hint="eastAsia" w:eastAsia="仿宋_GB2312"/>
          <w:sz w:val="32"/>
          <w:szCs w:val="32"/>
        </w:rPr>
        <w:t>2.2</w:t>
      </w:r>
      <w:r>
        <w:rPr>
          <w:rFonts w:eastAsia="仿宋_GB2312"/>
          <w:sz w:val="32"/>
          <w:szCs w:val="32"/>
        </w:rPr>
        <w:t>.</w:t>
      </w:r>
      <w:r>
        <w:rPr>
          <w:rFonts w:hint="eastAsia" w:eastAsia="仿宋_GB2312"/>
          <w:sz w:val="32"/>
          <w:szCs w:val="32"/>
          <w:lang w:val="en-US" w:eastAsia="zh-CN"/>
        </w:rPr>
        <w:t>4</w:t>
      </w:r>
      <w:r>
        <w:rPr>
          <w:rFonts w:eastAsia="仿宋_GB2312"/>
          <w:spacing w:val="4"/>
          <w:sz w:val="32"/>
          <w:szCs w:val="32"/>
        </w:rPr>
        <w:t>喉镜窥视片</w:t>
      </w:r>
    </w:p>
    <w:p w14:paraId="0C655EE9">
      <w:pPr>
        <w:spacing w:line="520" w:lineRule="exact"/>
        <w:ind w:firstLine="640" w:firstLineChars="200"/>
        <w:rPr>
          <w:rFonts w:eastAsia="仿宋_GB2312"/>
          <w:spacing w:val="4"/>
          <w:sz w:val="32"/>
          <w:szCs w:val="32"/>
        </w:rPr>
      </w:pPr>
      <w:r>
        <w:rPr>
          <w:rFonts w:hint="eastAsia" w:eastAsia="仿宋_GB2312"/>
          <w:sz w:val="32"/>
          <w:szCs w:val="32"/>
        </w:rPr>
        <w:t>2.2</w:t>
      </w:r>
      <w:r>
        <w:rPr>
          <w:rFonts w:eastAsia="仿宋_GB2312"/>
          <w:sz w:val="32"/>
          <w:szCs w:val="32"/>
        </w:rPr>
        <w:t>.</w:t>
      </w:r>
      <w:r>
        <w:rPr>
          <w:rFonts w:hint="eastAsia" w:eastAsia="仿宋_GB2312"/>
          <w:sz w:val="32"/>
          <w:szCs w:val="32"/>
          <w:lang w:val="en-US" w:eastAsia="zh-CN"/>
        </w:rPr>
        <w:t>5</w:t>
      </w:r>
      <w:r>
        <w:rPr>
          <w:rFonts w:eastAsia="仿宋_GB2312"/>
          <w:spacing w:val="4"/>
          <w:sz w:val="32"/>
          <w:szCs w:val="32"/>
        </w:rPr>
        <w:t>铰链组合</w:t>
      </w:r>
    </w:p>
    <w:p w14:paraId="27F6B8E2">
      <w:pPr>
        <w:spacing w:line="520" w:lineRule="exact"/>
        <w:ind w:firstLine="640" w:firstLineChars="200"/>
        <w:rPr>
          <w:rFonts w:eastAsia="仿宋_GB2312"/>
          <w:spacing w:val="4"/>
          <w:sz w:val="32"/>
          <w:szCs w:val="32"/>
        </w:rPr>
      </w:pPr>
      <w:r>
        <w:rPr>
          <w:rFonts w:hint="eastAsia" w:eastAsia="仿宋_GB2312"/>
          <w:sz w:val="32"/>
          <w:szCs w:val="32"/>
        </w:rPr>
        <w:t>2.2.</w:t>
      </w:r>
      <w:r>
        <w:rPr>
          <w:rFonts w:hint="eastAsia" w:eastAsia="仿宋_GB2312"/>
          <w:sz w:val="32"/>
          <w:szCs w:val="32"/>
          <w:lang w:val="en-US" w:eastAsia="zh-CN"/>
        </w:rPr>
        <w:t>6</w:t>
      </w:r>
      <w:r>
        <w:rPr>
          <w:rFonts w:eastAsia="仿宋_GB2312"/>
          <w:spacing w:val="4"/>
          <w:sz w:val="32"/>
          <w:szCs w:val="32"/>
        </w:rPr>
        <w:t>单件式喉镜</w:t>
      </w:r>
    </w:p>
    <w:p w14:paraId="3F1F7E55">
      <w:pPr>
        <w:spacing w:line="520" w:lineRule="exact"/>
        <w:ind w:firstLine="656" w:firstLineChars="200"/>
        <w:rPr>
          <w:rFonts w:eastAsia="仿宋_GB2312"/>
          <w:spacing w:val="4"/>
          <w:sz w:val="32"/>
          <w:szCs w:val="32"/>
        </w:rPr>
      </w:pPr>
      <w:r>
        <w:rPr>
          <w:rFonts w:hint="eastAsia" w:eastAsia="仿宋_GB2312"/>
          <w:spacing w:val="4"/>
          <w:sz w:val="32"/>
          <w:szCs w:val="32"/>
        </w:rPr>
        <w:t>2.2.</w:t>
      </w:r>
      <w:r>
        <w:rPr>
          <w:rFonts w:hint="eastAsia" w:eastAsia="仿宋_GB2312"/>
          <w:spacing w:val="4"/>
          <w:sz w:val="32"/>
          <w:szCs w:val="32"/>
          <w:lang w:val="en-US" w:eastAsia="zh-CN"/>
        </w:rPr>
        <w:t>7</w:t>
      </w:r>
      <w:r>
        <w:rPr>
          <w:rFonts w:eastAsia="仿宋_GB2312"/>
          <w:spacing w:val="4"/>
          <w:sz w:val="32"/>
          <w:szCs w:val="32"/>
        </w:rPr>
        <w:t>若非无菌供应，应规定微生物限度指标</w:t>
      </w:r>
    </w:p>
    <w:p w14:paraId="363E609D">
      <w:pPr>
        <w:spacing w:line="520" w:lineRule="exact"/>
        <w:ind w:firstLine="656" w:firstLineChars="200"/>
        <w:rPr>
          <w:rFonts w:eastAsia="仿宋_GB2312"/>
          <w:spacing w:val="4"/>
          <w:sz w:val="32"/>
          <w:szCs w:val="32"/>
        </w:rPr>
      </w:pPr>
      <w:r>
        <w:rPr>
          <w:rFonts w:hint="eastAsia" w:eastAsia="仿宋_GB2312"/>
          <w:spacing w:val="4"/>
          <w:sz w:val="32"/>
          <w:szCs w:val="32"/>
        </w:rPr>
        <w:t>2.2.</w:t>
      </w:r>
      <w:r>
        <w:rPr>
          <w:rFonts w:hint="eastAsia" w:eastAsia="仿宋_GB2312"/>
          <w:spacing w:val="4"/>
          <w:sz w:val="32"/>
          <w:szCs w:val="32"/>
          <w:lang w:val="en-US" w:eastAsia="zh-CN"/>
        </w:rPr>
        <w:t>8</w:t>
      </w:r>
      <w:r>
        <w:rPr>
          <w:rFonts w:eastAsia="仿宋_GB2312"/>
          <w:spacing w:val="4"/>
          <w:sz w:val="32"/>
          <w:szCs w:val="32"/>
        </w:rPr>
        <w:t>若无菌供应，应规定无菌性能指标，采用环氧乙烷灭菌，还应规定环氧乙烷残留量指标。</w:t>
      </w:r>
    </w:p>
    <w:p w14:paraId="120D49CB">
      <w:pPr>
        <w:spacing w:line="520" w:lineRule="exact"/>
        <w:ind w:left="2" w:firstLine="640" w:firstLineChars="200"/>
        <w:rPr>
          <w:rFonts w:hint="eastAsia" w:ascii="仿宋_GB2312" w:hAnsi="华文仿宋" w:eastAsia="仿宋_GB2312"/>
          <w:sz w:val="32"/>
          <w:szCs w:val="32"/>
        </w:rPr>
      </w:pPr>
      <w:r>
        <w:rPr>
          <w:rFonts w:eastAsia="仿宋_GB2312"/>
          <w:sz w:val="32"/>
          <w:szCs w:val="32"/>
        </w:rPr>
        <w:t>企业对</w:t>
      </w:r>
      <w:r>
        <w:rPr>
          <w:rFonts w:eastAsia="仿宋_GB2312"/>
          <w:spacing w:val="4"/>
          <w:sz w:val="32"/>
          <w:szCs w:val="32"/>
        </w:rPr>
        <w:t>宣称</w:t>
      </w:r>
      <w:r>
        <w:rPr>
          <w:rFonts w:eastAsia="仿宋_GB2312"/>
          <w:sz w:val="32"/>
          <w:szCs w:val="32"/>
        </w:rPr>
        <w:t>的所有其他技术参数和功能，均应在产品技术要求中予以规定。</w:t>
      </w:r>
    </w:p>
    <w:p w14:paraId="22D4B3A9">
      <w:pPr>
        <w:spacing w:line="520" w:lineRule="exact"/>
        <w:ind w:left="2" w:firstLine="640" w:firstLineChars="200"/>
        <w:rPr>
          <w:rFonts w:eastAsia="仿宋_GB2312"/>
          <w:sz w:val="32"/>
          <w:szCs w:val="32"/>
        </w:rPr>
      </w:pPr>
      <w:r>
        <w:rPr>
          <w:rFonts w:hint="eastAsia" w:eastAsia="仿宋_GB2312"/>
          <w:sz w:val="32"/>
          <w:szCs w:val="32"/>
        </w:rPr>
        <w:t>2.3检验报告</w:t>
      </w:r>
    </w:p>
    <w:p w14:paraId="54FD15BD">
      <w:pPr>
        <w:spacing w:line="520" w:lineRule="exact"/>
        <w:ind w:firstLine="739" w:firstLineChars="231"/>
        <w:rPr>
          <w:rFonts w:eastAsia="仿宋_GB2312"/>
          <w:sz w:val="32"/>
          <w:szCs w:val="32"/>
        </w:rPr>
      </w:pPr>
      <w:r>
        <w:rPr>
          <w:rFonts w:eastAsia="仿宋_GB2312"/>
          <w:sz w:val="32"/>
          <w:szCs w:val="32"/>
        </w:rPr>
        <w:t>检验报告可以是申请人按照《医疗器械注册自检管理规定》出具的自检报告，也可以是委托有资质的医疗器械检验机构出具的检验报告。</w:t>
      </w:r>
    </w:p>
    <w:p w14:paraId="0C37C81C">
      <w:pPr>
        <w:spacing w:line="520" w:lineRule="exact"/>
        <w:ind w:firstLine="640" w:firstLineChars="200"/>
        <w:outlineLvl w:val="1"/>
        <w:rPr>
          <w:rFonts w:hint="eastAsia" w:ascii="楷体_GB2312" w:hAnsi="华文仿宋" w:eastAsia="楷体_GB2312"/>
          <w:sz w:val="32"/>
          <w:szCs w:val="32"/>
        </w:rPr>
      </w:pPr>
      <w:r>
        <w:rPr>
          <w:rFonts w:hint="eastAsia" w:ascii="楷体_GB2312" w:hAnsi="华文仿宋" w:eastAsia="楷体_GB2312"/>
          <w:sz w:val="32"/>
          <w:szCs w:val="32"/>
        </w:rPr>
        <w:t>2.4同一注册单元内注册检验代表产品确定原则和实例</w:t>
      </w:r>
    </w:p>
    <w:p w14:paraId="5304827C">
      <w:pPr>
        <w:spacing w:line="520" w:lineRule="exact"/>
        <w:ind w:left="2"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同一注册单元内所检验产品应当是本注册单元内能够代表申报的其他型号产品性能要求的产品，若不能完全覆盖，还应选择其他型号进行差异性检验。例如：不同光源的型号间不可相互覆盖，应分别检验。分体与连体，可选择分体型为典型型号，同时需提供型号间差异性检验。</w:t>
      </w:r>
    </w:p>
    <w:p w14:paraId="6F0E9E3E">
      <w:pPr>
        <w:spacing w:line="520" w:lineRule="exact"/>
        <w:ind w:firstLine="640" w:firstLineChars="200"/>
        <w:rPr>
          <w:rFonts w:eastAsia="仿宋_GB2312"/>
          <w:sz w:val="32"/>
          <w:szCs w:val="32"/>
        </w:rPr>
      </w:pPr>
      <w:r>
        <w:rPr>
          <w:rFonts w:eastAsia="仿宋_GB2312"/>
          <w:sz w:val="32"/>
          <w:szCs w:val="32"/>
        </w:rPr>
        <w:t>注册申请人应提供典型性检验样品的选择说明，典型性产品的确定可以通过比较同一注册单元内所有产品的技术结构、性能指标和预期用途等相应资料，说明其能够代表本注册单元内其他产品的安全性和有效性。原则上应选取结构最复杂、功能最齐全、风险最高的型号规格作为典型性产品。若一个型号规格不能覆盖所有产品，除选择典型性产品进行全性能检验外，还需选择其他型号规格产品进行未覆盖项目的检验。</w:t>
      </w:r>
    </w:p>
    <w:p w14:paraId="1ED9B081">
      <w:pPr>
        <w:numPr>
          <w:ilvl w:val="0"/>
          <w:numId w:val="2"/>
        </w:numPr>
        <w:spacing w:line="520" w:lineRule="exact"/>
        <w:ind w:firstLine="640" w:firstLineChars="200"/>
        <w:rPr>
          <w:rFonts w:hint="eastAsia" w:ascii="楷体_GB2312" w:hAnsi="华文仿宋" w:eastAsia="楷体_GB2312"/>
          <w:sz w:val="32"/>
          <w:szCs w:val="32"/>
        </w:rPr>
      </w:pPr>
      <w:r>
        <w:rPr>
          <w:rFonts w:hint="eastAsia" w:ascii="楷体_GB2312" w:hAnsi="华文仿宋" w:eastAsia="楷体_GB2312"/>
          <w:sz w:val="32"/>
          <w:szCs w:val="32"/>
        </w:rPr>
        <w:t>研究资料</w:t>
      </w:r>
    </w:p>
    <w:p w14:paraId="205501A2">
      <w:pPr>
        <w:spacing w:line="520" w:lineRule="exact"/>
        <w:ind w:firstLine="640" w:firstLineChars="200"/>
        <w:rPr>
          <w:rFonts w:eastAsia="仿宋_GB2312"/>
          <w:spacing w:val="-1"/>
          <w:sz w:val="32"/>
          <w:szCs w:val="32"/>
        </w:rPr>
      </w:pPr>
      <w:r>
        <w:rPr>
          <w:rFonts w:hint="eastAsia" w:ascii="楷体_GB2312" w:hAnsi="华文仿宋" w:eastAsia="楷体_GB2312"/>
          <w:sz w:val="32"/>
          <w:szCs w:val="32"/>
        </w:rPr>
        <w:t>3.1化学和物理性能研究</w:t>
      </w:r>
    </w:p>
    <w:p w14:paraId="782C633D">
      <w:pPr>
        <w:spacing w:line="520" w:lineRule="exact"/>
        <w:ind w:left="2" w:firstLine="640" w:firstLineChars="200"/>
        <w:rPr>
          <w:rFonts w:eastAsia="仿宋_GB2312"/>
          <w:sz w:val="32"/>
          <w:szCs w:val="32"/>
        </w:rPr>
      </w:pPr>
      <w:r>
        <w:rPr>
          <w:rFonts w:eastAsia="仿宋_GB2312"/>
          <w:sz w:val="32"/>
          <w:szCs w:val="32"/>
        </w:rPr>
        <w:t>应详述产品技术要求中主要性能指标及检验方法的确定依据，提供采用的原因及理论基础，提供涉及的研究性资料、文献资料和标准文本。如适用的国家标准、行业标准中有不采纳的条款，应将不采纳的条款及其理由予以阐明。</w:t>
      </w:r>
    </w:p>
    <w:p w14:paraId="59E80EA0">
      <w:pPr>
        <w:spacing w:line="520" w:lineRule="exact"/>
        <w:ind w:left="2" w:firstLine="640" w:firstLineChars="200"/>
        <w:rPr>
          <w:rFonts w:eastAsia="仿宋_GB2312"/>
          <w:sz w:val="32"/>
          <w:szCs w:val="32"/>
        </w:rPr>
      </w:pPr>
      <w:r>
        <w:rPr>
          <w:rFonts w:eastAsia="仿宋_GB2312"/>
          <w:sz w:val="32"/>
          <w:szCs w:val="32"/>
        </w:rPr>
        <w:t>麻醉咽喉镜的性能指标及试验方法应参考引用</w:t>
      </w:r>
      <w:r>
        <w:rPr>
          <w:rFonts w:hint="eastAsia" w:eastAsia="仿宋_GB2312"/>
          <w:sz w:val="32"/>
          <w:szCs w:val="32"/>
        </w:rPr>
        <w:t>YY 0499</w:t>
      </w:r>
      <w:r>
        <w:rPr>
          <w:rFonts w:eastAsia="仿宋_GB2312"/>
          <w:sz w:val="32"/>
          <w:szCs w:val="32"/>
        </w:rPr>
        <w:t>，如有不适用条款（包括国家标准、行业标准要求），注册申请人应在申报资料中说明理由。若未采用</w:t>
      </w:r>
      <w:r>
        <w:rPr>
          <w:rFonts w:hint="eastAsia" w:eastAsia="仿宋_GB2312"/>
          <w:sz w:val="32"/>
          <w:szCs w:val="32"/>
        </w:rPr>
        <w:t>YY 0499</w:t>
      </w:r>
      <w:r>
        <w:rPr>
          <w:rFonts w:eastAsia="仿宋_GB2312"/>
          <w:sz w:val="32"/>
          <w:szCs w:val="32"/>
        </w:rPr>
        <w:t>中给出的试验方法，应提供所使用的试验方法的来源依据或方法学验证资料。</w:t>
      </w:r>
    </w:p>
    <w:p w14:paraId="3685E685">
      <w:pPr>
        <w:spacing w:line="520" w:lineRule="exact"/>
        <w:ind w:left="2" w:firstLine="640" w:firstLineChars="200"/>
        <w:rPr>
          <w:rFonts w:eastAsia="仿宋_GB2312"/>
          <w:color w:val="FF0000"/>
          <w:sz w:val="32"/>
          <w:szCs w:val="32"/>
        </w:rPr>
      </w:pPr>
      <w:r>
        <w:rPr>
          <w:rFonts w:eastAsia="仿宋_GB2312"/>
          <w:sz w:val="32"/>
          <w:szCs w:val="32"/>
        </w:rPr>
        <w:t>若产品带有配合使用的附件，应分别列出附件的材料、尺寸、性能要求。</w:t>
      </w:r>
    </w:p>
    <w:p w14:paraId="49E9405A">
      <w:pPr>
        <w:ind w:firstLine="640" w:firstLineChars="200"/>
        <w:rPr>
          <w:rFonts w:hint="default" w:eastAsia="仿宋_GB2312"/>
          <w:sz w:val="32"/>
          <w:szCs w:val="32"/>
          <w:lang w:val="en-US" w:eastAsia="zh-CN"/>
        </w:rPr>
      </w:pPr>
      <w:r>
        <w:rPr>
          <w:rFonts w:eastAsia="仿宋_GB2312"/>
          <w:sz w:val="32"/>
          <w:szCs w:val="32"/>
        </w:rPr>
        <w:t>建议注册申请人对产品使用时，特别是急救时，对喉镜片折断的风险进行评估，提供产品抗折断方面的研究资料</w:t>
      </w:r>
      <w:r>
        <w:rPr>
          <w:rFonts w:hint="eastAsia" w:eastAsia="仿宋_GB2312"/>
          <w:sz w:val="32"/>
          <w:szCs w:val="32"/>
          <w:lang w:val="en-US" w:eastAsia="zh-CN"/>
        </w:rPr>
        <w:t>，应参照yy0499中7.1.5强度、7.2.2刚度、7.2.3强度性能要求进行验证。</w:t>
      </w:r>
    </w:p>
    <w:p w14:paraId="145693D7">
      <w:pPr>
        <w:spacing w:line="520" w:lineRule="exact"/>
        <w:ind w:left="2" w:firstLine="640" w:firstLineChars="200"/>
        <w:rPr>
          <w:rFonts w:eastAsia="仿宋_GB2312"/>
          <w:sz w:val="32"/>
          <w:szCs w:val="32"/>
        </w:rPr>
      </w:pPr>
      <w:r>
        <w:rPr>
          <w:rFonts w:eastAsia="仿宋_GB2312"/>
          <w:sz w:val="32"/>
          <w:szCs w:val="32"/>
        </w:rPr>
        <w:t>应提供产品的主要原材料选择依据等信息。</w:t>
      </w:r>
    </w:p>
    <w:p w14:paraId="58725C19">
      <w:pPr>
        <w:spacing w:line="520" w:lineRule="exact"/>
        <w:ind w:left="2" w:firstLine="640" w:firstLineChars="200"/>
        <w:rPr>
          <w:rFonts w:eastAsia="仿宋_GB2312"/>
          <w:sz w:val="32"/>
          <w:szCs w:val="32"/>
        </w:rPr>
      </w:pPr>
      <w:r>
        <w:rPr>
          <w:rFonts w:eastAsia="仿宋_GB2312"/>
          <w:sz w:val="32"/>
          <w:szCs w:val="32"/>
        </w:rPr>
        <w:t>对于采用新材料制造的产品以及具有其他特殊性能的产品，申请人应根据产品特点制定相应的性能要求，设计验证该项特殊性能的试验方法，阐明试验方法的来源或提供方法学确认资料。</w:t>
      </w:r>
    </w:p>
    <w:p w14:paraId="3643FF61">
      <w:pPr>
        <w:spacing w:line="520" w:lineRule="exact"/>
        <w:ind w:left="2" w:firstLine="640" w:firstLineChars="200"/>
        <w:rPr>
          <w:rFonts w:eastAsia="仿宋_GB2312"/>
          <w:sz w:val="32"/>
          <w:szCs w:val="32"/>
        </w:rPr>
      </w:pPr>
      <w:r>
        <w:rPr>
          <w:rFonts w:hint="eastAsia" w:eastAsia="仿宋_GB2312"/>
          <w:sz w:val="32"/>
          <w:szCs w:val="32"/>
        </w:rPr>
        <w:t>3.2联合使用</w:t>
      </w:r>
    </w:p>
    <w:p w14:paraId="69A8ECF9">
      <w:pPr>
        <w:spacing w:line="560" w:lineRule="exact"/>
        <w:ind w:firstLine="636" w:firstLineChars="200"/>
        <w:rPr>
          <w:rFonts w:eastAsia="仿宋_GB2312"/>
          <w:spacing w:val="-1"/>
          <w:sz w:val="32"/>
          <w:szCs w:val="32"/>
        </w:rPr>
      </w:pPr>
      <w:r>
        <w:rPr>
          <w:rFonts w:hint="eastAsia" w:eastAsia="仿宋_GB2312"/>
          <w:spacing w:val="-1"/>
          <w:sz w:val="32"/>
          <w:szCs w:val="32"/>
        </w:rPr>
        <w:t>如申报产品预期与其他医疗器械、药品、非医疗器械产品联合使用实现同一预期用途，应当提供证明联合使用安全有效的研究资料，包括互联基本信息（连接类型、接口、协议、最低性能）、联合使用风险及控制措施、联合使用上的限制，兼容性研究等。</w:t>
      </w:r>
    </w:p>
    <w:p w14:paraId="10980A44">
      <w:pPr>
        <w:spacing w:line="560" w:lineRule="exact"/>
        <w:ind w:firstLine="636" w:firstLineChars="200"/>
        <w:rPr>
          <w:rFonts w:eastAsia="仿宋_GB2312"/>
          <w:spacing w:val="-1"/>
          <w:sz w:val="32"/>
          <w:szCs w:val="32"/>
        </w:rPr>
      </w:pPr>
      <w:r>
        <w:rPr>
          <w:rFonts w:hint="eastAsia" w:eastAsia="仿宋_GB2312"/>
          <w:spacing w:val="-1"/>
          <w:sz w:val="32"/>
          <w:szCs w:val="32"/>
        </w:rPr>
        <w:t>3.3电气系统安全性研究</w:t>
      </w:r>
    </w:p>
    <w:p w14:paraId="33CE8535">
      <w:pPr>
        <w:spacing w:line="560" w:lineRule="exact"/>
        <w:ind w:firstLine="636" w:firstLineChars="200"/>
        <w:rPr>
          <w:rFonts w:eastAsia="仿宋_GB2312"/>
          <w:spacing w:val="-1"/>
          <w:sz w:val="32"/>
          <w:szCs w:val="32"/>
        </w:rPr>
      </w:pPr>
      <w:r>
        <w:rPr>
          <w:rFonts w:hint="eastAsia" w:eastAsia="仿宋_GB2312"/>
          <w:spacing w:val="-1"/>
          <w:sz w:val="32"/>
          <w:szCs w:val="32"/>
        </w:rPr>
        <w:t>应当提供电气安全性、机械和环境保护以及电磁兼容性的研究资料，说明适用的标准以及开展的研究。</w:t>
      </w:r>
    </w:p>
    <w:p w14:paraId="14D90611">
      <w:pPr>
        <w:tabs>
          <w:tab w:val="left" w:pos="502"/>
        </w:tabs>
        <w:spacing w:line="560" w:lineRule="exact"/>
        <w:ind w:firstLine="636" w:firstLineChars="200"/>
        <w:rPr>
          <w:rFonts w:eastAsia="仿宋_GB2312"/>
          <w:spacing w:val="-1"/>
          <w:sz w:val="32"/>
          <w:szCs w:val="32"/>
        </w:rPr>
      </w:pPr>
      <w:r>
        <w:rPr>
          <w:rFonts w:hint="eastAsia" w:eastAsia="仿宋_GB2312"/>
          <w:spacing w:val="-1"/>
          <w:sz w:val="32"/>
          <w:szCs w:val="32"/>
        </w:rPr>
        <w:t>3.4辐射安全研究</w:t>
      </w:r>
    </w:p>
    <w:p w14:paraId="33A026AE">
      <w:pPr>
        <w:spacing w:line="560" w:lineRule="exact"/>
        <w:ind w:firstLine="636" w:firstLineChars="200"/>
        <w:rPr>
          <w:rFonts w:eastAsia="仿宋_GB2312"/>
          <w:spacing w:val="-1"/>
          <w:sz w:val="32"/>
          <w:szCs w:val="32"/>
        </w:rPr>
      </w:pPr>
      <w:r>
        <w:rPr>
          <w:rFonts w:hint="eastAsia" w:eastAsia="仿宋_GB2312"/>
          <w:spacing w:val="-1"/>
          <w:sz w:val="32"/>
          <w:szCs w:val="32"/>
        </w:rPr>
        <w:t>应参考《医疗器械光辐射安全注册审查指导原则》相关规定提交光辐射安全研究资料。</w:t>
      </w:r>
    </w:p>
    <w:p w14:paraId="3F6A4BFC">
      <w:pPr>
        <w:spacing w:line="520" w:lineRule="exact"/>
        <w:ind w:firstLine="640" w:firstLineChars="200"/>
        <w:outlineLvl w:val="2"/>
        <w:rPr>
          <w:rFonts w:eastAsia="仿宋_GB2312"/>
          <w:sz w:val="32"/>
          <w:szCs w:val="32"/>
        </w:rPr>
      </w:pPr>
      <w:r>
        <w:rPr>
          <w:rFonts w:hint="eastAsia" w:eastAsia="仿宋_GB2312"/>
          <w:sz w:val="32"/>
          <w:szCs w:val="32"/>
        </w:rPr>
        <w:t>3.</w:t>
      </w:r>
      <w:r>
        <w:rPr>
          <w:rFonts w:hint="eastAsia" w:eastAsia="仿宋_GB2312"/>
          <w:sz w:val="32"/>
          <w:szCs w:val="32"/>
          <w:lang w:val="en-US" w:eastAsia="zh-CN"/>
        </w:rPr>
        <w:t>5</w:t>
      </w:r>
      <w:r>
        <w:rPr>
          <w:rFonts w:eastAsia="仿宋_GB2312"/>
          <w:sz w:val="32"/>
          <w:szCs w:val="32"/>
        </w:rPr>
        <w:t>生物</w:t>
      </w:r>
      <w:r>
        <w:rPr>
          <w:rFonts w:hint="eastAsia" w:eastAsia="仿宋_GB2312"/>
          <w:sz w:val="32"/>
          <w:szCs w:val="32"/>
        </w:rPr>
        <w:t>学特性</w:t>
      </w:r>
      <w:r>
        <w:rPr>
          <w:rFonts w:eastAsia="仿宋_GB2312"/>
          <w:sz w:val="32"/>
          <w:szCs w:val="32"/>
        </w:rPr>
        <w:t>研究</w:t>
      </w:r>
    </w:p>
    <w:p w14:paraId="6BF1C71B">
      <w:pPr>
        <w:spacing w:line="520" w:lineRule="exact"/>
        <w:ind w:left="2" w:firstLine="640" w:firstLineChars="200"/>
        <w:rPr>
          <w:rFonts w:eastAsia="仿宋_GB2312"/>
          <w:sz w:val="32"/>
          <w:szCs w:val="32"/>
        </w:rPr>
      </w:pPr>
      <w:r>
        <w:rPr>
          <w:rFonts w:eastAsia="仿宋_GB2312"/>
          <w:sz w:val="32"/>
          <w:szCs w:val="32"/>
        </w:rPr>
        <w:t>窥视片和手柄在临床使用时需组合后使用，会与口腔及咽喉黏膜组织接触，因此，应评价包括窥视片和手柄在内的整体产品的生物学风险。申请人应按GB/T 16886.1的要求进行评价并提交资料。其中应描述产品采用的材料、粘接剂（如适用），以及在使用过程中与口腔及咽喉黏膜组织接触的性质和时间，应确定的生物相容性评价项目及要求等内容，提交相应的生物学</w:t>
      </w:r>
      <w:r>
        <w:rPr>
          <w:rFonts w:hint="eastAsia" w:eastAsia="仿宋_GB2312"/>
          <w:sz w:val="32"/>
          <w:szCs w:val="32"/>
        </w:rPr>
        <w:t>评价</w:t>
      </w:r>
      <w:r>
        <w:rPr>
          <w:rFonts w:eastAsia="仿宋_GB2312"/>
          <w:sz w:val="32"/>
          <w:szCs w:val="32"/>
        </w:rPr>
        <w:t>资料的支持。由于本产品属于短期表面器械接触黏膜器械，一般应评价的项目至少包括细胞毒性、致敏和粘膜刺激等。</w:t>
      </w:r>
    </w:p>
    <w:p w14:paraId="3570385E">
      <w:pPr>
        <w:spacing w:line="520" w:lineRule="exact"/>
        <w:ind w:right="-67" w:rightChars="-32" w:firstLine="640" w:firstLineChars="200"/>
        <w:rPr>
          <w:rFonts w:eastAsia="仿宋_GB2312"/>
          <w:strike/>
          <w:sz w:val="32"/>
          <w:szCs w:val="32"/>
        </w:rPr>
      </w:pPr>
      <w:r>
        <w:rPr>
          <w:rFonts w:eastAsia="仿宋_GB2312"/>
          <w:sz w:val="32"/>
          <w:szCs w:val="28"/>
        </w:rPr>
        <w:t>加工</w:t>
      </w:r>
      <w:r>
        <w:rPr>
          <w:rFonts w:eastAsia="仿宋_GB2312"/>
          <w:spacing w:val="2"/>
          <w:sz w:val="32"/>
          <w:szCs w:val="32"/>
        </w:rPr>
        <w:t>助剂的研究</w:t>
      </w:r>
      <w:r>
        <w:rPr>
          <w:rFonts w:hint="eastAsia" w:eastAsia="仿宋_GB2312"/>
          <w:sz w:val="32"/>
          <w:szCs w:val="28"/>
        </w:rPr>
        <w:t>：</w:t>
      </w:r>
      <w:r>
        <w:rPr>
          <w:rFonts w:eastAsia="仿宋_GB2312"/>
          <w:spacing w:val="2"/>
          <w:sz w:val="32"/>
          <w:szCs w:val="32"/>
        </w:rPr>
        <w:t>明确生产过程中各种加工助剂的使用情况及对杂质（如残留单体、小分子残留物等）的控制情况，如粘结用环己酮的配方及限量，应对环己酮的配方和限量的安全性进行分析评价，并提供安全证明材料。</w:t>
      </w:r>
      <w:bookmarkStart w:id="0" w:name="_GoBack"/>
      <w:bookmarkEnd w:id="0"/>
    </w:p>
    <w:p w14:paraId="2D2F34CF">
      <w:pPr>
        <w:spacing w:line="520" w:lineRule="exact"/>
        <w:ind w:firstLine="640" w:firstLineChars="200"/>
        <w:outlineLvl w:val="2"/>
        <w:rPr>
          <w:rFonts w:eastAsia="仿宋_GB2312"/>
          <w:sz w:val="32"/>
          <w:szCs w:val="32"/>
        </w:rPr>
      </w:pPr>
      <w:r>
        <w:rPr>
          <w:rFonts w:eastAsia="仿宋_GB2312"/>
          <w:sz w:val="32"/>
          <w:szCs w:val="32"/>
        </w:rPr>
        <w:t>3.</w:t>
      </w:r>
      <w:r>
        <w:rPr>
          <w:rFonts w:hint="eastAsia" w:eastAsia="仿宋_GB2312"/>
          <w:sz w:val="32"/>
          <w:szCs w:val="32"/>
          <w:lang w:val="en-US" w:eastAsia="zh-CN"/>
        </w:rPr>
        <w:t>6</w:t>
      </w:r>
      <w:r>
        <w:rPr>
          <w:rFonts w:hint="eastAsia" w:eastAsia="仿宋_GB2312"/>
          <w:sz w:val="32"/>
          <w:szCs w:val="32"/>
        </w:rPr>
        <w:t>清洁、消毒、</w:t>
      </w:r>
      <w:r>
        <w:rPr>
          <w:rFonts w:eastAsia="仿宋_GB2312"/>
          <w:sz w:val="32"/>
          <w:szCs w:val="32"/>
        </w:rPr>
        <w:t>灭菌研究</w:t>
      </w:r>
    </w:p>
    <w:p w14:paraId="0709A7B1">
      <w:pPr>
        <w:spacing w:line="520" w:lineRule="exact"/>
        <w:ind w:left="2" w:firstLine="640" w:firstLineChars="200"/>
        <w:rPr>
          <w:rFonts w:eastAsia="仿宋_GB2312"/>
          <w:sz w:val="32"/>
          <w:szCs w:val="32"/>
        </w:rPr>
      </w:pPr>
      <w:r>
        <w:rPr>
          <w:rFonts w:hint="eastAsia" w:eastAsia="仿宋_GB2312"/>
          <w:sz w:val="32"/>
          <w:szCs w:val="32"/>
        </w:rPr>
        <w:t>3.</w:t>
      </w:r>
      <w:r>
        <w:rPr>
          <w:rFonts w:hint="eastAsia" w:eastAsia="仿宋_GB2312"/>
          <w:sz w:val="32"/>
          <w:szCs w:val="32"/>
          <w:lang w:val="en-US" w:eastAsia="zh-CN"/>
        </w:rPr>
        <w:t>6</w:t>
      </w:r>
      <w:r>
        <w:rPr>
          <w:rFonts w:hint="eastAsia" w:eastAsia="仿宋_GB2312"/>
          <w:sz w:val="32"/>
          <w:szCs w:val="32"/>
        </w:rPr>
        <w:t>.1</w:t>
      </w:r>
      <w:r>
        <w:rPr>
          <w:rFonts w:eastAsia="仿宋_GB2312"/>
          <w:sz w:val="32"/>
          <w:szCs w:val="32"/>
        </w:rPr>
        <w:t>以无菌形式供应的产品，应明确灭菌工艺（方法和参数）及其选择依据和无菌保证水平（SAL），并提供灭菌确认报告。麻醉咽喉镜的无菌保证水平（SAL）应达到1×10</w:t>
      </w:r>
      <w:r>
        <w:rPr>
          <w:rFonts w:eastAsia="仿宋_GB2312"/>
          <w:sz w:val="32"/>
          <w:szCs w:val="32"/>
          <w:vertAlign w:val="superscript"/>
        </w:rPr>
        <w:t>-6</w:t>
      </w:r>
      <w:r>
        <w:rPr>
          <w:rFonts w:eastAsia="仿宋_GB2312"/>
          <w:sz w:val="32"/>
          <w:szCs w:val="32"/>
        </w:rPr>
        <w:t>。提供灭菌确认报告，报告内容应符合GB18279《医疗保健产品灭菌 环氧乙烷》系列标准、GB18280《医疗保健产品灭菌 辐射》系列标准等的规定。灭菌确认应考虑产品与灭菌过程的适应性、包装和标签与灭菌过程的适应性等内容。</w:t>
      </w:r>
    </w:p>
    <w:p w14:paraId="1872F783">
      <w:pPr>
        <w:spacing w:line="520" w:lineRule="exact"/>
        <w:ind w:left="2" w:firstLine="640" w:firstLineChars="200"/>
        <w:rPr>
          <w:rFonts w:eastAsia="仿宋_GB2312"/>
          <w:sz w:val="32"/>
          <w:szCs w:val="32"/>
        </w:rPr>
      </w:pPr>
      <w:r>
        <w:rPr>
          <w:rFonts w:hint="eastAsia" w:eastAsia="仿宋_GB2312"/>
          <w:sz w:val="32"/>
          <w:szCs w:val="32"/>
        </w:rPr>
        <w:t>3.</w:t>
      </w:r>
      <w:r>
        <w:rPr>
          <w:rFonts w:hint="eastAsia" w:eastAsia="仿宋_GB2312"/>
          <w:sz w:val="32"/>
          <w:szCs w:val="32"/>
          <w:lang w:val="en-US" w:eastAsia="zh-CN"/>
        </w:rPr>
        <w:t>6</w:t>
      </w:r>
      <w:r>
        <w:rPr>
          <w:rFonts w:hint="eastAsia" w:eastAsia="仿宋_GB2312"/>
          <w:sz w:val="32"/>
          <w:szCs w:val="32"/>
        </w:rPr>
        <w:t>.2</w:t>
      </w:r>
      <w:r>
        <w:rPr>
          <w:rFonts w:eastAsia="仿宋_GB2312"/>
          <w:sz w:val="32"/>
          <w:szCs w:val="32"/>
        </w:rPr>
        <w:t>残留毒性：若灭菌使用的方法容易出现残留，如环氧乙烷灭菌，应当</w:t>
      </w:r>
      <w:r>
        <w:rPr>
          <w:rFonts w:eastAsia="仿宋_GB2312"/>
          <w:bCs/>
          <w:kern w:val="0"/>
          <w:sz w:val="32"/>
          <w:szCs w:val="32"/>
        </w:rPr>
        <w:t>参考</w:t>
      </w:r>
      <w:r>
        <w:rPr>
          <w:rFonts w:eastAsia="仿宋_GB2312"/>
          <w:sz w:val="32"/>
          <w:szCs w:val="32"/>
        </w:rPr>
        <w:t>GB/T 16886.7</w:t>
      </w:r>
      <w:r>
        <w:rPr>
          <w:rFonts w:eastAsia="仿宋_GB2312"/>
          <w:bCs/>
          <w:kern w:val="0"/>
          <w:sz w:val="32"/>
          <w:szCs w:val="32"/>
        </w:rPr>
        <w:t>《医疗器械生物学评价第</w:t>
      </w:r>
      <w:r>
        <w:rPr>
          <w:rFonts w:eastAsia="仿宋_GB2312"/>
          <w:sz w:val="32"/>
          <w:szCs w:val="32"/>
        </w:rPr>
        <w:t>7</w:t>
      </w:r>
      <w:r>
        <w:rPr>
          <w:rFonts w:eastAsia="仿宋_GB2312"/>
          <w:bCs/>
          <w:kern w:val="0"/>
          <w:sz w:val="32"/>
          <w:szCs w:val="32"/>
        </w:rPr>
        <w:t>部分：环氧乙烷灭菌残留量》等标准</w:t>
      </w:r>
      <w:r>
        <w:rPr>
          <w:rFonts w:eastAsia="仿宋_GB2312"/>
          <w:sz w:val="32"/>
          <w:szCs w:val="32"/>
        </w:rPr>
        <w:t>明确残留物信息</w:t>
      </w:r>
      <w:r>
        <w:rPr>
          <w:rFonts w:eastAsia="仿宋_GB2312"/>
          <w:kern w:val="0"/>
          <w:sz w:val="32"/>
          <w:szCs w:val="32"/>
        </w:rPr>
        <w:t>（如EO、ECH</w:t>
      </w:r>
      <w:r>
        <w:rPr>
          <w:rFonts w:hint="eastAsia" w:eastAsia="仿宋_GB2312"/>
          <w:kern w:val="0"/>
          <w:sz w:val="32"/>
          <w:szCs w:val="32"/>
        </w:rPr>
        <w:t>氯乙醇乙烷</w:t>
      </w:r>
      <w:r>
        <w:rPr>
          <w:rFonts w:eastAsia="仿宋_GB2312"/>
          <w:kern w:val="0"/>
          <w:sz w:val="32"/>
          <w:szCs w:val="32"/>
        </w:rPr>
        <w:t>）</w:t>
      </w:r>
      <w:r>
        <w:rPr>
          <w:rFonts w:eastAsia="仿宋_GB2312"/>
          <w:sz w:val="32"/>
          <w:szCs w:val="32"/>
        </w:rPr>
        <w:t>及采取的处理方法</w:t>
      </w:r>
      <w:r>
        <w:rPr>
          <w:rFonts w:hint="eastAsia" w:eastAsia="仿宋_GB2312"/>
          <w:sz w:val="32"/>
          <w:szCs w:val="32"/>
        </w:rPr>
        <w:t>和条件</w:t>
      </w:r>
      <w:r>
        <w:rPr>
          <w:rFonts w:eastAsia="仿宋_GB2312"/>
          <w:sz w:val="32"/>
          <w:szCs w:val="32"/>
        </w:rPr>
        <w:t>，并提供研究资料。</w:t>
      </w:r>
    </w:p>
    <w:p w14:paraId="254F3EB7">
      <w:pPr>
        <w:pStyle w:val="3"/>
      </w:pPr>
      <w:r>
        <w:rPr>
          <w:rFonts w:hint="eastAsia" w:eastAsia="仿宋_GB2312"/>
          <w:sz w:val="32"/>
          <w:szCs w:val="32"/>
        </w:rPr>
        <w:t>3.7.3</w:t>
      </w:r>
      <w:r>
        <w:rPr>
          <w:rFonts w:eastAsia="仿宋_GB2312"/>
          <w:sz w:val="32"/>
          <w:szCs w:val="32"/>
        </w:rPr>
        <w:t>对于重复使用的产品，应提供终端用户灭菌或消毒方面的研究资料，</w:t>
      </w:r>
      <w:r>
        <w:rPr>
          <w:rFonts w:hint="default" w:eastAsia="仿宋_GB2312"/>
          <w:bCs/>
          <w:kern w:val="0"/>
          <w:sz w:val="32"/>
          <w:szCs w:val="32"/>
        </w:rPr>
        <w:t>注册申请人</w:t>
      </w:r>
      <w:r>
        <w:rPr>
          <w:rFonts w:eastAsia="仿宋_GB2312"/>
          <w:bCs/>
          <w:kern w:val="0"/>
          <w:sz w:val="32"/>
          <w:szCs w:val="32"/>
        </w:rPr>
        <w:t>应</w:t>
      </w:r>
      <w:r>
        <w:rPr>
          <w:rFonts w:hint="default" w:eastAsia="仿宋_GB2312"/>
          <w:bCs/>
          <w:kern w:val="0"/>
          <w:sz w:val="32"/>
          <w:szCs w:val="32"/>
        </w:rPr>
        <w:t>明确</w:t>
      </w:r>
      <w:r>
        <w:rPr>
          <w:rFonts w:eastAsia="仿宋_GB2312"/>
          <w:bCs/>
          <w:kern w:val="0"/>
          <w:sz w:val="32"/>
          <w:szCs w:val="32"/>
        </w:rPr>
        <w:t>终端用户灭菌或</w:t>
      </w:r>
      <w:r>
        <w:rPr>
          <w:rFonts w:hint="default" w:eastAsia="仿宋_GB2312"/>
          <w:bCs/>
          <w:kern w:val="0"/>
          <w:sz w:val="32"/>
          <w:szCs w:val="32"/>
        </w:rPr>
        <w:t>高水平</w:t>
      </w:r>
      <w:r>
        <w:rPr>
          <w:rFonts w:eastAsia="仿宋_GB2312"/>
          <w:bCs/>
          <w:kern w:val="0"/>
          <w:sz w:val="32"/>
          <w:szCs w:val="32"/>
        </w:rPr>
        <w:t>消毒</w:t>
      </w:r>
      <w:r>
        <w:rPr>
          <w:rFonts w:hint="default" w:eastAsia="仿宋_GB2312"/>
          <w:bCs/>
          <w:kern w:val="0"/>
          <w:sz w:val="32"/>
          <w:szCs w:val="32"/>
        </w:rPr>
        <w:t>工艺及确定依据，提交灭菌耐受性研究资料。</w:t>
      </w:r>
    </w:p>
    <w:p w14:paraId="1F2D80CA">
      <w:pPr>
        <w:spacing w:line="520" w:lineRule="exact"/>
        <w:ind w:firstLine="640" w:firstLineChars="200"/>
        <w:rPr>
          <w:rFonts w:hint="eastAsia" w:ascii="仿宋_GB2312" w:hAnsi="仿宋_GB2312" w:eastAsia="仿宋_GB2312" w:cs="仿宋_GB2312"/>
          <w:sz w:val="32"/>
          <w:szCs w:val="28"/>
        </w:rPr>
      </w:pPr>
      <w:r>
        <w:rPr>
          <w:rFonts w:hint="eastAsia" w:eastAsia="仿宋_GB2312"/>
          <w:sz w:val="32"/>
          <w:szCs w:val="32"/>
        </w:rPr>
        <w:t>3.</w:t>
      </w:r>
      <w:r>
        <w:rPr>
          <w:rFonts w:hint="eastAsia" w:eastAsia="仿宋_GB2312"/>
          <w:sz w:val="32"/>
          <w:szCs w:val="32"/>
          <w:lang w:val="en-US" w:eastAsia="zh-CN"/>
        </w:rPr>
        <w:t>7</w:t>
      </w:r>
      <w:r>
        <w:rPr>
          <w:rFonts w:hint="eastAsia" w:ascii="仿宋_GB2312" w:hAnsi="仿宋_GB2312" w:eastAsia="仿宋_GB2312" w:cs="仿宋_GB2312"/>
          <w:sz w:val="32"/>
          <w:szCs w:val="28"/>
        </w:rPr>
        <w:t>可用性</w:t>
      </w:r>
    </w:p>
    <w:p w14:paraId="2FB27E2E">
      <w:pPr>
        <w:spacing w:line="520" w:lineRule="exact"/>
        <w:ind w:firstLine="664" w:firstLineChars="200"/>
        <w:outlineLvl w:val="2"/>
        <w:rPr>
          <w:rFonts w:hint="eastAsia" w:ascii="仿宋_GB2312" w:hAnsi="仿宋_GB2312" w:eastAsia="仿宋_GB2312" w:cs="仿宋_GB2312"/>
          <w:sz w:val="32"/>
          <w:szCs w:val="28"/>
        </w:rPr>
      </w:pPr>
      <w:r>
        <w:rPr>
          <w:rFonts w:hint="eastAsia" w:ascii="仿宋_GB2312" w:hAnsi="仿宋_GB2312" w:eastAsia="仿宋_GB2312" w:cs="仿宋_GB2312"/>
          <w:spacing w:val="6"/>
          <w:sz w:val="32"/>
          <w:szCs w:val="32"/>
        </w:rPr>
        <w:t>麻醉咽喉镜</w:t>
      </w:r>
      <w:r>
        <w:rPr>
          <w:rFonts w:hint="eastAsia" w:ascii="仿宋_GB2312" w:hAnsi="仿宋_GB2312" w:eastAsia="仿宋_GB2312" w:cs="仿宋_GB2312"/>
          <w:sz w:val="32"/>
          <w:szCs w:val="28"/>
        </w:rPr>
        <w:t>应参照《医疗器械可用性工程注册审查指导原则》，按照中、低使用风险医疗器械要求提交使用错误评估报告，包括基本信息、使用风险级别、核心要素、同类医疗器械上市后使用问题分析、使用风险管理、结论等内容。若前期已开展可用性工程工作，亦可提交可用性工程研究报告，用于替代使用错误评估报告。</w:t>
      </w:r>
    </w:p>
    <w:p w14:paraId="6D9F7869">
      <w:pPr>
        <w:spacing w:line="520" w:lineRule="exact"/>
        <w:ind w:firstLine="640" w:firstLineChars="200"/>
        <w:outlineLvl w:val="2"/>
        <w:rPr>
          <w:rFonts w:eastAsia="仿宋_GB2312"/>
          <w:sz w:val="32"/>
          <w:szCs w:val="32"/>
        </w:rPr>
      </w:pPr>
      <w:r>
        <w:rPr>
          <w:rFonts w:hint="eastAsia" w:eastAsia="仿宋_GB2312"/>
          <w:sz w:val="32"/>
          <w:szCs w:val="32"/>
        </w:rPr>
        <w:t>3.</w:t>
      </w:r>
      <w:r>
        <w:rPr>
          <w:rFonts w:hint="eastAsia" w:eastAsia="仿宋_GB2312"/>
          <w:sz w:val="32"/>
          <w:szCs w:val="32"/>
          <w:lang w:val="en-US" w:eastAsia="zh-CN"/>
        </w:rPr>
        <w:t>8</w:t>
      </w:r>
      <w:r>
        <w:rPr>
          <w:rFonts w:hint="eastAsia" w:eastAsia="仿宋_GB2312"/>
          <w:sz w:val="32"/>
          <w:szCs w:val="32"/>
        </w:rPr>
        <w:t>稳定性</w:t>
      </w:r>
      <w:r>
        <w:rPr>
          <w:rFonts w:eastAsia="仿宋_GB2312"/>
          <w:sz w:val="32"/>
          <w:szCs w:val="32"/>
        </w:rPr>
        <w:t>研究</w:t>
      </w:r>
    </w:p>
    <w:p w14:paraId="19DB3BD9">
      <w:pPr>
        <w:snapToGrid w:val="0"/>
        <w:spacing w:line="520" w:lineRule="exact"/>
        <w:ind w:firstLine="640" w:firstLineChars="200"/>
        <w:rPr>
          <w:rFonts w:eastAsia="仿宋_GB2312"/>
          <w:sz w:val="32"/>
          <w:szCs w:val="32"/>
        </w:rPr>
      </w:pPr>
      <w:r>
        <w:rPr>
          <w:rFonts w:hint="eastAsia" w:eastAsia="仿宋_GB2312"/>
          <w:sz w:val="32"/>
          <w:szCs w:val="32"/>
        </w:rPr>
        <w:t>3.</w:t>
      </w:r>
      <w:r>
        <w:rPr>
          <w:rFonts w:hint="eastAsia" w:eastAsia="仿宋_GB2312"/>
          <w:sz w:val="32"/>
          <w:szCs w:val="32"/>
          <w:lang w:val="en-US" w:eastAsia="zh-CN"/>
        </w:rPr>
        <w:t>8</w:t>
      </w:r>
      <w:r>
        <w:rPr>
          <w:rFonts w:hint="eastAsia" w:eastAsia="仿宋_GB2312"/>
          <w:sz w:val="32"/>
          <w:szCs w:val="32"/>
        </w:rPr>
        <w:t>.1货架有效期</w:t>
      </w:r>
    </w:p>
    <w:p w14:paraId="0A93B64C">
      <w:pPr>
        <w:snapToGrid w:val="0"/>
        <w:spacing w:line="520" w:lineRule="exact"/>
        <w:ind w:firstLine="640" w:firstLineChars="200"/>
        <w:rPr>
          <w:rFonts w:eastAsia="仿宋_GB2312"/>
          <w:sz w:val="32"/>
          <w:szCs w:val="32"/>
        </w:rPr>
      </w:pPr>
      <w:r>
        <w:rPr>
          <w:rFonts w:hint="eastAsia" w:eastAsia="仿宋_GB2312"/>
          <w:sz w:val="32"/>
          <w:szCs w:val="32"/>
          <w:lang w:val="en-US" w:eastAsia="zh-CN"/>
        </w:rPr>
        <w:t>一次性使用麻醉咽喉镜</w:t>
      </w:r>
      <w:r>
        <w:rPr>
          <w:rFonts w:eastAsia="仿宋_GB2312"/>
          <w:sz w:val="32"/>
          <w:szCs w:val="32"/>
        </w:rPr>
        <w:t>产品有效期的验证报告（包括产品物理、化学稳定性和包装密封稳定性的验证资料），不同包装的产品需分别提供，且应符合相应标准要求。有效期的确定可使用加速老化试验进行验证。如</w:t>
      </w:r>
      <w:r>
        <w:rPr>
          <w:rFonts w:hint="eastAsia" w:eastAsia="仿宋_GB2312"/>
          <w:sz w:val="32"/>
          <w:szCs w:val="32"/>
        </w:rPr>
        <w:t>采用</w:t>
      </w:r>
      <w:r>
        <w:rPr>
          <w:rFonts w:eastAsia="仿宋_GB2312"/>
          <w:sz w:val="32"/>
          <w:szCs w:val="32"/>
        </w:rPr>
        <w:t>加速老化</w:t>
      </w:r>
      <w:r>
        <w:rPr>
          <w:rFonts w:hint="eastAsia" w:eastAsia="仿宋_GB2312"/>
          <w:sz w:val="32"/>
          <w:szCs w:val="32"/>
        </w:rPr>
        <w:t>试验</w:t>
      </w:r>
      <w:r>
        <w:rPr>
          <w:rFonts w:eastAsia="仿宋_GB2312"/>
          <w:sz w:val="32"/>
          <w:szCs w:val="32"/>
        </w:rPr>
        <w:t>，</w:t>
      </w:r>
      <w:r>
        <w:rPr>
          <w:rFonts w:eastAsia="仿宋_GB2312"/>
          <w:bCs/>
          <w:kern w:val="0"/>
          <w:sz w:val="32"/>
          <w:szCs w:val="32"/>
        </w:rPr>
        <w:t>应评估产品是否适用于加速老化，若适用，可采用加速老化研究资料作为货架有效期的支持性资料。</w:t>
      </w:r>
      <w:r>
        <w:rPr>
          <w:rFonts w:eastAsia="仿宋_GB2312"/>
          <w:kern w:val="0"/>
          <w:sz w:val="32"/>
          <w:szCs w:val="32"/>
        </w:rPr>
        <w:t>在稳定性研究中应监测整个有效期内确保产品安全性和有效性的关键参数。</w:t>
      </w:r>
      <w:r>
        <w:rPr>
          <w:rFonts w:eastAsia="仿宋_GB2312"/>
          <w:sz w:val="32"/>
          <w:szCs w:val="32"/>
        </w:rPr>
        <w:t>加速老化研究试验的具体要求可参照YY/T0681系列标准。</w:t>
      </w:r>
    </w:p>
    <w:p w14:paraId="5FC53981">
      <w:pPr>
        <w:spacing w:line="520" w:lineRule="exact"/>
        <w:ind w:left="2" w:firstLine="640" w:firstLineChars="200"/>
        <w:rPr>
          <w:rFonts w:eastAsia="仿宋_GB2312"/>
          <w:bCs/>
          <w:sz w:val="32"/>
          <w:szCs w:val="32"/>
        </w:rPr>
      </w:pPr>
      <w:r>
        <w:rPr>
          <w:rFonts w:eastAsia="仿宋_GB2312"/>
          <w:sz w:val="32"/>
          <w:szCs w:val="32"/>
        </w:rPr>
        <w:t>产品有效期验证试验宜采用与常规生产相同的终产品进行。</w:t>
      </w:r>
      <w:r>
        <w:rPr>
          <w:rFonts w:eastAsia="仿宋_GB2312"/>
          <w:bCs/>
          <w:sz w:val="32"/>
          <w:szCs w:val="32"/>
        </w:rPr>
        <w:t>验证项目需评估产品随时间老化的相关性能，包括产品自身性能验证和包装系统性能验证两方面。前者需选择与医疗器械有效期密切相关的物理、化学、微生物测试项目，涉及产品生物相容性可能发生改变的，需进行生物学评价。后者包括包装完整性、包装强度和微生物屏障性能等验证项目。其中，包装完整性验证项目可包括在设定的时间间隔点目力检测产品包装（是否污染、破损等）及标签（完整性、粘附牢固度、印刷内容清晰度等）、采用染色液穿透法测定透气包装的密封泄漏试验和气泡法测定软性包装泄漏试验等；包装强度测试项目包括软性屏障材料密封强度试验、无约束包装抗内压破坏试验等。</w:t>
      </w:r>
    </w:p>
    <w:p w14:paraId="2C3BF709">
      <w:pPr>
        <w:spacing w:line="520" w:lineRule="exact"/>
        <w:ind w:left="2" w:firstLine="640" w:firstLineChars="200"/>
        <w:rPr>
          <w:rFonts w:eastAsia="仿宋_GB2312"/>
          <w:bCs/>
          <w:sz w:val="32"/>
          <w:szCs w:val="32"/>
        </w:rPr>
      </w:pPr>
      <w:r>
        <w:rPr>
          <w:rFonts w:hint="eastAsia" w:eastAsia="仿宋_GB2312"/>
          <w:bCs/>
          <w:sz w:val="32"/>
          <w:szCs w:val="32"/>
        </w:rPr>
        <w:t>3.</w:t>
      </w:r>
      <w:r>
        <w:rPr>
          <w:rFonts w:hint="eastAsia" w:eastAsia="仿宋_GB2312"/>
          <w:bCs/>
          <w:sz w:val="32"/>
          <w:szCs w:val="32"/>
          <w:lang w:val="en-US" w:eastAsia="zh-CN"/>
        </w:rPr>
        <w:t>8</w:t>
      </w:r>
      <w:r>
        <w:rPr>
          <w:rFonts w:hint="eastAsia" w:eastAsia="仿宋_GB2312"/>
          <w:bCs/>
          <w:sz w:val="32"/>
          <w:szCs w:val="32"/>
        </w:rPr>
        <w:t>.2使用稳定性</w:t>
      </w:r>
    </w:p>
    <w:p w14:paraId="1380E0B3">
      <w:pPr>
        <w:spacing w:line="520" w:lineRule="exact"/>
        <w:ind w:left="2" w:firstLine="640" w:firstLineChars="200"/>
        <w:rPr>
          <w:rFonts w:eastAsia="仿宋_GB2312"/>
          <w:spacing w:val="-6"/>
          <w:sz w:val="32"/>
          <w:szCs w:val="32"/>
        </w:rPr>
      </w:pPr>
      <w:r>
        <w:rPr>
          <w:rFonts w:eastAsia="仿宋_GB2312"/>
          <w:sz w:val="32"/>
          <w:szCs w:val="32"/>
        </w:rPr>
        <w:t>包</w:t>
      </w:r>
      <w:r>
        <w:rPr>
          <w:rFonts w:eastAsia="仿宋_GB2312"/>
          <w:spacing w:val="-6"/>
          <w:sz w:val="32"/>
          <w:szCs w:val="32"/>
        </w:rPr>
        <w:t>装研究资料中应包括包装材料、包装方法、验证过程和结论。</w:t>
      </w:r>
    </w:p>
    <w:p w14:paraId="5238F0FE">
      <w:pPr>
        <w:spacing w:line="520" w:lineRule="exact"/>
        <w:ind w:firstLine="640" w:firstLineChars="200"/>
        <w:rPr>
          <w:rFonts w:eastAsia="仿宋_GB2312"/>
          <w:bCs/>
          <w:sz w:val="32"/>
          <w:szCs w:val="32"/>
        </w:rPr>
      </w:pPr>
      <w:r>
        <w:rPr>
          <w:rFonts w:eastAsia="仿宋_GB2312"/>
          <w:sz w:val="32"/>
          <w:szCs w:val="32"/>
        </w:rPr>
        <w:t>申报产品如为有限次重复使用，应明确储存方式和最长储存时间，并提供按照该程序处理后仍能满足相关性能要求的验证资料。</w:t>
      </w:r>
    </w:p>
    <w:p w14:paraId="6D82226D">
      <w:pPr>
        <w:pStyle w:val="19"/>
        <w:spacing w:line="520" w:lineRule="exact"/>
        <w:ind w:firstLine="640"/>
      </w:pPr>
      <w:r>
        <w:rPr>
          <w:rFonts w:hint="eastAsia" w:eastAsia="仿宋_GB2312"/>
          <w:sz w:val="32"/>
          <w:szCs w:val="32"/>
        </w:rPr>
        <w:t>3.</w:t>
      </w:r>
      <w:r>
        <w:rPr>
          <w:rFonts w:hint="eastAsia" w:eastAsia="仿宋_GB2312"/>
          <w:sz w:val="32"/>
          <w:szCs w:val="32"/>
          <w:lang w:val="en-US" w:eastAsia="zh-CN"/>
        </w:rPr>
        <w:t>8</w:t>
      </w:r>
      <w:r>
        <w:rPr>
          <w:rFonts w:hint="eastAsia" w:eastAsia="仿宋_GB2312"/>
          <w:sz w:val="32"/>
          <w:szCs w:val="32"/>
        </w:rPr>
        <w:t>.3</w:t>
      </w:r>
      <w:r>
        <w:rPr>
          <w:rFonts w:ascii="Times New Roman" w:hAnsi="Times New Roman" w:eastAsia="仿宋_GB2312"/>
          <w:sz w:val="32"/>
          <w:szCs w:val="32"/>
        </w:rPr>
        <w:t>需提交运输稳定性验证资料，证明在规定的运输条件下，运输过程中环境条件（例如：震动、振动、温度和湿度的波动）不会对医疗器械的特性和性能，包括完整性和清洁度，造成不利影响。</w:t>
      </w:r>
    </w:p>
    <w:p w14:paraId="346FADDA">
      <w:pPr>
        <w:spacing w:line="520" w:lineRule="exact"/>
        <w:ind w:firstLine="640" w:firstLineChars="200"/>
        <w:rPr>
          <w:rFonts w:eastAsia="仿宋_GB2312"/>
          <w:sz w:val="32"/>
          <w:szCs w:val="32"/>
        </w:rPr>
      </w:pPr>
      <w:r>
        <w:rPr>
          <w:rFonts w:eastAsia="仿宋_GB2312"/>
          <w:sz w:val="32"/>
          <w:szCs w:val="32"/>
        </w:rPr>
        <w:t>包装研究：注册申请人应明确产品包装材料；提供在宣称的运输条件下，符合GB/T 14710《医用电器环境要求及试验方法》中运输试验要求的验证资料；并提供在宣称贮存条件下，保持包装完整性的依据。</w:t>
      </w:r>
    </w:p>
    <w:p w14:paraId="3B6D6095">
      <w:pPr>
        <w:spacing w:line="520" w:lineRule="exact"/>
        <w:ind w:firstLine="640" w:firstLineChars="200"/>
        <w:rPr>
          <w:rFonts w:eastAsia="仿宋_GB2312"/>
          <w:sz w:val="32"/>
          <w:szCs w:val="32"/>
        </w:rPr>
      </w:pPr>
      <w:r>
        <w:rPr>
          <w:rFonts w:hint="eastAsia" w:eastAsia="仿宋_GB2312"/>
          <w:sz w:val="32"/>
          <w:szCs w:val="32"/>
        </w:rPr>
        <w:t>3.</w:t>
      </w:r>
      <w:r>
        <w:rPr>
          <w:rFonts w:hint="eastAsia" w:eastAsia="仿宋_GB2312"/>
          <w:sz w:val="32"/>
          <w:szCs w:val="32"/>
          <w:lang w:val="en-US" w:eastAsia="zh-CN"/>
        </w:rPr>
        <w:t>9</w:t>
      </w:r>
      <w:r>
        <w:rPr>
          <w:rFonts w:hint="eastAsia" w:eastAsia="仿宋_GB2312"/>
          <w:sz w:val="32"/>
          <w:szCs w:val="32"/>
        </w:rPr>
        <w:t>其他资料</w:t>
      </w:r>
    </w:p>
    <w:p w14:paraId="6E1F0C8B">
      <w:pPr>
        <w:spacing w:line="520" w:lineRule="exact"/>
        <w:ind w:firstLine="640" w:firstLineChars="200"/>
        <w:rPr>
          <w:rFonts w:eastAsia="仿宋_GB2312"/>
          <w:kern w:val="0"/>
          <w:sz w:val="32"/>
          <w:szCs w:val="32"/>
        </w:rPr>
      </w:pPr>
      <w:r>
        <w:rPr>
          <w:rFonts w:eastAsia="仿宋_GB2312"/>
          <w:kern w:val="0"/>
          <w:sz w:val="32"/>
          <w:szCs w:val="32"/>
        </w:rPr>
        <w:t>对于列</w:t>
      </w:r>
      <w:r>
        <w:rPr>
          <w:rFonts w:eastAsia="仿宋_GB2312"/>
          <w:sz w:val="32"/>
          <w:szCs w:val="32"/>
        </w:rPr>
        <w:t>入《免于</w:t>
      </w:r>
      <w:r>
        <w:rPr>
          <w:rFonts w:hint="eastAsia" w:eastAsia="仿宋_GB2312"/>
          <w:sz w:val="32"/>
          <w:szCs w:val="32"/>
        </w:rPr>
        <w:t>进行</w:t>
      </w:r>
      <w:r>
        <w:rPr>
          <w:rFonts w:eastAsia="仿宋_GB2312"/>
          <w:sz w:val="32"/>
          <w:szCs w:val="32"/>
        </w:rPr>
        <w:t>临床评价医疗器械目录》的</w:t>
      </w:r>
      <w:r>
        <w:rPr>
          <w:rFonts w:hint="eastAsia" w:eastAsia="仿宋_GB2312"/>
          <w:sz w:val="32"/>
          <w:szCs w:val="32"/>
          <w:lang w:val="en-US" w:eastAsia="zh-CN"/>
        </w:rPr>
        <w:t>麻醉咽喉镜、</w:t>
      </w:r>
      <w:r>
        <w:rPr>
          <w:rFonts w:hint="eastAsia" w:eastAsia="仿宋_GB2312"/>
          <w:sz w:val="32"/>
          <w:szCs w:val="32"/>
        </w:rPr>
        <w:t>一次性使用麻醉咽喉镜、一次性使用麻醉窥视片</w:t>
      </w:r>
      <w:r>
        <w:rPr>
          <w:rFonts w:eastAsia="仿宋_GB2312"/>
          <w:sz w:val="32"/>
          <w:szCs w:val="32"/>
        </w:rPr>
        <w:t>产品</w:t>
      </w:r>
      <w:r>
        <w:rPr>
          <w:rFonts w:eastAsia="仿宋_GB2312"/>
          <w:kern w:val="0"/>
          <w:sz w:val="32"/>
          <w:szCs w:val="32"/>
        </w:rPr>
        <w:t>可免于进行临床评价。注册申请人应当按照《列入免于临床评价医疗器械目录产品对比说明技术指导原则》的要求，从基本原理、结构组成、性能、安全性、适用范围等方面，证明产品的安全有效性。</w:t>
      </w:r>
    </w:p>
    <w:p w14:paraId="38311739">
      <w:pPr>
        <w:spacing w:line="520" w:lineRule="exact"/>
        <w:ind w:firstLine="640" w:firstLineChars="200"/>
        <w:rPr>
          <w:rFonts w:eastAsia="仿宋_GB2312"/>
          <w:sz w:val="32"/>
          <w:szCs w:val="32"/>
        </w:rPr>
      </w:pPr>
      <w:r>
        <w:rPr>
          <w:rFonts w:hint="eastAsia" w:ascii="楷体_GB2312" w:hAnsi="华文仿宋" w:eastAsia="楷体_GB2312"/>
          <w:sz w:val="32"/>
          <w:szCs w:val="32"/>
        </w:rPr>
        <w:t>（四）临床评价资料</w:t>
      </w:r>
      <w:r>
        <w:rPr>
          <w:rFonts w:eastAsia="仿宋_GB2312"/>
          <w:sz w:val="32"/>
          <w:szCs w:val="32"/>
        </w:rPr>
        <w:t>与《</w:t>
      </w:r>
      <w:r>
        <w:rPr>
          <w:rFonts w:hint="eastAsia" w:eastAsia="仿宋_GB2312"/>
          <w:sz w:val="32"/>
          <w:szCs w:val="32"/>
        </w:rPr>
        <w:t>免于进行临床评价医疗器械目录</w:t>
      </w:r>
      <w:r>
        <w:rPr>
          <w:rFonts w:eastAsia="仿宋_GB2312"/>
          <w:sz w:val="32"/>
          <w:szCs w:val="32"/>
        </w:rPr>
        <w:t>》</w:t>
      </w:r>
      <w:r>
        <w:rPr>
          <w:rFonts w:hint="eastAsia" w:eastAsia="仿宋_GB2312"/>
          <w:sz w:val="32"/>
          <w:szCs w:val="32"/>
        </w:rPr>
        <w:t>，</w:t>
      </w:r>
      <w:r>
        <w:rPr>
          <w:rFonts w:eastAsia="仿宋_GB2312"/>
          <w:sz w:val="32"/>
          <w:szCs w:val="32"/>
        </w:rPr>
        <w:t>以下简称《目录》）中，序号为4</w:t>
      </w:r>
      <w:r>
        <w:rPr>
          <w:rFonts w:hint="eastAsia" w:eastAsia="仿宋_GB2312"/>
          <w:sz w:val="32"/>
          <w:szCs w:val="32"/>
        </w:rPr>
        <w:t>08</w:t>
      </w:r>
      <w:r>
        <w:rPr>
          <w:rFonts w:eastAsia="仿宋_GB2312"/>
          <w:sz w:val="32"/>
          <w:szCs w:val="32"/>
        </w:rPr>
        <w:t>“一次性使用麻醉咽喉镜”</w:t>
      </w:r>
      <w:r>
        <w:rPr>
          <w:rFonts w:hint="eastAsia" w:eastAsia="仿宋_GB2312"/>
          <w:sz w:val="32"/>
          <w:szCs w:val="32"/>
        </w:rPr>
        <w:t>和</w:t>
      </w:r>
      <w:r>
        <w:rPr>
          <w:rFonts w:eastAsia="仿宋_GB2312"/>
          <w:sz w:val="32"/>
          <w:szCs w:val="32"/>
        </w:rPr>
        <w:t>麻醉咽喉镜（序号</w:t>
      </w:r>
      <w:r>
        <w:rPr>
          <w:rFonts w:hint="eastAsia" w:eastAsia="仿宋_GB2312"/>
          <w:sz w:val="32"/>
          <w:szCs w:val="32"/>
        </w:rPr>
        <w:t>406</w:t>
      </w:r>
      <w:r>
        <w:rPr>
          <w:rFonts w:eastAsia="仿宋_GB2312"/>
          <w:sz w:val="32"/>
          <w:szCs w:val="32"/>
        </w:rPr>
        <w:t>）相同的产品，可免于进行临床试验。申请人应按照《列入免于临床评价医疗器械目录产品对比说明技术指导原则》的要求，从基本原理、结构组成、性能、安全性、适用范围等方面，证明产品的安全有效性</w:t>
      </w:r>
      <w:r>
        <w:rPr>
          <w:rFonts w:hint="eastAsia" w:eastAsia="仿宋_GB2312"/>
          <w:sz w:val="32"/>
          <w:szCs w:val="32"/>
        </w:rPr>
        <w:t>。</w:t>
      </w:r>
      <w:r>
        <w:rPr>
          <w:rFonts w:hint="eastAsia" w:ascii="仿宋_GB2312" w:hAnsi="华文仿宋" w:eastAsia="仿宋_GB2312"/>
          <w:sz w:val="32"/>
          <w:szCs w:val="32"/>
        </w:rPr>
        <w:t>若无法证明申报产品与《目录》产品具有等同性，则应按照《医疗器械临床评价技术审查指导原则》其他要求开展相应工作，提供符合要求的临床评价资料。</w:t>
      </w:r>
    </w:p>
    <w:p w14:paraId="4E54C0BF">
      <w:pPr>
        <w:spacing w:line="520" w:lineRule="exact"/>
        <w:ind w:firstLine="640" w:firstLineChars="200"/>
        <w:outlineLvl w:val="1"/>
        <w:rPr>
          <w:rFonts w:hint="eastAsia" w:ascii="楷体_GB2312" w:hAnsi="华文仿宋" w:eastAsia="楷体_GB2312"/>
          <w:sz w:val="32"/>
          <w:szCs w:val="32"/>
        </w:rPr>
      </w:pPr>
      <w:r>
        <w:rPr>
          <w:rFonts w:hint="eastAsia" w:ascii="楷体_GB2312" w:hAnsi="华文仿宋" w:eastAsia="楷体_GB2312"/>
          <w:sz w:val="32"/>
          <w:szCs w:val="32"/>
        </w:rPr>
        <w:t>（五）产品说明书和标签</w:t>
      </w:r>
    </w:p>
    <w:p w14:paraId="24732D77">
      <w:pPr>
        <w:spacing w:line="520" w:lineRule="exact"/>
        <w:ind w:left="2" w:firstLine="640" w:firstLineChars="200"/>
        <w:rPr>
          <w:rFonts w:hint="eastAsia" w:ascii="仿宋_GB2312" w:hAnsi="华文仿宋" w:eastAsia="仿宋_GB2312"/>
          <w:sz w:val="32"/>
          <w:szCs w:val="32"/>
        </w:rPr>
      </w:pPr>
      <w:r>
        <w:rPr>
          <w:rFonts w:hint="eastAsia" w:eastAsia="仿宋_GB2312"/>
          <w:sz w:val="32"/>
          <w:szCs w:val="32"/>
        </w:rPr>
        <w:t>1.麻醉咽喉镜</w:t>
      </w:r>
      <w:r>
        <w:rPr>
          <w:rFonts w:eastAsia="仿宋_GB2312"/>
          <w:sz w:val="32"/>
          <w:szCs w:val="32"/>
        </w:rPr>
        <w:t>产</w:t>
      </w:r>
      <w:r>
        <w:rPr>
          <w:rFonts w:eastAsia="仿宋_GB2312"/>
          <w:spacing w:val="4"/>
          <w:sz w:val="32"/>
          <w:szCs w:val="32"/>
        </w:rPr>
        <w:t>品说明书、标签的编写要求应符合《医疗器械说明书和标签管理规定》、YY 0</w:t>
      </w:r>
      <w:r>
        <w:rPr>
          <w:rFonts w:eastAsia="仿宋_GB2312"/>
          <w:spacing w:val="-8"/>
          <w:sz w:val="32"/>
          <w:szCs w:val="32"/>
        </w:rPr>
        <w:t>466.1、YY/T 0313、GB 9706.1、YY</w:t>
      </w:r>
      <w:r>
        <w:rPr>
          <w:rFonts w:hint="eastAsia" w:eastAsia="仿宋_GB2312"/>
          <w:spacing w:val="-8"/>
          <w:sz w:val="32"/>
          <w:szCs w:val="32"/>
        </w:rPr>
        <w:t>9706.102、YY 0499</w:t>
      </w:r>
      <w:r>
        <w:rPr>
          <w:rFonts w:hint="eastAsia" w:ascii="仿宋_GB2312" w:hAnsi="华文仿宋" w:eastAsia="仿宋_GB2312"/>
          <w:sz w:val="32"/>
          <w:szCs w:val="32"/>
        </w:rPr>
        <w:t>等相关标准的要求。同时应注意以下要求。</w:t>
      </w:r>
    </w:p>
    <w:p w14:paraId="71A3EC0B">
      <w:pPr>
        <w:spacing w:line="520" w:lineRule="exact"/>
        <w:ind w:left="2"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2.麻醉咽喉镜的产品说明书应包括以下内容：</w:t>
      </w:r>
    </w:p>
    <w:p w14:paraId="38A35C94">
      <w:pPr>
        <w:spacing w:line="520" w:lineRule="exact"/>
        <w:ind w:left="2" w:firstLine="640" w:firstLineChars="200"/>
        <w:rPr>
          <w:rFonts w:eastAsia="仿宋_GB2312"/>
          <w:sz w:val="32"/>
          <w:szCs w:val="32"/>
        </w:rPr>
      </w:pPr>
      <w:r>
        <w:rPr>
          <w:rFonts w:hint="eastAsia" w:eastAsia="仿宋_GB2312"/>
          <w:sz w:val="32"/>
          <w:szCs w:val="32"/>
        </w:rPr>
        <w:t>2.1</w:t>
      </w:r>
      <w:r>
        <w:rPr>
          <w:rFonts w:eastAsia="仿宋_GB2312"/>
          <w:sz w:val="32"/>
          <w:szCs w:val="32"/>
        </w:rPr>
        <w:t>适用范围</w:t>
      </w:r>
    </w:p>
    <w:p w14:paraId="6E2379E5">
      <w:pPr>
        <w:spacing w:line="520" w:lineRule="exact"/>
        <w:ind w:left="2" w:firstLine="640" w:firstLineChars="200"/>
        <w:rPr>
          <w:rFonts w:eastAsia="仿宋_GB2312"/>
          <w:sz w:val="32"/>
          <w:szCs w:val="32"/>
        </w:rPr>
      </w:pPr>
      <w:r>
        <w:rPr>
          <w:rFonts w:eastAsia="仿宋_GB2312"/>
          <w:sz w:val="32"/>
          <w:szCs w:val="32"/>
        </w:rPr>
        <w:t>应列出具体的适用范围，并说明麻醉咽喉镜的适用人群。</w:t>
      </w:r>
    </w:p>
    <w:p w14:paraId="6208481E">
      <w:pPr>
        <w:spacing w:line="520" w:lineRule="exact"/>
        <w:ind w:left="2" w:firstLine="640" w:firstLineChars="200"/>
        <w:rPr>
          <w:rFonts w:eastAsia="仿宋_GB2312"/>
          <w:sz w:val="32"/>
          <w:szCs w:val="32"/>
        </w:rPr>
      </w:pPr>
      <w:r>
        <w:rPr>
          <w:rFonts w:hint="eastAsia" w:eastAsia="仿宋_GB2312"/>
          <w:sz w:val="32"/>
          <w:szCs w:val="32"/>
        </w:rPr>
        <w:t>2.2</w:t>
      </w:r>
      <w:r>
        <w:rPr>
          <w:rFonts w:eastAsia="仿宋_GB2312"/>
          <w:sz w:val="32"/>
          <w:szCs w:val="32"/>
        </w:rPr>
        <w:t>产品的主要结构及性能指标</w:t>
      </w:r>
    </w:p>
    <w:p w14:paraId="36B1F98D">
      <w:pPr>
        <w:spacing w:line="520" w:lineRule="exact"/>
        <w:ind w:left="2" w:firstLine="640" w:firstLineChars="200"/>
        <w:rPr>
          <w:rFonts w:eastAsia="仿宋_GB2312"/>
          <w:sz w:val="32"/>
          <w:szCs w:val="32"/>
        </w:rPr>
      </w:pPr>
      <w:r>
        <w:rPr>
          <w:rFonts w:eastAsia="仿宋_GB2312"/>
          <w:sz w:val="32"/>
          <w:szCs w:val="32"/>
        </w:rPr>
        <w:t>性能指标</w:t>
      </w:r>
      <w:r>
        <w:rPr>
          <w:rFonts w:hint="eastAsia" w:eastAsia="仿宋_GB2312"/>
          <w:sz w:val="32"/>
          <w:szCs w:val="32"/>
        </w:rPr>
        <w:t>应</w:t>
      </w:r>
      <w:r>
        <w:rPr>
          <w:rFonts w:eastAsia="仿宋_GB2312"/>
          <w:sz w:val="32"/>
          <w:szCs w:val="32"/>
        </w:rPr>
        <w:t>与产品技术要求</w:t>
      </w:r>
      <w:r>
        <w:rPr>
          <w:rFonts w:hint="eastAsia" w:eastAsia="仿宋_GB2312"/>
          <w:sz w:val="32"/>
          <w:szCs w:val="32"/>
        </w:rPr>
        <w:t>保持</w:t>
      </w:r>
      <w:r>
        <w:rPr>
          <w:rFonts w:eastAsia="仿宋_GB2312"/>
          <w:sz w:val="32"/>
          <w:szCs w:val="32"/>
        </w:rPr>
        <w:t>一致。</w:t>
      </w:r>
    </w:p>
    <w:p w14:paraId="5100A667">
      <w:pPr>
        <w:spacing w:line="520" w:lineRule="exact"/>
        <w:ind w:left="2" w:firstLine="640" w:firstLineChars="200"/>
        <w:rPr>
          <w:rFonts w:eastAsia="仿宋_GB2312"/>
          <w:sz w:val="32"/>
          <w:szCs w:val="32"/>
        </w:rPr>
      </w:pPr>
      <w:r>
        <w:rPr>
          <w:rFonts w:hint="eastAsia" w:eastAsia="仿宋_GB2312"/>
          <w:sz w:val="32"/>
          <w:szCs w:val="32"/>
        </w:rPr>
        <w:t>2.3注意事项、警示以及提示性内容</w:t>
      </w:r>
    </w:p>
    <w:p w14:paraId="20FC8C2B">
      <w:pPr>
        <w:spacing w:line="520" w:lineRule="exact"/>
        <w:ind w:left="2" w:firstLine="640" w:firstLineChars="200"/>
        <w:rPr>
          <w:rFonts w:eastAsia="仿宋_GB2312"/>
          <w:sz w:val="32"/>
          <w:szCs w:val="32"/>
        </w:rPr>
      </w:pPr>
      <w:r>
        <w:rPr>
          <w:rFonts w:hint="eastAsia" w:eastAsia="仿宋_GB2312"/>
          <w:sz w:val="32"/>
          <w:szCs w:val="32"/>
        </w:rPr>
        <w:t>2.3.1某些可充电电池的输出功率可能在使用过程中迅速降低、导致照明迅速失效的警告;</w:t>
      </w:r>
    </w:p>
    <w:p w14:paraId="139A23CB">
      <w:pPr>
        <w:spacing w:line="520" w:lineRule="exact"/>
        <w:ind w:left="2" w:firstLine="640" w:firstLineChars="200"/>
        <w:rPr>
          <w:rFonts w:eastAsia="仿宋_GB2312"/>
          <w:sz w:val="32"/>
          <w:szCs w:val="32"/>
        </w:rPr>
      </w:pPr>
      <w:r>
        <w:rPr>
          <w:rFonts w:hint="eastAsia" w:eastAsia="仿宋_GB2312"/>
          <w:sz w:val="32"/>
          <w:szCs w:val="32"/>
        </w:rPr>
        <w:t>2.3.2电池的规格和使用说明;</w:t>
      </w:r>
    </w:p>
    <w:p w14:paraId="1B5BD1E1">
      <w:pPr>
        <w:spacing w:line="520" w:lineRule="exact"/>
        <w:ind w:left="2" w:firstLine="640" w:firstLineChars="200"/>
        <w:rPr>
          <w:rFonts w:eastAsia="仿宋_GB2312"/>
          <w:sz w:val="32"/>
          <w:szCs w:val="32"/>
        </w:rPr>
      </w:pPr>
      <w:r>
        <w:rPr>
          <w:rFonts w:hint="eastAsia" w:eastAsia="仿宋_GB2312"/>
          <w:sz w:val="32"/>
          <w:szCs w:val="32"/>
        </w:rPr>
        <w:t>2.3.3针对不同目标患者人群的尺寸编号</w:t>
      </w:r>
    </w:p>
    <w:p w14:paraId="2C8F61E2">
      <w:pPr>
        <w:spacing w:line="520" w:lineRule="exact"/>
        <w:ind w:left="2" w:firstLine="640" w:firstLineChars="200"/>
        <w:rPr>
          <w:rFonts w:eastAsia="仿宋_GB2312"/>
          <w:sz w:val="32"/>
          <w:szCs w:val="32"/>
        </w:rPr>
      </w:pPr>
      <w:r>
        <w:rPr>
          <w:rFonts w:hint="eastAsia" w:eastAsia="仿宋_GB2312"/>
          <w:sz w:val="32"/>
          <w:szCs w:val="32"/>
        </w:rPr>
        <w:t>2.3.4使用前通过点亮照明器来检查电池状态的说明;</w:t>
      </w:r>
    </w:p>
    <w:p w14:paraId="13AAD6F9">
      <w:pPr>
        <w:spacing w:line="520" w:lineRule="exact"/>
        <w:ind w:left="2" w:firstLine="640" w:firstLineChars="200"/>
        <w:rPr>
          <w:rFonts w:eastAsia="仿宋_GB2312"/>
          <w:sz w:val="32"/>
          <w:szCs w:val="32"/>
        </w:rPr>
      </w:pPr>
      <w:r>
        <w:rPr>
          <w:rFonts w:hint="eastAsia" w:eastAsia="仿宋_GB2312"/>
          <w:sz w:val="32"/>
          <w:szCs w:val="32"/>
        </w:rPr>
        <w:t>2.3.5“只有受过培训的人员或正在接受培训的人员才能使用喉镜进行插管”的警告;</w:t>
      </w:r>
    </w:p>
    <w:p w14:paraId="1C05C6F5">
      <w:pPr>
        <w:spacing w:line="520" w:lineRule="exact"/>
        <w:ind w:left="2" w:firstLine="640" w:firstLineChars="200"/>
        <w:rPr>
          <w:rFonts w:eastAsia="仿宋_GB2312"/>
          <w:sz w:val="32"/>
          <w:szCs w:val="32"/>
        </w:rPr>
      </w:pPr>
      <w:r>
        <w:rPr>
          <w:rFonts w:hint="eastAsia" w:eastAsia="仿宋_GB2312"/>
          <w:sz w:val="32"/>
          <w:szCs w:val="32"/>
        </w:rPr>
        <w:t>2.3.6有关手柄和喉镜窥视片兼容性/互配性的信息。</w:t>
      </w:r>
    </w:p>
    <w:p w14:paraId="24AE56D5">
      <w:pPr>
        <w:spacing w:line="520" w:lineRule="exact"/>
        <w:ind w:left="2" w:firstLine="640" w:firstLineChars="200"/>
        <w:rPr>
          <w:rFonts w:eastAsia="仿宋_GB2312"/>
          <w:sz w:val="32"/>
          <w:szCs w:val="32"/>
        </w:rPr>
      </w:pPr>
      <w:r>
        <w:rPr>
          <w:rFonts w:hint="eastAsia" w:eastAsia="仿宋_GB2312"/>
          <w:sz w:val="32"/>
          <w:szCs w:val="32"/>
        </w:rPr>
        <w:t>2.3.7</w:t>
      </w:r>
      <w:r>
        <w:rPr>
          <w:rFonts w:eastAsia="仿宋_GB2312"/>
          <w:sz w:val="32"/>
          <w:szCs w:val="32"/>
        </w:rPr>
        <w:t>组装完成后，如发现窥视片与手柄连接出现松动，不得使用。</w:t>
      </w:r>
    </w:p>
    <w:p w14:paraId="4F45FB33">
      <w:pPr>
        <w:spacing w:line="520" w:lineRule="exact"/>
        <w:ind w:left="2" w:firstLine="640" w:firstLineChars="200"/>
        <w:rPr>
          <w:rFonts w:eastAsia="仿宋_GB2312"/>
          <w:sz w:val="32"/>
          <w:szCs w:val="32"/>
        </w:rPr>
      </w:pPr>
      <w:r>
        <w:rPr>
          <w:rFonts w:hint="eastAsia" w:eastAsia="仿宋_GB2312"/>
          <w:sz w:val="32"/>
          <w:szCs w:val="32"/>
        </w:rPr>
        <w:t>2.3.8</w:t>
      </w:r>
      <w:r>
        <w:rPr>
          <w:rFonts w:eastAsia="仿宋_GB2312"/>
          <w:sz w:val="32"/>
          <w:szCs w:val="32"/>
        </w:rPr>
        <w:t>一次性使用产品</w:t>
      </w:r>
    </w:p>
    <w:p w14:paraId="4AC2BADA">
      <w:pPr>
        <w:spacing w:line="520" w:lineRule="exact"/>
        <w:ind w:left="2" w:firstLine="640" w:firstLineChars="200"/>
        <w:rPr>
          <w:rFonts w:eastAsia="仿宋_GB2312"/>
          <w:sz w:val="32"/>
          <w:szCs w:val="32"/>
        </w:rPr>
      </w:pPr>
      <w:r>
        <w:rPr>
          <w:rFonts w:eastAsia="仿宋_GB2312"/>
          <w:sz w:val="32"/>
          <w:szCs w:val="32"/>
        </w:rPr>
        <w:t>（1）</w:t>
      </w:r>
      <w:r>
        <w:rPr>
          <w:rFonts w:hint="eastAsia" w:eastAsia="仿宋_GB2312"/>
          <w:sz w:val="32"/>
          <w:szCs w:val="32"/>
        </w:rPr>
        <w:t>如适用,在工作位置应可见“一次性使用”或等效标识。</w:t>
      </w:r>
      <w:r>
        <w:rPr>
          <w:rFonts w:eastAsia="仿宋_GB2312"/>
          <w:sz w:val="32"/>
          <w:szCs w:val="32"/>
        </w:rPr>
        <w:t>灭菌方式也应注明</w:t>
      </w:r>
      <w:r>
        <w:rPr>
          <w:rFonts w:hint="eastAsia" w:eastAsia="仿宋_GB2312"/>
          <w:sz w:val="32"/>
          <w:szCs w:val="32"/>
        </w:rPr>
        <w:t>；</w:t>
      </w:r>
    </w:p>
    <w:p w14:paraId="2B87298B">
      <w:pPr>
        <w:spacing w:line="520" w:lineRule="exact"/>
        <w:ind w:left="2" w:firstLine="640" w:firstLineChars="200"/>
        <w:rPr>
          <w:rFonts w:eastAsia="仿宋_GB2312"/>
          <w:sz w:val="32"/>
          <w:szCs w:val="32"/>
        </w:rPr>
      </w:pPr>
      <w:r>
        <w:rPr>
          <w:rFonts w:eastAsia="仿宋_GB2312"/>
          <w:sz w:val="32"/>
          <w:szCs w:val="32"/>
        </w:rPr>
        <w:t>（2）产品使用后需要处理的，应当标明相应的处理办法</w:t>
      </w:r>
      <w:r>
        <w:rPr>
          <w:rFonts w:hint="eastAsia" w:eastAsia="仿宋_GB2312"/>
          <w:sz w:val="32"/>
          <w:szCs w:val="32"/>
        </w:rPr>
        <w:t>；</w:t>
      </w:r>
    </w:p>
    <w:p w14:paraId="7B5185FF">
      <w:pPr>
        <w:spacing w:line="520" w:lineRule="exact"/>
        <w:ind w:left="2" w:firstLine="640" w:firstLineChars="200"/>
        <w:rPr>
          <w:rFonts w:eastAsia="仿宋_GB2312"/>
          <w:sz w:val="32"/>
          <w:szCs w:val="32"/>
        </w:rPr>
      </w:pPr>
      <w:r>
        <w:rPr>
          <w:rFonts w:eastAsia="仿宋_GB2312"/>
          <w:sz w:val="32"/>
          <w:szCs w:val="32"/>
        </w:rPr>
        <w:t>（3）使用前检查包装是否完好。</w:t>
      </w:r>
    </w:p>
    <w:p w14:paraId="3F2076ED">
      <w:pPr>
        <w:pStyle w:val="3"/>
        <w:ind w:left="2" w:firstLine="640" w:firstLineChars="200"/>
        <w:rPr>
          <w:rFonts w:eastAsia="仿宋_GB2312"/>
          <w:sz w:val="32"/>
          <w:szCs w:val="32"/>
        </w:rPr>
      </w:pPr>
      <w:r>
        <w:rPr>
          <w:rFonts w:hint="eastAsia" w:eastAsia="仿宋_GB2312"/>
          <w:sz w:val="32"/>
          <w:szCs w:val="32"/>
        </w:rPr>
        <w:t>（4）</w:t>
      </w:r>
      <w:r>
        <w:rPr>
          <w:rFonts w:hint="default" w:eastAsia="仿宋_GB2312"/>
          <w:sz w:val="32"/>
          <w:szCs w:val="32"/>
        </w:rPr>
        <w:t>货架有效期</w:t>
      </w:r>
      <w:r>
        <w:rPr>
          <w:rFonts w:hint="eastAsia" w:eastAsia="仿宋_GB2312"/>
          <w:sz w:val="32"/>
          <w:szCs w:val="32"/>
        </w:rPr>
        <w:t>;</w:t>
      </w:r>
    </w:p>
    <w:p w14:paraId="50DC18DC">
      <w:pPr>
        <w:spacing w:line="520" w:lineRule="exact"/>
        <w:ind w:left="2" w:firstLine="640" w:firstLineChars="200"/>
        <w:rPr>
          <w:rFonts w:eastAsia="仿宋_GB2312"/>
          <w:sz w:val="32"/>
          <w:szCs w:val="32"/>
        </w:rPr>
      </w:pPr>
      <w:r>
        <w:rPr>
          <w:rFonts w:hint="eastAsia" w:eastAsia="仿宋_GB2312"/>
          <w:sz w:val="32"/>
          <w:szCs w:val="32"/>
        </w:rPr>
        <w:t>2.3.9重复使用产品</w:t>
      </w:r>
    </w:p>
    <w:p w14:paraId="26B28831">
      <w:pPr>
        <w:numPr>
          <w:ilvl w:val="0"/>
          <w:numId w:val="3"/>
        </w:numPr>
        <w:spacing w:line="520" w:lineRule="exact"/>
        <w:ind w:left="2" w:firstLine="640" w:firstLineChars="200"/>
        <w:rPr>
          <w:rFonts w:eastAsia="仿宋_GB2312"/>
          <w:sz w:val="32"/>
          <w:szCs w:val="32"/>
        </w:rPr>
      </w:pPr>
      <w:r>
        <w:rPr>
          <w:rFonts w:eastAsia="仿宋_GB2312"/>
          <w:color w:val="000000"/>
          <w:sz w:val="32"/>
          <w:szCs w:val="32"/>
        </w:rPr>
        <w:t>若是重复性使用的</w:t>
      </w:r>
      <w:r>
        <w:rPr>
          <w:rFonts w:eastAsia="仿宋_GB2312"/>
          <w:sz w:val="32"/>
          <w:szCs w:val="32"/>
        </w:rPr>
        <w:t>麻醉咽喉镜产</w:t>
      </w:r>
      <w:r>
        <w:rPr>
          <w:rFonts w:eastAsia="仿宋_GB2312"/>
          <w:spacing w:val="4"/>
          <w:sz w:val="32"/>
          <w:szCs w:val="32"/>
        </w:rPr>
        <w:t>品</w:t>
      </w:r>
      <w:r>
        <w:rPr>
          <w:rFonts w:eastAsia="仿宋_GB2312"/>
          <w:color w:val="000000"/>
          <w:sz w:val="32"/>
          <w:szCs w:val="32"/>
        </w:rPr>
        <w:t>要提供清洗、消毒或灭菌的推荐方式、重复使用的最大次数</w:t>
      </w:r>
      <w:r>
        <w:rPr>
          <w:rFonts w:hint="eastAsia" w:eastAsia="仿宋_GB2312"/>
          <w:color w:val="000000"/>
          <w:sz w:val="32"/>
          <w:szCs w:val="32"/>
        </w:rPr>
        <w:t>和/或最长时间（与制造商研究资料一致，并以制造商宣称为主）</w:t>
      </w:r>
      <w:r>
        <w:rPr>
          <w:rFonts w:hint="eastAsia" w:eastAsia="仿宋_GB2312"/>
          <w:sz w:val="32"/>
          <w:szCs w:val="32"/>
        </w:rPr>
        <w:t>；</w:t>
      </w:r>
    </w:p>
    <w:p w14:paraId="2A1F7DB1">
      <w:pPr>
        <w:numPr>
          <w:ilvl w:val="0"/>
          <w:numId w:val="3"/>
        </w:numPr>
        <w:spacing w:line="520" w:lineRule="exact"/>
        <w:ind w:left="2" w:firstLine="640" w:firstLineChars="200"/>
        <w:rPr>
          <w:rFonts w:eastAsia="仿宋_GB2312"/>
          <w:sz w:val="32"/>
          <w:szCs w:val="32"/>
        </w:rPr>
      </w:pPr>
      <w:r>
        <w:rPr>
          <w:rFonts w:hint="eastAsia" w:eastAsia="仿宋_GB2312"/>
          <w:sz w:val="32"/>
          <w:szCs w:val="32"/>
        </w:rPr>
        <w:t>如适用,在清洗、消毒或灭菌前应先取出电池的警告;</w:t>
      </w:r>
    </w:p>
    <w:p w14:paraId="1525CA7E">
      <w:pPr>
        <w:spacing w:line="520" w:lineRule="exact"/>
        <w:ind w:left="2" w:firstLine="640" w:firstLineChars="200"/>
        <w:rPr>
          <w:rFonts w:eastAsia="仿宋_GB2312"/>
          <w:sz w:val="32"/>
          <w:szCs w:val="32"/>
        </w:rPr>
      </w:pPr>
      <w:r>
        <w:rPr>
          <w:rFonts w:hint="eastAsia" w:eastAsia="仿宋_GB2312"/>
          <w:sz w:val="32"/>
          <w:szCs w:val="32"/>
        </w:rPr>
        <w:t>（3）喉镜的常规保养和使用前状态检查的说明,包括任何可更换部件的规格说明;</w:t>
      </w:r>
    </w:p>
    <w:p w14:paraId="65D5F96C">
      <w:pPr>
        <w:spacing w:line="520" w:lineRule="exact"/>
        <w:ind w:left="2" w:firstLine="640" w:firstLineChars="200"/>
        <w:rPr>
          <w:rFonts w:eastAsia="仿宋_GB2312"/>
          <w:sz w:val="32"/>
          <w:szCs w:val="32"/>
        </w:rPr>
      </w:pPr>
      <w:r>
        <w:rPr>
          <w:rFonts w:hint="eastAsia" w:eastAsia="仿宋_GB2312"/>
          <w:sz w:val="32"/>
          <w:szCs w:val="32"/>
        </w:rPr>
        <w:t>2.3.10</w:t>
      </w:r>
      <w:r>
        <w:rPr>
          <w:rFonts w:eastAsia="仿宋_GB2312"/>
          <w:color w:val="000000"/>
          <w:sz w:val="32"/>
          <w:szCs w:val="32"/>
        </w:rPr>
        <w:t xml:space="preserve"> </w:t>
      </w:r>
      <w:r>
        <w:rPr>
          <w:rFonts w:hint="eastAsia" w:eastAsia="仿宋_GB2312"/>
          <w:color w:val="000000"/>
          <w:sz w:val="32"/>
          <w:szCs w:val="32"/>
        </w:rPr>
        <w:t xml:space="preserve"> YY 0499</w:t>
      </w:r>
      <w:r>
        <w:rPr>
          <w:rFonts w:eastAsia="仿宋_GB2312"/>
          <w:color w:val="000000"/>
          <w:sz w:val="32"/>
          <w:szCs w:val="32"/>
        </w:rPr>
        <w:t>《</w:t>
      </w:r>
      <w:r>
        <w:rPr>
          <w:rFonts w:hint="eastAsia" w:eastAsia="仿宋_GB2312"/>
          <w:color w:val="000000"/>
          <w:sz w:val="32"/>
          <w:szCs w:val="32"/>
        </w:rPr>
        <w:t>麻醉和呼吸设备 气管插管用喉镜</w:t>
      </w:r>
      <w:r>
        <w:rPr>
          <w:rFonts w:eastAsia="仿宋_GB2312"/>
          <w:color w:val="000000"/>
          <w:sz w:val="32"/>
          <w:szCs w:val="32"/>
        </w:rPr>
        <w:t>》</w:t>
      </w:r>
      <w:r>
        <w:rPr>
          <w:rFonts w:hint="eastAsia" w:eastAsia="仿宋_GB2312"/>
          <w:color w:val="000000"/>
          <w:sz w:val="32"/>
          <w:szCs w:val="32"/>
        </w:rPr>
        <w:t>9</w:t>
      </w:r>
      <w:r>
        <w:rPr>
          <w:rFonts w:eastAsia="仿宋_GB2312"/>
          <w:color w:val="000000"/>
          <w:sz w:val="32"/>
          <w:szCs w:val="32"/>
        </w:rPr>
        <w:t>章节规定的其它内容。</w:t>
      </w:r>
    </w:p>
    <w:p w14:paraId="5CCE802C">
      <w:pPr>
        <w:spacing w:line="520" w:lineRule="exact"/>
        <w:ind w:left="2" w:firstLine="640" w:firstLineChars="200"/>
        <w:rPr>
          <w:rFonts w:eastAsia="仿宋_GB2312"/>
          <w:sz w:val="32"/>
          <w:szCs w:val="32"/>
        </w:rPr>
      </w:pPr>
    </w:p>
    <w:p w14:paraId="7917ECF3">
      <w:pPr>
        <w:overflowPunct w:val="0"/>
        <w:autoSpaceDE w:val="0"/>
        <w:autoSpaceDN w:val="0"/>
        <w:spacing w:line="520" w:lineRule="exact"/>
        <w:ind w:firstLine="567"/>
        <w:outlineLvl w:val="0"/>
        <w:rPr>
          <w:rFonts w:eastAsia="黑体" w:cs="仿宋_GB2312"/>
          <w:snapToGrid w:val="0"/>
          <w:kern w:val="0"/>
          <w:sz w:val="32"/>
          <w:szCs w:val="32"/>
        </w:rPr>
      </w:pPr>
      <w:r>
        <w:rPr>
          <w:rFonts w:hint="eastAsia" w:eastAsia="黑体" w:cs="仿宋_GB2312"/>
          <w:snapToGrid w:val="0"/>
          <w:kern w:val="0"/>
          <w:sz w:val="32"/>
          <w:szCs w:val="32"/>
        </w:rPr>
        <w:t>三</w:t>
      </w:r>
      <w:r>
        <w:rPr>
          <w:rFonts w:eastAsia="黑体" w:cs="仿宋_GB2312"/>
          <w:snapToGrid w:val="0"/>
          <w:kern w:val="0"/>
          <w:sz w:val="32"/>
          <w:szCs w:val="32"/>
        </w:rPr>
        <w:t>、参考文献</w:t>
      </w:r>
    </w:p>
    <w:p w14:paraId="25EA25BB">
      <w:pPr>
        <w:spacing w:line="520" w:lineRule="exact"/>
        <w:ind w:right="-67" w:rightChars="-32" w:firstLine="640" w:firstLineChars="200"/>
        <w:rPr>
          <w:rFonts w:eastAsia="仿宋_GB2312"/>
          <w:sz w:val="32"/>
          <w:szCs w:val="32"/>
        </w:rPr>
      </w:pPr>
      <w:r>
        <w:rPr>
          <w:rFonts w:eastAsia="仿宋_GB2312"/>
          <w:sz w:val="32"/>
          <w:szCs w:val="32"/>
        </w:rPr>
        <w:t>[1]</w:t>
      </w:r>
      <w:r>
        <w:rPr>
          <w:rFonts w:hint="eastAsia" w:eastAsia="仿宋_GB2312"/>
          <w:sz w:val="32"/>
          <w:szCs w:val="32"/>
        </w:rPr>
        <w:t>中华人民共和国国务院</w:t>
      </w:r>
      <w:r>
        <w:rPr>
          <w:rFonts w:eastAsia="仿宋_GB2312"/>
          <w:sz w:val="32"/>
          <w:szCs w:val="32"/>
        </w:rPr>
        <w:t>.</w:t>
      </w:r>
      <w:r>
        <w:rPr>
          <w:rFonts w:hint="eastAsia" w:eastAsia="仿宋_GB2312"/>
          <w:sz w:val="32"/>
          <w:szCs w:val="32"/>
        </w:rPr>
        <w:t>医疗器械监督管理条例</w:t>
      </w:r>
      <w:r>
        <w:rPr>
          <w:rFonts w:eastAsia="仿宋_GB2312"/>
          <w:sz w:val="32"/>
          <w:szCs w:val="32"/>
        </w:rPr>
        <w:t>:</w:t>
      </w:r>
      <w:r>
        <w:rPr>
          <w:rFonts w:hint="eastAsia" w:eastAsia="仿宋_GB2312"/>
          <w:sz w:val="32"/>
          <w:szCs w:val="32"/>
        </w:rPr>
        <w:t>中华人民共和国国务院令第</w:t>
      </w:r>
      <w:r>
        <w:rPr>
          <w:rFonts w:eastAsia="仿宋_GB2312"/>
          <w:sz w:val="32"/>
          <w:szCs w:val="32"/>
        </w:rPr>
        <w:t>739</w:t>
      </w:r>
      <w:r>
        <w:rPr>
          <w:rFonts w:hint="eastAsia" w:eastAsia="仿宋_GB2312"/>
          <w:sz w:val="32"/>
          <w:szCs w:val="32"/>
        </w:rPr>
        <w:t>号</w:t>
      </w:r>
      <w:r>
        <w:rPr>
          <w:rFonts w:eastAsia="仿宋_GB2312"/>
          <w:sz w:val="32"/>
          <w:szCs w:val="32"/>
        </w:rPr>
        <w:t>[Z].</w:t>
      </w:r>
    </w:p>
    <w:p w14:paraId="22B64FBA">
      <w:pPr>
        <w:spacing w:line="520" w:lineRule="exact"/>
        <w:ind w:right="-67" w:rightChars="-32" w:firstLine="640" w:firstLineChars="200"/>
        <w:rPr>
          <w:rFonts w:eastAsia="仿宋_GB2312"/>
          <w:sz w:val="32"/>
          <w:szCs w:val="32"/>
        </w:rPr>
      </w:pPr>
      <w:r>
        <w:rPr>
          <w:rFonts w:eastAsia="仿宋_GB2312"/>
          <w:sz w:val="32"/>
          <w:szCs w:val="32"/>
        </w:rPr>
        <w:t>[2]</w:t>
      </w:r>
      <w:r>
        <w:rPr>
          <w:rFonts w:hint="eastAsia" w:eastAsia="仿宋_GB2312"/>
          <w:sz w:val="32"/>
          <w:szCs w:val="32"/>
        </w:rPr>
        <w:t>国家市场监督管理总局</w:t>
      </w:r>
      <w:r>
        <w:rPr>
          <w:rFonts w:eastAsia="仿宋_GB2312"/>
          <w:sz w:val="32"/>
          <w:szCs w:val="32"/>
        </w:rPr>
        <w:t>.</w:t>
      </w:r>
      <w:r>
        <w:rPr>
          <w:rFonts w:hint="eastAsia" w:eastAsia="仿宋_GB2312"/>
          <w:sz w:val="32"/>
          <w:szCs w:val="32"/>
        </w:rPr>
        <w:t>医疗器械注册与备案管理办法</w:t>
      </w:r>
      <w:r>
        <w:rPr>
          <w:rFonts w:eastAsia="仿宋_GB2312"/>
          <w:sz w:val="32"/>
          <w:szCs w:val="32"/>
        </w:rPr>
        <w:t>:</w:t>
      </w:r>
      <w:r>
        <w:rPr>
          <w:rFonts w:hint="eastAsia" w:eastAsia="仿宋_GB2312"/>
          <w:sz w:val="32"/>
          <w:szCs w:val="32"/>
        </w:rPr>
        <w:t>国家市场监督管理总局令第</w:t>
      </w:r>
      <w:r>
        <w:rPr>
          <w:rFonts w:eastAsia="仿宋_GB2312"/>
          <w:sz w:val="32"/>
          <w:szCs w:val="32"/>
        </w:rPr>
        <w:t>47</w:t>
      </w:r>
      <w:r>
        <w:rPr>
          <w:rFonts w:hint="eastAsia" w:eastAsia="仿宋_GB2312"/>
          <w:sz w:val="32"/>
          <w:szCs w:val="32"/>
        </w:rPr>
        <w:t>号</w:t>
      </w:r>
      <w:r>
        <w:rPr>
          <w:rFonts w:eastAsia="仿宋_GB2312"/>
          <w:sz w:val="32"/>
          <w:szCs w:val="32"/>
        </w:rPr>
        <w:t>[Z].</w:t>
      </w:r>
    </w:p>
    <w:p w14:paraId="471D4F69">
      <w:pPr>
        <w:spacing w:line="520" w:lineRule="exact"/>
        <w:ind w:right="-67" w:rightChars="-32" w:firstLine="640" w:firstLineChars="200"/>
        <w:rPr>
          <w:rFonts w:eastAsia="仿宋_GB2312"/>
          <w:sz w:val="32"/>
          <w:szCs w:val="32"/>
        </w:rPr>
      </w:pPr>
      <w:r>
        <w:rPr>
          <w:rFonts w:eastAsia="仿宋_GB2312"/>
          <w:sz w:val="32"/>
          <w:szCs w:val="32"/>
        </w:rPr>
        <w:t>[3]</w:t>
      </w:r>
      <w:r>
        <w:rPr>
          <w:rFonts w:hint="eastAsia" w:eastAsia="仿宋_GB2312"/>
          <w:color w:val="000000"/>
          <w:sz w:val="32"/>
          <w:szCs w:val="32"/>
        </w:rPr>
        <w:t>国家食品药品监督管理局</w:t>
      </w:r>
      <w:r>
        <w:rPr>
          <w:rFonts w:eastAsia="仿宋_GB2312"/>
          <w:color w:val="000000"/>
          <w:sz w:val="32"/>
          <w:szCs w:val="32"/>
        </w:rPr>
        <w:t>.</w:t>
      </w:r>
      <w:r>
        <w:rPr>
          <w:rFonts w:hint="eastAsia" w:eastAsia="仿宋_GB2312"/>
          <w:sz w:val="32"/>
          <w:szCs w:val="32"/>
        </w:rPr>
        <w:t>医疗器械说明书和标签管理规定</w:t>
      </w:r>
      <w:r>
        <w:rPr>
          <w:rFonts w:eastAsia="仿宋_GB2312"/>
          <w:sz w:val="32"/>
          <w:szCs w:val="32"/>
        </w:rPr>
        <w:t>:</w:t>
      </w:r>
      <w:r>
        <w:rPr>
          <w:rFonts w:hint="eastAsia" w:eastAsia="仿宋_GB2312"/>
          <w:sz w:val="32"/>
          <w:szCs w:val="32"/>
        </w:rPr>
        <w:t>国家食品药品监督管理总局令第</w:t>
      </w:r>
      <w:r>
        <w:rPr>
          <w:rFonts w:eastAsia="仿宋_GB2312"/>
          <w:sz w:val="32"/>
          <w:szCs w:val="32"/>
        </w:rPr>
        <w:t>6</w:t>
      </w:r>
      <w:r>
        <w:rPr>
          <w:rFonts w:hint="eastAsia" w:eastAsia="仿宋_GB2312"/>
          <w:sz w:val="32"/>
          <w:szCs w:val="32"/>
        </w:rPr>
        <w:t>号</w:t>
      </w:r>
      <w:r>
        <w:rPr>
          <w:rFonts w:eastAsia="仿宋_GB2312"/>
          <w:sz w:val="32"/>
          <w:szCs w:val="32"/>
        </w:rPr>
        <w:t>[Z].</w:t>
      </w:r>
    </w:p>
    <w:p w14:paraId="4A7C5BDD">
      <w:pPr>
        <w:spacing w:line="520" w:lineRule="exact"/>
        <w:ind w:firstLine="640" w:firstLineChars="200"/>
        <w:rPr>
          <w:rFonts w:eastAsia="仿宋_GB2312"/>
          <w:sz w:val="32"/>
          <w:szCs w:val="32"/>
        </w:rPr>
      </w:pPr>
      <w:r>
        <w:rPr>
          <w:rFonts w:eastAsia="仿宋_GB2312"/>
          <w:sz w:val="32"/>
          <w:szCs w:val="32"/>
        </w:rPr>
        <w:t>[4]</w:t>
      </w:r>
      <w:r>
        <w:rPr>
          <w:rFonts w:hint="eastAsia" w:eastAsia="仿宋_GB2312"/>
          <w:sz w:val="32"/>
          <w:szCs w:val="32"/>
        </w:rPr>
        <w:t>国家食品药品监督管理局</w:t>
      </w:r>
      <w:r>
        <w:rPr>
          <w:rFonts w:eastAsia="仿宋_GB2312"/>
          <w:sz w:val="32"/>
          <w:szCs w:val="32"/>
        </w:rPr>
        <w:t>.</w:t>
      </w:r>
      <w:r>
        <w:rPr>
          <w:rFonts w:hint="eastAsia" w:eastAsia="仿宋_GB2312"/>
          <w:sz w:val="32"/>
          <w:szCs w:val="32"/>
        </w:rPr>
        <w:t>医疗器械分类规则</w:t>
      </w:r>
      <w:r>
        <w:rPr>
          <w:rFonts w:eastAsia="仿宋_GB2312"/>
          <w:sz w:val="32"/>
          <w:szCs w:val="32"/>
        </w:rPr>
        <w:t>:</w:t>
      </w:r>
      <w:r>
        <w:rPr>
          <w:rFonts w:hint="eastAsia" w:eastAsia="仿宋_GB2312"/>
          <w:sz w:val="32"/>
          <w:szCs w:val="32"/>
        </w:rPr>
        <w:t>国家食品药品监督管理总局令第</w:t>
      </w:r>
      <w:r>
        <w:rPr>
          <w:rFonts w:eastAsia="仿宋_GB2312"/>
          <w:sz w:val="32"/>
          <w:szCs w:val="32"/>
        </w:rPr>
        <w:t>15</w:t>
      </w:r>
      <w:r>
        <w:rPr>
          <w:rFonts w:hint="eastAsia" w:eastAsia="仿宋_GB2312"/>
          <w:sz w:val="32"/>
          <w:szCs w:val="32"/>
        </w:rPr>
        <w:t>号</w:t>
      </w:r>
      <w:r>
        <w:rPr>
          <w:rFonts w:eastAsia="仿宋_GB2312"/>
          <w:sz w:val="32"/>
          <w:szCs w:val="32"/>
        </w:rPr>
        <w:t>[Z].</w:t>
      </w:r>
    </w:p>
    <w:p w14:paraId="1FDD1CA2">
      <w:pPr>
        <w:spacing w:line="520" w:lineRule="exact"/>
        <w:ind w:right="-67" w:rightChars="-32" w:firstLine="640" w:firstLineChars="200"/>
        <w:rPr>
          <w:rFonts w:eastAsia="仿宋_GB2312"/>
          <w:sz w:val="32"/>
          <w:szCs w:val="32"/>
        </w:rPr>
      </w:pPr>
      <w:r>
        <w:rPr>
          <w:rFonts w:eastAsia="仿宋_GB2312"/>
          <w:sz w:val="32"/>
          <w:szCs w:val="32"/>
        </w:rPr>
        <w:t>[5]</w:t>
      </w:r>
      <w:r>
        <w:rPr>
          <w:rFonts w:hint="eastAsia" w:eastAsia="仿宋_GB2312"/>
          <w:sz w:val="32"/>
          <w:szCs w:val="28"/>
        </w:rPr>
        <w:t>国家食品药品监督管理局</w:t>
      </w:r>
      <w:r>
        <w:rPr>
          <w:rFonts w:eastAsia="仿宋_GB2312"/>
          <w:sz w:val="32"/>
          <w:szCs w:val="32"/>
        </w:rPr>
        <w:t>.</w:t>
      </w:r>
      <w:r>
        <w:rPr>
          <w:rFonts w:hint="eastAsia" w:eastAsia="仿宋_GB2312"/>
          <w:sz w:val="32"/>
          <w:szCs w:val="32"/>
        </w:rPr>
        <w:t>医疗器械通用名称命名规则</w:t>
      </w:r>
      <w:r>
        <w:rPr>
          <w:rFonts w:eastAsia="仿宋_GB2312"/>
          <w:sz w:val="32"/>
          <w:szCs w:val="32"/>
        </w:rPr>
        <w:t>:</w:t>
      </w:r>
      <w:r>
        <w:rPr>
          <w:rFonts w:hint="eastAsia" w:eastAsia="仿宋_GB2312"/>
          <w:sz w:val="32"/>
          <w:szCs w:val="28"/>
        </w:rPr>
        <w:t>国家食品药品监督管理总局令第</w:t>
      </w:r>
      <w:r>
        <w:rPr>
          <w:rFonts w:eastAsia="仿宋_GB2312"/>
          <w:sz w:val="32"/>
          <w:szCs w:val="28"/>
        </w:rPr>
        <w:t>19</w:t>
      </w:r>
      <w:r>
        <w:rPr>
          <w:rFonts w:hint="eastAsia" w:eastAsia="仿宋_GB2312"/>
          <w:sz w:val="32"/>
          <w:szCs w:val="28"/>
        </w:rPr>
        <w:t>号</w:t>
      </w:r>
      <w:r>
        <w:rPr>
          <w:rFonts w:eastAsia="仿宋_GB2312"/>
          <w:sz w:val="32"/>
          <w:szCs w:val="32"/>
        </w:rPr>
        <w:t>[Z].</w:t>
      </w:r>
    </w:p>
    <w:p w14:paraId="00A0232F">
      <w:pPr>
        <w:spacing w:line="520" w:lineRule="exact"/>
        <w:ind w:right="-67" w:rightChars="-32" w:firstLine="640" w:firstLineChars="200"/>
        <w:rPr>
          <w:rFonts w:eastAsia="仿宋_GB2312"/>
          <w:sz w:val="32"/>
          <w:szCs w:val="32"/>
        </w:rPr>
      </w:pPr>
      <w:r>
        <w:rPr>
          <w:rFonts w:eastAsia="仿宋_GB2312"/>
          <w:sz w:val="32"/>
          <w:szCs w:val="32"/>
        </w:rPr>
        <w:t>[</w:t>
      </w:r>
      <w:r>
        <w:rPr>
          <w:rFonts w:hint="eastAsia" w:eastAsia="仿宋_GB2312"/>
          <w:sz w:val="32"/>
          <w:szCs w:val="32"/>
        </w:rPr>
        <w:t>6</w:t>
      </w:r>
      <w:r>
        <w:rPr>
          <w:rFonts w:eastAsia="仿宋_GB2312"/>
          <w:sz w:val="32"/>
          <w:szCs w:val="32"/>
        </w:rPr>
        <w:t>]</w:t>
      </w:r>
      <w:r>
        <w:rPr>
          <w:rFonts w:hint="eastAsia" w:eastAsia="仿宋_GB2312"/>
          <w:sz w:val="32"/>
          <w:szCs w:val="32"/>
        </w:rPr>
        <w:t>国家药品监督管理局</w:t>
      </w:r>
      <w:r>
        <w:rPr>
          <w:rFonts w:eastAsia="仿宋_GB2312"/>
          <w:sz w:val="32"/>
          <w:szCs w:val="32"/>
        </w:rPr>
        <w:t>.</w:t>
      </w:r>
      <w:r>
        <w:rPr>
          <w:rFonts w:hint="eastAsia" w:eastAsia="仿宋_GB2312"/>
          <w:sz w:val="32"/>
          <w:szCs w:val="32"/>
        </w:rPr>
        <w:t>呼吸、麻醉和急救器械通用名称命名指导原则</w:t>
      </w:r>
      <w:r>
        <w:rPr>
          <w:rFonts w:eastAsia="仿宋_GB2312"/>
          <w:sz w:val="32"/>
          <w:szCs w:val="32"/>
        </w:rPr>
        <w:t>:</w:t>
      </w:r>
      <w:r>
        <w:rPr>
          <w:rFonts w:hint="eastAsia" w:eastAsia="仿宋_GB2312"/>
          <w:sz w:val="32"/>
          <w:szCs w:val="32"/>
        </w:rPr>
        <w:t>国家药监局通告2021年第48号</w:t>
      </w:r>
      <w:r>
        <w:rPr>
          <w:rFonts w:eastAsia="仿宋_GB2312"/>
          <w:sz w:val="32"/>
          <w:szCs w:val="32"/>
        </w:rPr>
        <w:t>[Z].</w:t>
      </w:r>
    </w:p>
    <w:p w14:paraId="1A727B9F">
      <w:pPr>
        <w:spacing w:line="520" w:lineRule="exact"/>
        <w:ind w:right="-67" w:rightChars="-32" w:firstLine="640" w:firstLineChars="200"/>
        <w:rPr>
          <w:rFonts w:eastAsia="仿宋_GB2312"/>
          <w:sz w:val="32"/>
          <w:szCs w:val="32"/>
        </w:rPr>
      </w:pPr>
      <w:r>
        <w:rPr>
          <w:rFonts w:eastAsia="仿宋_GB2312"/>
          <w:sz w:val="32"/>
          <w:szCs w:val="32"/>
        </w:rPr>
        <w:t>[</w:t>
      </w:r>
      <w:r>
        <w:rPr>
          <w:rFonts w:hint="eastAsia" w:eastAsia="仿宋_GB2312"/>
          <w:sz w:val="32"/>
          <w:szCs w:val="32"/>
        </w:rPr>
        <w:t>7</w:t>
      </w:r>
      <w:r>
        <w:rPr>
          <w:rFonts w:eastAsia="仿宋_GB2312"/>
          <w:sz w:val="32"/>
          <w:szCs w:val="32"/>
        </w:rPr>
        <w:t>]</w:t>
      </w:r>
      <w:r>
        <w:rPr>
          <w:rFonts w:hint="eastAsia" w:eastAsia="仿宋_GB2312"/>
          <w:sz w:val="32"/>
          <w:szCs w:val="32"/>
        </w:rPr>
        <w:t>国家食品药品监督管理局</w:t>
      </w:r>
      <w:r>
        <w:rPr>
          <w:rFonts w:eastAsia="仿宋_GB2312"/>
          <w:sz w:val="32"/>
          <w:szCs w:val="32"/>
        </w:rPr>
        <w:t>.</w:t>
      </w:r>
      <w:r>
        <w:rPr>
          <w:rFonts w:hint="eastAsia" w:eastAsia="仿宋_GB2312"/>
          <w:sz w:val="32"/>
          <w:szCs w:val="32"/>
        </w:rPr>
        <w:t>医疗器械分类目录</w:t>
      </w:r>
      <w:r>
        <w:rPr>
          <w:rFonts w:eastAsia="仿宋_GB2312"/>
          <w:sz w:val="32"/>
          <w:szCs w:val="32"/>
        </w:rPr>
        <w:t>:</w:t>
      </w:r>
      <w:r>
        <w:rPr>
          <w:rFonts w:hint="eastAsia" w:eastAsia="仿宋_GB2312"/>
          <w:sz w:val="32"/>
          <w:szCs w:val="32"/>
        </w:rPr>
        <w:t>国家食品药品监督管理总局公告</w:t>
      </w:r>
      <w:r>
        <w:rPr>
          <w:rFonts w:eastAsia="仿宋_GB2312"/>
          <w:sz w:val="32"/>
          <w:szCs w:val="32"/>
        </w:rPr>
        <w:t>2017</w:t>
      </w:r>
      <w:r>
        <w:rPr>
          <w:rFonts w:hint="eastAsia" w:eastAsia="仿宋_GB2312"/>
          <w:sz w:val="32"/>
          <w:szCs w:val="32"/>
        </w:rPr>
        <w:t>年第</w:t>
      </w:r>
      <w:r>
        <w:rPr>
          <w:rFonts w:eastAsia="仿宋_GB2312"/>
          <w:sz w:val="32"/>
          <w:szCs w:val="32"/>
        </w:rPr>
        <w:t>104</w:t>
      </w:r>
      <w:r>
        <w:rPr>
          <w:rFonts w:hint="eastAsia" w:eastAsia="仿宋_GB2312"/>
          <w:sz w:val="32"/>
          <w:szCs w:val="32"/>
        </w:rPr>
        <w:t>号</w:t>
      </w:r>
      <w:r>
        <w:rPr>
          <w:rFonts w:eastAsia="仿宋_GB2312"/>
          <w:sz w:val="32"/>
          <w:szCs w:val="32"/>
        </w:rPr>
        <w:t>[Z].</w:t>
      </w:r>
    </w:p>
    <w:p w14:paraId="34FD496C">
      <w:pPr>
        <w:spacing w:line="520" w:lineRule="exact"/>
        <w:ind w:right="-67" w:rightChars="-32" w:firstLine="640" w:firstLineChars="200"/>
        <w:rPr>
          <w:rFonts w:eastAsia="仿宋_GB2312"/>
          <w:sz w:val="32"/>
          <w:szCs w:val="32"/>
        </w:rPr>
      </w:pPr>
      <w:r>
        <w:rPr>
          <w:rFonts w:eastAsia="仿宋_GB2312"/>
          <w:sz w:val="32"/>
          <w:szCs w:val="32"/>
        </w:rPr>
        <w:t>[</w:t>
      </w:r>
      <w:r>
        <w:rPr>
          <w:rFonts w:hint="eastAsia" w:eastAsia="仿宋_GB2312"/>
          <w:sz w:val="32"/>
          <w:szCs w:val="32"/>
        </w:rPr>
        <w:t>8</w:t>
      </w:r>
      <w:r>
        <w:rPr>
          <w:rFonts w:eastAsia="仿宋_GB2312"/>
          <w:sz w:val="32"/>
          <w:szCs w:val="32"/>
        </w:rPr>
        <w:t>]</w:t>
      </w:r>
      <w:r>
        <w:rPr>
          <w:rFonts w:hint="eastAsia" w:eastAsia="仿宋_GB2312"/>
          <w:sz w:val="32"/>
          <w:szCs w:val="32"/>
        </w:rPr>
        <w:t>国家药品监督管理局</w:t>
      </w:r>
      <w:r>
        <w:rPr>
          <w:rFonts w:eastAsia="仿宋_GB2312"/>
          <w:sz w:val="32"/>
          <w:szCs w:val="32"/>
        </w:rPr>
        <w:t>.</w:t>
      </w:r>
      <w:r>
        <w:rPr>
          <w:rFonts w:hint="eastAsia" w:eastAsia="仿宋_GB2312"/>
          <w:sz w:val="32"/>
          <w:szCs w:val="32"/>
        </w:rPr>
        <w:t>医疗器械注册申报资料要求及说明</w:t>
      </w:r>
      <w:r>
        <w:rPr>
          <w:rFonts w:eastAsia="仿宋_GB2312"/>
          <w:sz w:val="32"/>
          <w:szCs w:val="32"/>
        </w:rPr>
        <w:t>:</w:t>
      </w:r>
      <w:r>
        <w:rPr>
          <w:rFonts w:hint="eastAsia" w:eastAsia="仿宋_GB2312"/>
          <w:sz w:val="32"/>
          <w:szCs w:val="32"/>
        </w:rPr>
        <w:t>国家药监局公告</w:t>
      </w:r>
      <w:r>
        <w:rPr>
          <w:rFonts w:eastAsia="仿宋_GB2312"/>
          <w:sz w:val="32"/>
          <w:szCs w:val="32"/>
        </w:rPr>
        <w:t>2021</w:t>
      </w:r>
      <w:r>
        <w:rPr>
          <w:rFonts w:hint="eastAsia" w:eastAsia="仿宋_GB2312"/>
          <w:sz w:val="32"/>
          <w:szCs w:val="32"/>
        </w:rPr>
        <w:t>年第</w:t>
      </w:r>
      <w:r>
        <w:rPr>
          <w:rFonts w:eastAsia="仿宋_GB2312"/>
          <w:sz w:val="32"/>
          <w:szCs w:val="32"/>
        </w:rPr>
        <w:t>121</w:t>
      </w:r>
      <w:r>
        <w:rPr>
          <w:rFonts w:hint="eastAsia" w:eastAsia="仿宋_GB2312"/>
          <w:sz w:val="32"/>
          <w:szCs w:val="32"/>
        </w:rPr>
        <w:t>号</w:t>
      </w:r>
      <w:r>
        <w:rPr>
          <w:rFonts w:eastAsia="仿宋_GB2312"/>
          <w:sz w:val="32"/>
          <w:szCs w:val="32"/>
        </w:rPr>
        <w:t>[Z].</w:t>
      </w:r>
    </w:p>
    <w:p w14:paraId="73F67E39">
      <w:pPr>
        <w:spacing w:line="520" w:lineRule="exact"/>
        <w:ind w:right="-67" w:rightChars="-32" w:firstLine="640" w:firstLineChars="200"/>
        <w:rPr>
          <w:rFonts w:eastAsia="仿宋_GB2312"/>
          <w:sz w:val="32"/>
          <w:szCs w:val="32"/>
        </w:rPr>
      </w:pPr>
      <w:r>
        <w:rPr>
          <w:rFonts w:eastAsia="仿宋_GB2312"/>
          <w:sz w:val="32"/>
          <w:szCs w:val="32"/>
        </w:rPr>
        <w:t>[</w:t>
      </w:r>
      <w:r>
        <w:rPr>
          <w:rFonts w:hint="eastAsia" w:eastAsia="仿宋_GB2312"/>
          <w:sz w:val="32"/>
          <w:szCs w:val="32"/>
        </w:rPr>
        <w:t>9</w:t>
      </w:r>
      <w:r>
        <w:rPr>
          <w:rFonts w:eastAsia="仿宋_GB2312"/>
          <w:sz w:val="32"/>
          <w:szCs w:val="32"/>
        </w:rPr>
        <w:t>]</w:t>
      </w:r>
      <w:r>
        <w:rPr>
          <w:rFonts w:hint="eastAsia" w:eastAsia="仿宋_GB2312"/>
          <w:sz w:val="32"/>
          <w:szCs w:val="32"/>
        </w:rPr>
        <w:t>国家食品药品监督管理局</w:t>
      </w:r>
      <w:r>
        <w:rPr>
          <w:rFonts w:eastAsia="仿宋_GB2312"/>
          <w:sz w:val="32"/>
          <w:szCs w:val="32"/>
        </w:rPr>
        <w:t>.</w:t>
      </w:r>
      <w:r>
        <w:rPr>
          <w:rFonts w:hint="eastAsia" w:eastAsia="仿宋_GB2312"/>
          <w:sz w:val="32"/>
          <w:szCs w:val="32"/>
        </w:rPr>
        <w:t>医疗器械注册单元划分指导原则</w:t>
      </w:r>
      <w:r>
        <w:rPr>
          <w:rFonts w:eastAsia="仿宋_GB2312"/>
          <w:sz w:val="32"/>
          <w:szCs w:val="32"/>
        </w:rPr>
        <w:t>:</w:t>
      </w:r>
      <w:r>
        <w:rPr>
          <w:rFonts w:hint="eastAsia" w:eastAsia="仿宋_GB2312"/>
          <w:sz w:val="32"/>
          <w:szCs w:val="32"/>
        </w:rPr>
        <w:t>总局通告</w:t>
      </w:r>
      <w:r>
        <w:rPr>
          <w:rFonts w:eastAsia="仿宋_GB2312"/>
          <w:sz w:val="32"/>
          <w:szCs w:val="32"/>
        </w:rPr>
        <w:t>2017</w:t>
      </w:r>
      <w:r>
        <w:rPr>
          <w:rFonts w:hint="eastAsia" w:eastAsia="仿宋_GB2312"/>
          <w:sz w:val="32"/>
          <w:szCs w:val="32"/>
        </w:rPr>
        <w:t>年第</w:t>
      </w:r>
      <w:r>
        <w:rPr>
          <w:rFonts w:eastAsia="仿宋_GB2312"/>
          <w:sz w:val="32"/>
          <w:szCs w:val="32"/>
        </w:rPr>
        <w:t>187</w:t>
      </w:r>
      <w:r>
        <w:rPr>
          <w:rFonts w:hint="eastAsia" w:eastAsia="仿宋_GB2312"/>
          <w:sz w:val="32"/>
          <w:szCs w:val="32"/>
        </w:rPr>
        <w:t>号</w:t>
      </w:r>
      <w:r>
        <w:rPr>
          <w:rFonts w:eastAsia="仿宋_GB2312"/>
          <w:sz w:val="32"/>
          <w:szCs w:val="32"/>
        </w:rPr>
        <w:t>[Z].</w:t>
      </w:r>
    </w:p>
    <w:p w14:paraId="52554BED">
      <w:pPr>
        <w:spacing w:line="52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10</w:t>
      </w:r>
      <w:r>
        <w:rPr>
          <w:rFonts w:eastAsia="仿宋_GB2312"/>
          <w:sz w:val="32"/>
          <w:szCs w:val="32"/>
        </w:rPr>
        <w:t>]</w:t>
      </w:r>
      <w:r>
        <w:rPr>
          <w:rFonts w:hint="eastAsia" w:eastAsia="仿宋_GB2312"/>
          <w:sz w:val="32"/>
          <w:szCs w:val="32"/>
        </w:rPr>
        <w:t>国家药品监督管理局</w:t>
      </w:r>
      <w:r>
        <w:rPr>
          <w:rFonts w:eastAsia="仿宋_GB2312"/>
          <w:sz w:val="32"/>
          <w:szCs w:val="32"/>
        </w:rPr>
        <w:t>.</w:t>
      </w:r>
      <w:r>
        <w:rPr>
          <w:rFonts w:hint="eastAsia" w:eastAsia="仿宋_GB2312"/>
          <w:sz w:val="32"/>
          <w:szCs w:val="32"/>
        </w:rPr>
        <w:t>有源医疗器械使用期限注册技术审查指导原则</w:t>
      </w:r>
      <w:r>
        <w:rPr>
          <w:rFonts w:eastAsia="仿宋_GB2312"/>
          <w:sz w:val="32"/>
          <w:szCs w:val="32"/>
        </w:rPr>
        <w:t>:</w:t>
      </w:r>
      <w:r>
        <w:rPr>
          <w:rFonts w:hint="eastAsia" w:eastAsia="仿宋_GB2312"/>
          <w:sz w:val="32"/>
          <w:szCs w:val="32"/>
        </w:rPr>
        <w:t>国家药品监督管理局通告</w:t>
      </w:r>
      <w:r>
        <w:rPr>
          <w:rFonts w:eastAsia="仿宋_GB2312"/>
          <w:sz w:val="32"/>
          <w:szCs w:val="32"/>
        </w:rPr>
        <w:t>2019</w:t>
      </w:r>
      <w:r>
        <w:rPr>
          <w:rFonts w:hint="eastAsia" w:eastAsia="仿宋_GB2312"/>
          <w:sz w:val="32"/>
          <w:szCs w:val="32"/>
        </w:rPr>
        <w:t>年第</w:t>
      </w:r>
      <w:r>
        <w:rPr>
          <w:rFonts w:eastAsia="仿宋_GB2312"/>
          <w:sz w:val="32"/>
          <w:szCs w:val="32"/>
        </w:rPr>
        <w:t>23</w:t>
      </w:r>
      <w:r>
        <w:rPr>
          <w:rFonts w:hint="eastAsia" w:eastAsia="仿宋_GB2312"/>
          <w:sz w:val="32"/>
          <w:szCs w:val="32"/>
        </w:rPr>
        <w:t>号</w:t>
      </w:r>
      <w:r>
        <w:rPr>
          <w:rFonts w:eastAsia="仿宋_GB2312"/>
          <w:sz w:val="32"/>
          <w:szCs w:val="32"/>
        </w:rPr>
        <w:t>[Z].</w:t>
      </w:r>
    </w:p>
    <w:p w14:paraId="2D4EA508">
      <w:pPr>
        <w:spacing w:line="52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11</w:t>
      </w:r>
      <w:r>
        <w:rPr>
          <w:rFonts w:eastAsia="仿宋_GB2312"/>
          <w:sz w:val="32"/>
          <w:szCs w:val="32"/>
        </w:rPr>
        <w:t>]</w:t>
      </w:r>
      <w:r>
        <w:rPr>
          <w:rFonts w:hint="eastAsia" w:eastAsia="仿宋_GB2312"/>
          <w:kern w:val="0"/>
          <w:sz w:val="32"/>
          <w:szCs w:val="32"/>
        </w:rPr>
        <w:t>国家药品监督管理局医疗器械审评中心</w:t>
      </w:r>
      <w:r>
        <w:rPr>
          <w:rFonts w:eastAsia="仿宋_GB2312"/>
          <w:kern w:val="0"/>
          <w:sz w:val="32"/>
          <w:szCs w:val="32"/>
        </w:rPr>
        <w:t>.</w:t>
      </w:r>
      <w:r>
        <w:rPr>
          <w:rFonts w:hint="eastAsia" w:eastAsia="仿宋_GB2312"/>
          <w:kern w:val="0"/>
          <w:sz w:val="32"/>
          <w:szCs w:val="32"/>
        </w:rPr>
        <w:t>医疗器械软件注册审查指导原则</w:t>
      </w:r>
      <w:r>
        <w:rPr>
          <w:rFonts w:eastAsia="仿宋_GB2312"/>
          <w:kern w:val="0"/>
          <w:sz w:val="32"/>
          <w:szCs w:val="32"/>
        </w:rPr>
        <w:t>(2022</w:t>
      </w:r>
      <w:r>
        <w:rPr>
          <w:rFonts w:hint="eastAsia" w:eastAsia="仿宋_GB2312"/>
          <w:kern w:val="0"/>
          <w:sz w:val="32"/>
          <w:szCs w:val="32"/>
        </w:rPr>
        <w:t>年修订版</w:t>
      </w:r>
      <w:r>
        <w:rPr>
          <w:rFonts w:eastAsia="仿宋_GB2312"/>
          <w:kern w:val="0"/>
          <w:sz w:val="32"/>
          <w:szCs w:val="32"/>
        </w:rPr>
        <w:t>):</w:t>
      </w:r>
      <w:r>
        <w:rPr>
          <w:rFonts w:hint="eastAsia" w:eastAsia="仿宋_GB2312"/>
          <w:kern w:val="0"/>
          <w:sz w:val="32"/>
          <w:szCs w:val="32"/>
        </w:rPr>
        <w:t>国家药监局器审中心通告</w:t>
      </w:r>
      <w:r>
        <w:rPr>
          <w:rFonts w:eastAsia="仿宋_GB2312"/>
          <w:kern w:val="0"/>
          <w:sz w:val="32"/>
          <w:szCs w:val="32"/>
        </w:rPr>
        <w:t>2022</w:t>
      </w:r>
      <w:r>
        <w:rPr>
          <w:rFonts w:hint="eastAsia" w:eastAsia="仿宋_GB2312"/>
          <w:kern w:val="0"/>
          <w:sz w:val="32"/>
          <w:szCs w:val="32"/>
        </w:rPr>
        <w:t>年第</w:t>
      </w:r>
      <w:r>
        <w:rPr>
          <w:rFonts w:eastAsia="仿宋_GB2312"/>
          <w:kern w:val="0"/>
          <w:sz w:val="32"/>
          <w:szCs w:val="32"/>
        </w:rPr>
        <w:t>9</w:t>
      </w:r>
      <w:r>
        <w:rPr>
          <w:rFonts w:hint="eastAsia" w:eastAsia="仿宋_GB2312"/>
          <w:kern w:val="0"/>
          <w:sz w:val="32"/>
          <w:szCs w:val="32"/>
        </w:rPr>
        <w:t>号</w:t>
      </w:r>
      <w:r>
        <w:rPr>
          <w:rFonts w:eastAsia="仿宋_GB2312"/>
          <w:sz w:val="32"/>
          <w:szCs w:val="32"/>
        </w:rPr>
        <w:t>[Z].</w:t>
      </w:r>
    </w:p>
    <w:p w14:paraId="3D1DE6E5">
      <w:pPr>
        <w:spacing w:line="52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12</w:t>
      </w:r>
      <w:r>
        <w:rPr>
          <w:rFonts w:eastAsia="仿宋_GB2312"/>
          <w:sz w:val="32"/>
          <w:szCs w:val="32"/>
        </w:rPr>
        <w:t>]</w:t>
      </w:r>
      <w:r>
        <w:rPr>
          <w:rFonts w:hint="eastAsia" w:eastAsia="仿宋_GB2312"/>
          <w:kern w:val="0"/>
          <w:sz w:val="32"/>
          <w:szCs w:val="32"/>
        </w:rPr>
        <w:t>国家药品监督管理局医疗器械审评中心</w:t>
      </w:r>
      <w:r>
        <w:rPr>
          <w:rFonts w:eastAsia="仿宋_GB2312"/>
          <w:kern w:val="0"/>
          <w:sz w:val="32"/>
          <w:szCs w:val="32"/>
        </w:rPr>
        <w:t>.</w:t>
      </w:r>
      <w:r>
        <w:rPr>
          <w:rFonts w:hint="eastAsia" w:eastAsia="仿宋_GB2312"/>
          <w:kern w:val="0"/>
          <w:sz w:val="32"/>
          <w:szCs w:val="32"/>
        </w:rPr>
        <w:t>医疗器械网络安全注册审查指导原则（2022年修订版）</w:t>
      </w:r>
      <w:r>
        <w:rPr>
          <w:rFonts w:eastAsia="仿宋_GB2312"/>
          <w:kern w:val="0"/>
          <w:sz w:val="32"/>
          <w:szCs w:val="32"/>
        </w:rPr>
        <w:t>:</w:t>
      </w:r>
      <w:r>
        <w:rPr>
          <w:rFonts w:hint="eastAsia" w:eastAsia="仿宋_GB2312"/>
          <w:kern w:val="0"/>
          <w:sz w:val="32"/>
          <w:szCs w:val="32"/>
        </w:rPr>
        <w:t>国家药监局器审中心通告2022年第7号</w:t>
      </w:r>
      <w:r>
        <w:rPr>
          <w:rFonts w:eastAsia="仿宋_GB2312"/>
          <w:sz w:val="32"/>
          <w:szCs w:val="32"/>
        </w:rPr>
        <w:t>[Z].</w:t>
      </w:r>
    </w:p>
    <w:p w14:paraId="3F2FA181">
      <w:pPr>
        <w:spacing w:line="520" w:lineRule="exact"/>
        <w:ind w:right="-67" w:rightChars="-32" w:firstLine="640" w:firstLineChars="200"/>
        <w:rPr>
          <w:rFonts w:eastAsia="仿宋_GB2312"/>
          <w:sz w:val="32"/>
          <w:szCs w:val="32"/>
        </w:rPr>
      </w:pPr>
      <w:r>
        <w:rPr>
          <w:rFonts w:eastAsia="仿宋_GB2312"/>
          <w:sz w:val="32"/>
          <w:szCs w:val="32"/>
        </w:rPr>
        <w:t>[1</w:t>
      </w:r>
      <w:r>
        <w:rPr>
          <w:rFonts w:hint="eastAsia" w:eastAsia="仿宋_GB2312"/>
          <w:sz w:val="32"/>
          <w:szCs w:val="32"/>
        </w:rPr>
        <w:t>3</w:t>
      </w:r>
      <w:r>
        <w:rPr>
          <w:rFonts w:eastAsia="仿宋_GB2312"/>
          <w:sz w:val="32"/>
          <w:szCs w:val="32"/>
        </w:rPr>
        <w:t>]</w:t>
      </w:r>
      <w:r>
        <w:rPr>
          <w:rFonts w:hint="eastAsia" w:eastAsia="仿宋_GB2312"/>
          <w:sz w:val="32"/>
          <w:szCs w:val="32"/>
        </w:rPr>
        <w:t>国家药品监督管理局</w:t>
      </w:r>
      <w:r>
        <w:rPr>
          <w:rFonts w:eastAsia="仿宋_GB2312"/>
          <w:sz w:val="32"/>
          <w:szCs w:val="32"/>
        </w:rPr>
        <w:t>.</w:t>
      </w:r>
      <w:r>
        <w:rPr>
          <w:rFonts w:hint="eastAsia" w:eastAsia="仿宋_GB2312"/>
          <w:sz w:val="32"/>
          <w:szCs w:val="32"/>
        </w:rPr>
        <w:t>列入免于临床评价医疗器械目录产品对比说明技术指导原则</w:t>
      </w:r>
      <w:r>
        <w:rPr>
          <w:rFonts w:eastAsia="仿宋_GB2312"/>
          <w:sz w:val="32"/>
          <w:szCs w:val="32"/>
        </w:rPr>
        <w:t>:</w:t>
      </w:r>
      <w:r>
        <w:rPr>
          <w:rFonts w:hint="eastAsia" w:eastAsia="仿宋_GB2312"/>
          <w:sz w:val="32"/>
          <w:szCs w:val="32"/>
        </w:rPr>
        <w:t>国家药监局通告</w:t>
      </w:r>
      <w:r>
        <w:rPr>
          <w:rFonts w:eastAsia="仿宋_GB2312"/>
          <w:sz w:val="32"/>
          <w:szCs w:val="32"/>
        </w:rPr>
        <w:t>2021</w:t>
      </w:r>
      <w:r>
        <w:rPr>
          <w:rFonts w:hint="eastAsia" w:eastAsia="仿宋_GB2312"/>
          <w:sz w:val="32"/>
          <w:szCs w:val="32"/>
        </w:rPr>
        <w:t>年第</w:t>
      </w:r>
      <w:r>
        <w:rPr>
          <w:rFonts w:eastAsia="仿宋_GB2312"/>
          <w:sz w:val="32"/>
          <w:szCs w:val="32"/>
        </w:rPr>
        <w:t>73</w:t>
      </w:r>
      <w:r>
        <w:rPr>
          <w:rFonts w:hint="eastAsia" w:eastAsia="仿宋_GB2312"/>
          <w:sz w:val="32"/>
          <w:szCs w:val="32"/>
        </w:rPr>
        <w:t>号</w:t>
      </w:r>
      <w:r>
        <w:rPr>
          <w:rFonts w:eastAsia="仿宋_GB2312"/>
          <w:sz w:val="32"/>
          <w:szCs w:val="32"/>
        </w:rPr>
        <w:t>[Z].</w:t>
      </w:r>
    </w:p>
    <w:p w14:paraId="2153A230">
      <w:pPr>
        <w:spacing w:line="520" w:lineRule="exact"/>
        <w:ind w:right="-67" w:rightChars="-32" w:firstLine="640" w:firstLineChars="200"/>
        <w:rPr>
          <w:rFonts w:eastAsia="仿宋_GB2312"/>
          <w:sz w:val="32"/>
          <w:szCs w:val="32"/>
        </w:rPr>
      </w:pPr>
      <w:r>
        <w:rPr>
          <w:rFonts w:eastAsia="仿宋_GB2312"/>
          <w:sz w:val="32"/>
          <w:szCs w:val="32"/>
        </w:rPr>
        <w:t>[1</w:t>
      </w:r>
      <w:r>
        <w:rPr>
          <w:rFonts w:hint="eastAsia" w:eastAsia="仿宋_GB2312"/>
          <w:sz w:val="32"/>
          <w:szCs w:val="32"/>
        </w:rPr>
        <w:t>4</w:t>
      </w:r>
      <w:r>
        <w:rPr>
          <w:rFonts w:eastAsia="仿宋_GB2312"/>
          <w:sz w:val="32"/>
          <w:szCs w:val="32"/>
        </w:rPr>
        <w:t>]</w:t>
      </w:r>
      <w:r>
        <w:rPr>
          <w:rFonts w:hint="eastAsia" w:eastAsia="仿宋_GB2312"/>
          <w:sz w:val="32"/>
          <w:szCs w:val="32"/>
        </w:rPr>
        <w:t>国家药品监督管理局</w:t>
      </w:r>
      <w:r>
        <w:rPr>
          <w:rFonts w:eastAsia="仿宋_GB2312"/>
          <w:sz w:val="32"/>
          <w:szCs w:val="32"/>
        </w:rPr>
        <w:t>.</w:t>
      </w:r>
      <w:r>
        <w:rPr>
          <w:rFonts w:hint="eastAsia" w:eastAsia="仿宋_GB2312"/>
          <w:sz w:val="32"/>
          <w:szCs w:val="32"/>
        </w:rPr>
        <w:t>免于临床评价医疗器械目录：国家药监局通告2025年第19号</w:t>
      </w:r>
      <w:r>
        <w:rPr>
          <w:rFonts w:eastAsia="仿宋_GB2312"/>
          <w:sz w:val="32"/>
          <w:szCs w:val="32"/>
        </w:rPr>
        <w:t>[Z].</w:t>
      </w:r>
    </w:p>
    <w:p w14:paraId="2081DA7D">
      <w:pPr>
        <w:spacing w:line="52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5</w:t>
      </w:r>
      <w:r>
        <w:rPr>
          <w:rFonts w:eastAsia="仿宋_GB2312"/>
          <w:sz w:val="32"/>
          <w:szCs w:val="32"/>
        </w:rPr>
        <w:t>]</w:t>
      </w:r>
      <w:r>
        <w:rPr>
          <w:rFonts w:hint="eastAsia" w:eastAsia="仿宋_GB2312"/>
          <w:sz w:val="32"/>
          <w:szCs w:val="32"/>
        </w:rPr>
        <w:t>国家食品药品监督管理局.医疗器械临床评价技术指导原则：国家食品药品监督管理总局通告2021年第73号[Z].</w:t>
      </w:r>
    </w:p>
    <w:p w14:paraId="30A7B917">
      <w:pPr>
        <w:spacing w:line="52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6</w:t>
      </w:r>
      <w:r>
        <w:rPr>
          <w:rFonts w:eastAsia="仿宋_GB2312"/>
          <w:sz w:val="32"/>
          <w:szCs w:val="32"/>
        </w:rPr>
        <w:t>]</w:t>
      </w:r>
      <w:r>
        <w:rPr>
          <w:rFonts w:hint="eastAsia" w:eastAsia="仿宋_GB2312"/>
          <w:sz w:val="32"/>
          <w:szCs w:val="32"/>
        </w:rPr>
        <w:t>国家食品药品监督管理局.医疗器械生物学评价和审查指南:国家食品药品监督管理局通知2007年345号[Z]</w:t>
      </w:r>
      <w:r>
        <w:rPr>
          <w:rFonts w:eastAsia="仿宋_GB2312"/>
          <w:sz w:val="32"/>
          <w:szCs w:val="32"/>
        </w:rPr>
        <w:t>.</w:t>
      </w:r>
    </w:p>
    <w:p w14:paraId="2D746C5E">
      <w:pPr>
        <w:spacing w:line="52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7</w:t>
      </w:r>
      <w:r>
        <w:rPr>
          <w:rFonts w:eastAsia="仿宋_GB2312"/>
          <w:sz w:val="32"/>
          <w:szCs w:val="32"/>
        </w:rPr>
        <w:t>]</w:t>
      </w:r>
      <w:r>
        <w:rPr>
          <w:rFonts w:hint="eastAsia" w:eastAsia="仿宋_GB2312"/>
          <w:sz w:val="32"/>
          <w:szCs w:val="32"/>
        </w:rPr>
        <w:t>国家药品监督管理局</w:t>
      </w:r>
      <w:r>
        <w:rPr>
          <w:rFonts w:eastAsia="仿宋_GB2312"/>
          <w:sz w:val="32"/>
          <w:szCs w:val="32"/>
        </w:rPr>
        <w:t>.</w:t>
      </w:r>
      <w:r>
        <w:rPr>
          <w:rFonts w:hint="eastAsia" w:eastAsia="仿宋_GB2312"/>
          <w:sz w:val="32"/>
          <w:szCs w:val="32"/>
        </w:rPr>
        <w:t>医疗器械产品技术要求编写指导原则</w:t>
      </w:r>
      <w:r>
        <w:rPr>
          <w:rFonts w:eastAsia="仿宋_GB2312"/>
          <w:sz w:val="32"/>
          <w:szCs w:val="32"/>
        </w:rPr>
        <w:t>:</w:t>
      </w:r>
      <w:r>
        <w:rPr>
          <w:rFonts w:hint="eastAsia" w:eastAsia="仿宋_GB2312"/>
          <w:sz w:val="32"/>
          <w:szCs w:val="32"/>
        </w:rPr>
        <w:t>国家药监局公告</w:t>
      </w:r>
      <w:r>
        <w:rPr>
          <w:rFonts w:eastAsia="仿宋_GB2312"/>
          <w:sz w:val="32"/>
          <w:szCs w:val="32"/>
        </w:rPr>
        <w:t>2022</w:t>
      </w:r>
      <w:r>
        <w:rPr>
          <w:rFonts w:hint="eastAsia" w:eastAsia="仿宋_GB2312"/>
          <w:sz w:val="32"/>
          <w:szCs w:val="32"/>
        </w:rPr>
        <w:t>年第</w:t>
      </w:r>
      <w:r>
        <w:rPr>
          <w:rFonts w:eastAsia="仿宋_GB2312"/>
          <w:sz w:val="32"/>
          <w:szCs w:val="32"/>
        </w:rPr>
        <w:t>8</w:t>
      </w:r>
      <w:r>
        <w:rPr>
          <w:rFonts w:hint="eastAsia" w:eastAsia="仿宋_GB2312"/>
          <w:sz w:val="32"/>
          <w:szCs w:val="32"/>
        </w:rPr>
        <w:t>号</w:t>
      </w:r>
      <w:r>
        <w:rPr>
          <w:rFonts w:eastAsia="仿宋_GB2312"/>
          <w:sz w:val="32"/>
          <w:szCs w:val="32"/>
        </w:rPr>
        <w:t>[Z].</w:t>
      </w:r>
    </w:p>
    <w:p w14:paraId="666E10C9">
      <w:pPr>
        <w:spacing w:line="52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8</w:t>
      </w:r>
      <w:r>
        <w:rPr>
          <w:rFonts w:eastAsia="仿宋_GB2312"/>
          <w:sz w:val="32"/>
          <w:szCs w:val="32"/>
        </w:rPr>
        <w:t>]</w:t>
      </w:r>
      <w:r>
        <w:rPr>
          <w:rFonts w:hint="eastAsia" w:eastAsia="仿宋_GB2312"/>
          <w:kern w:val="0"/>
          <w:sz w:val="32"/>
          <w:szCs w:val="32"/>
        </w:rPr>
        <w:t>国家药品监督管理局医疗器械审评中心</w:t>
      </w:r>
      <w:r>
        <w:rPr>
          <w:rFonts w:eastAsia="仿宋_GB2312"/>
          <w:kern w:val="0"/>
          <w:sz w:val="32"/>
          <w:szCs w:val="32"/>
        </w:rPr>
        <w:t>.</w:t>
      </w:r>
      <w:r>
        <w:rPr>
          <w:rFonts w:hint="eastAsia" w:eastAsia="仿宋_GB2312"/>
          <w:kern w:val="0"/>
          <w:sz w:val="32"/>
          <w:szCs w:val="32"/>
        </w:rPr>
        <w:t>医疗器械光辐射安全注册审查指导原则（2024年第12号）</w:t>
      </w:r>
      <w:r>
        <w:rPr>
          <w:rFonts w:eastAsia="仿宋_GB2312"/>
          <w:sz w:val="32"/>
          <w:szCs w:val="32"/>
        </w:rPr>
        <w:t>[Z].</w:t>
      </w:r>
    </w:p>
    <w:p w14:paraId="2786E987">
      <w:pPr>
        <w:spacing w:line="52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9</w:t>
      </w:r>
      <w:r>
        <w:rPr>
          <w:rFonts w:eastAsia="仿宋_GB2312"/>
          <w:sz w:val="32"/>
          <w:szCs w:val="32"/>
        </w:rPr>
        <w:t>]</w:t>
      </w:r>
      <w:r>
        <w:rPr>
          <w:rFonts w:hint="eastAsia" w:eastAsia="仿宋_GB2312"/>
          <w:sz w:val="32"/>
          <w:szCs w:val="32"/>
        </w:rPr>
        <w:t>国家药监局器审中心医疗器械可用性工程注册审查指导原则：</w:t>
      </w:r>
      <w:r>
        <w:rPr>
          <w:rFonts w:hint="eastAsia" w:eastAsia="仿宋_GB2312"/>
          <w:kern w:val="0"/>
          <w:sz w:val="32"/>
          <w:szCs w:val="32"/>
        </w:rPr>
        <w:t>国家药监局器审中心</w:t>
      </w:r>
      <w:r>
        <w:rPr>
          <w:rFonts w:hint="eastAsia" w:eastAsia="仿宋_GB2312"/>
          <w:sz w:val="32"/>
          <w:szCs w:val="32"/>
        </w:rPr>
        <w:t>通告2024年第13号</w:t>
      </w:r>
      <w:r>
        <w:rPr>
          <w:rFonts w:eastAsia="仿宋_GB2312"/>
          <w:sz w:val="32"/>
          <w:szCs w:val="32"/>
        </w:rPr>
        <w:t>[Z].</w:t>
      </w:r>
    </w:p>
    <w:p w14:paraId="7DB9B934">
      <w:pPr>
        <w:spacing w:line="52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20</w:t>
      </w:r>
      <w:r>
        <w:rPr>
          <w:rFonts w:eastAsia="仿宋_GB2312"/>
          <w:sz w:val="32"/>
          <w:szCs w:val="32"/>
        </w:rPr>
        <w:t>]GB/T 16886.1</w:t>
      </w:r>
      <w:r>
        <w:rPr>
          <w:rFonts w:hint="eastAsia" w:eastAsia="仿宋_GB2312"/>
          <w:sz w:val="32"/>
          <w:szCs w:val="32"/>
        </w:rPr>
        <w:t>-2022</w:t>
      </w:r>
      <w:r>
        <w:rPr>
          <w:rFonts w:eastAsia="仿宋_GB2312"/>
          <w:sz w:val="32"/>
          <w:szCs w:val="32"/>
        </w:rPr>
        <w:t>,</w:t>
      </w:r>
      <w:r>
        <w:rPr>
          <w:rFonts w:hint="eastAsia" w:eastAsia="仿宋_GB2312"/>
          <w:sz w:val="32"/>
          <w:szCs w:val="32"/>
        </w:rPr>
        <w:t>医疗器械生物学评价第</w:t>
      </w:r>
      <w:r>
        <w:rPr>
          <w:rFonts w:eastAsia="仿宋_GB2312"/>
          <w:sz w:val="32"/>
          <w:szCs w:val="32"/>
        </w:rPr>
        <w:t>1</w:t>
      </w:r>
      <w:r>
        <w:rPr>
          <w:rFonts w:hint="eastAsia" w:eastAsia="仿宋_GB2312"/>
          <w:sz w:val="32"/>
          <w:szCs w:val="32"/>
        </w:rPr>
        <w:t>部分：风险管理过程中的评价与试验</w:t>
      </w:r>
      <w:r>
        <w:rPr>
          <w:rFonts w:eastAsia="仿宋_GB2312"/>
          <w:sz w:val="32"/>
          <w:szCs w:val="32"/>
        </w:rPr>
        <w:t>[S].</w:t>
      </w:r>
    </w:p>
    <w:p w14:paraId="590305F0">
      <w:pPr>
        <w:spacing w:line="52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21</w:t>
      </w:r>
      <w:r>
        <w:rPr>
          <w:rFonts w:eastAsia="仿宋_GB2312"/>
          <w:sz w:val="32"/>
          <w:szCs w:val="32"/>
        </w:rPr>
        <w:t>]GB/T 42062</w:t>
      </w:r>
      <w:r>
        <w:rPr>
          <w:rFonts w:hint="eastAsia" w:eastAsia="仿宋_GB2312"/>
          <w:sz w:val="32"/>
          <w:szCs w:val="32"/>
        </w:rPr>
        <w:t>-2022</w:t>
      </w:r>
      <w:r>
        <w:rPr>
          <w:rFonts w:eastAsia="仿宋_GB2312"/>
          <w:sz w:val="32"/>
          <w:szCs w:val="32"/>
        </w:rPr>
        <w:t>,</w:t>
      </w:r>
      <w:r>
        <w:rPr>
          <w:rFonts w:hint="eastAsia" w:eastAsia="仿宋_GB2312"/>
          <w:sz w:val="32"/>
          <w:szCs w:val="32"/>
        </w:rPr>
        <w:t>医疗器械风险管理对医疗器械的应用</w:t>
      </w:r>
      <w:r>
        <w:rPr>
          <w:rFonts w:eastAsia="仿宋_GB2312"/>
          <w:sz w:val="32"/>
          <w:szCs w:val="32"/>
        </w:rPr>
        <w:t>[S].</w:t>
      </w:r>
    </w:p>
    <w:p w14:paraId="6407A060">
      <w:pPr>
        <w:pStyle w:val="18"/>
      </w:pPr>
    </w:p>
    <w:p w14:paraId="13A07B10">
      <w:pPr>
        <w:spacing w:line="52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22</w:t>
      </w:r>
      <w:r>
        <w:rPr>
          <w:rFonts w:eastAsia="仿宋_GB2312"/>
          <w:sz w:val="32"/>
          <w:szCs w:val="32"/>
        </w:rPr>
        <w:t>]GB 9706.1</w:t>
      </w:r>
      <w:r>
        <w:rPr>
          <w:rFonts w:hint="eastAsia" w:eastAsia="仿宋_GB2312"/>
          <w:sz w:val="32"/>
          <w:szCs w:val="32"/>
        </w:rPr>
        <w:t>-2020</w:t>
      </w:r>
      <w:r>
        <w:rPr>
          <w:rFonts w:eastAsia="仿宋_GB2312"/>
          <w:sz w:val="32"/>
          <w:szCs w:val="32"/>
        </w:rPr>
        <w:t>,</w:t>
      </w:r>
      <w:r>
        <w:rPr>
          <w:rFonts w:hint="eastAsia" w:eastAsia="仿宋_GB2312"/>
          <w:sz w:val="32"/>
          <w:szCs w:val="32"/>
        </w:rPr>
        <w:t>医用电气设备</w:t>
      </w:r>
      <w:r>
        <w:rPr>
          <w:rFonts w:eastAsia="仿宋_GB2312"/>
          <w:sz w:val="32"/>
          <w:szCs w:val="32"/>
        </w:rPr>
        <w:t xml:space="preserve"> </w:t>
      </w:r>
      <w:r>
        <w:rPr>
          <w:rFonts w:hint="eastAsia" w:eastAsia="仿宋_GB2312"/>
          <w:sz w:val="32"/>
          <w:szCs w:val="32"/>
        </w:rPr>
        <w:t>第</w:t>
      </w:r>
      <w:r>
        <w:rPr>
          <w:rFonts w:eastAsia="仿宋_GB2312"/>
          <w:sz w:val="32"/>
          <w:szCs w:val="32"/>
        </w:rPr>
        <w:t>1</w:t>
      </w:r>
      <w:r>
        <w:rPr>
          <w:rFonts w:hint="eastAsia" w:eastAsia="仿宋_GB2312"/>
          <w:sz w:val="32"/>
          <w:szCs w:val="32"/>
        </w:rPr>
        <w:t>部分：基本安全和基本性能的通用要求</w:t>
      </w:r>
      <w:r>
        <w:rPr>
          <w:rFonts w:eastAsia="仿宋_GB2312"/>
          <w:sz w:val="32"/>
          <w:szCs w:val="32"/>
        </w:rPr>
        <w:t>[S].</w:t>
      </w:r>
    </w:p>
    <w:p w14:paraId="0E9DD5C7">
      <w:pPr>
        <w:spacing w:line="520" w:lineRule="exact"/>
        <w:ind w:firstLine="640" w:firstLineChars="200"/>
        <w:rPr>
          <w:rFonts w:eastAsia="仿宋_GB2312"/>
          <w:sz w:val="32"/>
          <w:szCs w:val="32"/>
        </w:rPr>
      </w:pPr>
      <w:r>
        <w:rPr>
          <w:rFonts w:eastAsia="仿宋_GB2312"/>
          <w:sz w:val="32"/>
          <w:szCs w:val="32"/>
        </w:rPr>
        <w:t>[</w:t>
      </w:r>
      <w:r>
        <w:rPr>
          <w:rFonts w:hint="eastAsia" w:eastAsia="仿宋_GB2312"/>
          <w:sz w:val="32"/>
          <w:szCs w:val="32"/>
        </w:rPr>
        <w:t>23</w:t>
      </w:r>
      <w:r>
        <w:rPr>
          <w:rFonts w:eastAsia="仿宋_GB2312"/>
          <w:sz w:val="32"/>
          <w:szCs w:val="32"/>
        </w:rPr>
        <w:t>]</w:t>
      </w:r>
      <w:r>
        <w:rPr>
          <w:rFonts w:hint="eastAsia" w:eastAsia="仿宋_GB2312"/>
          <w:sz w:val="32"/>
          <w:szCs w:val="32"/>
        </w:rPr>
        <w:t>YY 9706.102,用电气设备 第1-2部分：基本安全和基本性能的通用要求 并列标准：电磁兼容 要求和试验[S].</w:t>
      </w:r>
    </w:p>
    <w:p w14:paraId="581EF946">
      <w:pPr>
        <w:spacing w:line="520" w:lineRule="exact"/>
        <w:ind w:firstLine="640" w:firstLineChars="200"/>
        <w:rPr>
          <w:rFonts w:eastAsia="仿宋_GB2312"/>
          <w:sz w:val="32"/>
          <w:szCs w:val="32"/>
        </w:rPr>
      </w:pPr>
      <w:r>
        <w:rPr>
          <w:rFonts w:eastAsia="仿宋_GB2312"/>
          <w:sz w:val="32"/>
          <w:szCs w:val="32"/>
        </w:rPr>
        <w:t>[2</w:t>
      </w:r>
      <w:r>
        <w:rPr>
          <w:rFonts w:hint="eastAsia" w:eastAsia="仿宋_GB2312"/>
          <w:sz w:val="32"/>
          <w:szCs w:val="32"/>
        </w:rPr>
        <w:t>4</w:t>
      </w:r>
      <w:r>
        <w:rPr>
          <w:rFonts w:eastAsia="仿宋_GB2312"/>
          <w:sz w:val="32"/>
          <w:szCs w:val="32"/>
        </w:rPr>
        <w:t>]GB/T 14710</w:t>
      </w:r>
      <w:r>
        <w:rPr>
          <w:rFonts w:hint="eastAsia" w:eastAsia="仿宋_GB2312"/>
          <w:sz w:val="32"/>
          <w:szCs w:val="32"/>
        </w:rPr>
        <w:t>-2009</w:t>
      </w:r>
      <w:r>
        <w:rPr>
          <w:rFonts w:eastAsia="仿宋_GB2312"/>
          <w:sz w:val="32"/>
          <w:szCs w:val="32"/>
        </w:rPr>
        <w:t>,</w:t>
      </w:r>
      <w:r>
        <w:rPr>
          <w:rFonts w:hint="eastAsia" w:eastAsia="仿宋_GB2312"/>
          <w:sz w:val="32"/>
          <w:szCs w:val="32"/>
        </w:rPr>
        <w:t>医用电器环境要求及试验方法</w:t>
      </w:r>
      <w:r>
        <w:rPr>
          <w:rFonts w:eastAsia="仿宋_GB2312"/>
          <w:sz w:val="32"/>
          <w:szCs w:val="32"/>
        </w:rPr>
        <w:t>[S].</w:t>
      </w:r>
    </w:p>
    <w:p w14:paraId="374DE54C">
      <w:pPr>
        <w:spacing w:line="520" w:lineRule="exact"/>
        <w:ind w:firstLine="640" w:firstLineChars="200"/>
        <w:rPr>
          <w:rFonts w:eastAsia="仿宋_GB2312"/>
          <w:sz w:val="32"/>
          <w:szCs w:val="32"/>
        </w:rPr>
      </w:pPr>
      <w:r>
        <w:rPr>
          <w:rFonts w:hint="eastAsia" w:eastAsia="仿宋_GB2312"/>
          <w:sz w:val="32"/>
          <w:szCs w:val="32"/>
        </w:rPr>
        <w:t>[25]GB/T 16886.5,医疗器械生物学评价 第5部分：体外细胞毒性试验[S].</w:t>
      </w:r>
    </w:p>
    <w:p w14:paraId="4262598B">
      <w:pPr>
        <w:spacing w:line="520" w:lineRule="exact"/>
        <w:ind w:firstLine="640" w:firstLineChars="200"/>
        <w:rPr>
          <w:rFonts w:eastAsia="仿宋_GB2312"/>
          <w:sz w:val="32"/>
          <w:szCs w:val="32"/>
        </w:rPr>
      </w:pPr>
      <w:r>
        <w:rPr>
          <w:rFonts w:hint="eastAsia" w:eastAsia="仿宋_GB2312"/>
          <w:sz w:val="32"/>
          <w:szCs w:val="32"/>
        </w:rPr>
        <w:t>[26]GB/T 16886.10,医疗器械生物学评价 第10部分：刺激与皮肤致敏试验[S].</w:t>
      </w:r>
    </w:p>
    <w:p w14:paraId="52120788">
      <w:pPr>
        <w:spacing w:line="520" w:lineRule="exact"/>
        <w:ind w:firstLine="640" w:firstLineChars="200"/>
        <w:rPr>
          <w:rFonts w:eastAsia="仿宋_GB2312"/>
          <w:sz w:val="32"/>
          <w:szCs w:val="32"/>
        </w:rPr>
      </w:pPr>
      <w:r>
        <w:rPr>
          <w:rFonts w:hint="eastAsia" w:eastAsia="仿宋_GB2312"/>
          <w:sz w:val="32"/>
          <w:szCs w:val="32"/>
        </w:rPr>
        <w:t>[27]GB/T 191—2008,包装储运图示标志[S].</w:t>
      </w:r>
    </w:p>
    <w:p w14:paraId="18B7C4AD">
      <w:pPr>
        <w:spacing w:line="520" w:lineRule="exact"/>
        <w:ind w:firstLine="640" w:firstLineChars="200"/>
        <w:rPr>
          <w:rFonts w:eastAsia="仿宋_GB2312"/>
          <w:sz w:val="32"/>
          <w:szCs w:val="32"/>
        </w:rPr>
      </w:pPr>
      <w:r>
        <w:rPr>
          <w:rFonts w:hint="eastAsia" w:eastAsia="仿宋_GB2312"/>
          <w:sz w:val="32"/>
          <w:szCs w:val="32"/>
        </w:rPr>
        <w:t>[28]YY/T 0664-2020,医疗器械软件 软件生存周期过程[S].</w:t>
      </w:r>
    </w:p>
    <w:p w14:paraId="5D00D346">
      <w:pPr>
        <w:spacing w:line="520" w:lineRule="exact"/>
        <w:ind w:firstLine="640" w:firstLineChars="200"/>
        <w:rPr>
          <w:rFonts w:eastAsia="仿宋_GB2312"/>
          <w:sz w:val="32"/>
          <w:szCs w:val="32"/>
        </w:rPr>
      </w:pPr>
      <w:r>
        <w:rPr>
          <w:rFonts w:hint="eastAsia" w:eastAsia="仿宋_GB2312"/>
          <w:sz w:val="32"/>
          <w:szCs w:val="32"/>
        </w:rPr>
        <w:t>[29]YY/T 0466.1—2023,医疗器械 用于制造商提供信息的符号 第1部分：通用要求[S].</w:t>
      </w:r>
    </w:p>
    <w:p w14:paraId="03B607A4">
      <w:pPr>
        <w:spacing w:line="520" w:lineRule="exact"/>
        <w:ind w:firstLine="640" w:firstLineChars="200"/>
        <w:rPr>
          <w:rFonts w:eastAsia="仿宋_GB2312"/>
          <w:sz w:val="32"/>
          <w:szCs w:val="32"/>
        </w:rPr>
      </w:pPr>
      <w:r>
        <w:rPr>
          <w:rFonts w:hint="eastAsia" w:eastAsia="仿宋_GB2312"/>
          <w:sz w:val="32"/>
          <w:szCs w:val="32"/>
        </w:rPr>
        <w:t>[30]YY/T 1474—2016,医疗器械可用性工程对医疗器械的应用[S].</w:t>
      </w:r>
    </w:p>
    <w:p w14:paraId="794FBE92">
      <w:pPr>
        <w:spacing w:line="520" w:lineRule="exact"/>
        <w:ind w:firstLine="640" w:firstLineChars="200"/>
        <w:outlineLvl w:val="0"/>
        <w:rPr>
          <w:rFonts w:hint="eastAsia" w:ascii="黑体" w:hAnsi="黑体" w:eastAsia="黑体"/>
          <w:sz w:val="32"/>
          <w:szCs w:val="32"/>
        </w:rPr>
      </w:pPr>
      <w:r>
        <w:rPr>
          <w:rFonts w:hint="eastAsia" w:ascii="黑体" w:hAnsi="黑体" w:eastAsia="黑体"/>
          <w:sz w:val="32"/>
          <w:szCs w:val="32"/>
        </w:rPr>
        <w:t>四、审查关注点</w:t>
      </w:r>
      <w:r>
        <w:rPr>
          <w:rFonts w:hint="eastAsia" w:ascii="黑体" w:hAnsi="黑体" w:eastAsia="黑体"/>
          <w:sz w:val="32"/>
          <w:szCs w:val="32"/>
        </w:rPr>
        <w:tab/>
      </w:r>
    </w:p>
    <w:p w14:paraId="034ED663">
      <w:pPr>
        <w:spacing w:line="520" w:lineRule="exact"/>
        <w:ind w:left="2"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（一）重点关注产品技术要求编写的规范性，引用标准的适用性、准确性、有效性。</w:t>
      </w:r>
    </w:p>
    <w:p w14:paraId="02834473">
      <w:pPr>
        <w:spacing w:line="520" w:lineRule="exact"/>
        <w:ind w:left="2"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（二）重点关注注册申请人的产品研究资料是否全面、准确，是否体现其安全性、有效性。</w:t>
      </w:r>
    </w:p>
    <w:p w14:paraId="00E590E7">
      <w:pPr>
        <w:spacing w:line="520" w:lineRule="exact"/>
        <w:ind w:left="2"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（三）产品风险分析资料，应审查产品的主要风险是否已经列举，控制措施是否有效，风险是否降到可接受的程度之内。</w:t>
      </w:r>
    </w:p>
    <w:p w14:paraId="01F49CF9">
      <w:pPr>
        <w:spacing w:line="520" w:lineRule="exact"/>
        <w:ind w:left="2"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（四）产品注册申请资料中的产品检验报告应覆盖产品技术要求中所有性能指标。</w:t>
      </w:r>
    </w:p>
    <w:p w14:paraId="2036AB01">
      <w:pPr>
        <w:spacing w:line="520" w:lineRule="exact"/>
        <w:ind w:left="2"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（五）应关注产品的名称、型号规格、适用范围等信息，在注册申报资料中是否一致。</w:t>
      </w:r>
    </w:p>
    <w:p w14:paraId="6C4B1381">
      <w:pPr>
        <w:spacing w:line="520" w:lineRule="exact"/>
        <w:ind w:left="2"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（六）对于许可事项变更，注册人应针对产品名称、型号、规格、结构及组成、适用范围、产品技术要求等发生变化的部分进行评价，重点审查是否对变化后产品进行了安全性、有效性方面的评价。</w:t>
      </w:r>
    </w:p>
    <w:p w14:paraId="17382EC5">
      <w:pPr>
        <w:spacing w:line="520" w:lineRule="exact"/>
        <w:ind w:firstLine="640" w:firstLineChars="200"/>
        <w:outlineLvl w:val="0"/>
        <w:rPr>
          <w:rFonts w:hint="eastAsia" w:ascii="黑体" w:hAnsi="黑体" w:eastAsia="黑体"/>
          <w:sz w:val="32"/>
          <w:szCs w:val="32"/>
        </w:rPr>
      </w:pPr>
      <w:r>
        <w:rPr>
          <w:rFonts w:hint="eastAsia" w:ascii="黑体" w:hAnsi="黑体" w:eastAsia="黑体"/>
          <w:sz w:val="32"/>
          <w:szCs w:val="32"/>
        </w:rPr>
        <w:t>五、编写单位</w:t>
      </w:r>
    </w:p>
    <w:p w14:paraId="6166F0D7">
      <w:pPr>
        <w:spacing w:line="520" w:lineRule="exact"/>
        <w:ind w:left="2"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河南省食品药品审评查验中心。</w:t>
      </w:r>
    </w:p>
    <w:p w14:paraId="45324790">
      <w:pPr>
        <w:spacing w:line="520" w:lineRule="exact"/>
        <w:ind w:left="2" w:firstLine="640" w:firstLineChars="200"/>
        <w:rPr>
          <w:rFonts w:hint="eastAsia" w:ascii="仿宋_GB2312" w:hAnsi="华文仿宋" w:eastAsia="仿宋_GB2312"/>
          <w:sz w:val="32"/>
          <w:szCs w:val="32"/>
        </w:rPr>
      </w:pPr>
      <w:r>
        <w:rPr>
          <w:rFonts w:hint="eastAsia" w:ascii="仿宋_GB2312" w:hAnsi="华文仿宋" w:eastAsia="仿宋_GB2312"/>
          <w:sz w:val="32"/>
          <w:szCs w:val="32"/>
        </w:rPr>
        <w:t>广西壮族自治区食品药品审评查验中心修订</w:t>
      </w:r>
    </w:p>
    <w:p w14:paraId="34F048E3">
      <w:pPr>
        <w:spacing w:line="520" w:lineRule="exact"/>
        <w:rPr>
          <w:rFonts w:hint="eastAsia" w:ascii="仿宋_GB2312" w:hAnsi="华文仿宋" w:eastAsia="仿宋_GB2312"/>
          <w:sz w:val="32"/>
          <w:szCs w:val="32"/>
        </w:rPr>
      </w:pPr>
    </w:p>
    <w:p w14:paraId="012903AF">
      <w:pPr>
        <w:spacing w:line="520" w:lineRule="exact"/>
        <w:ind w:left="2" w:firstLine="640" w:firstLineChars="200"/>
        <w:rPr>
          <w:rFonts w:eastAsia="仿宋_GB2312"/>
          <w:sz w:val="32"/>
          <w:szCs w:val="32"/>
        </w:rPr>
      </w:pPr>
    </w:p>
    <w:p w14:paraId="1D7F1489">
      <w:pPr>
        <w:spacing w:line="520" w:lineRule="exact"/>
        <w:ind w:left="2" w:firstLine="640" w:firstLineChars="200"/>
        <w:rPr>
          <w:rFonts w:eastAsia="仿宋_GB2312"/>
          <w:sz w:val="32"/>
          <w:szCs w:val="32"/>
        </w:rPr>
      </w:pPr>
    </w:p>
    <w:p w14:paraId="2F439BF2">
      <w:pPr>
        <w:spacing w:line="520" w:lineRule="exact"/>
        <w:ind w:left="2" w:firstLine="640" w:firstLineChars="200"/>
        <w:rPr>
          <w:rFonts w:eastAsia="仿宋_GB2312"/>
          <w:sz w:val="32"/>
          <w:szCs w:val="32"/>
        </w:rPr>
      </w:pPr>
    </w:p>
    <w:p w14:paraId="4FC25F87">
      <w:pPr>
        <w:spacing w:line="520" w:lineRule="exact"/>
        <w:ind w:left="2" w:firstLine="640" w:firstLineChars="200"/>
        <w:rPr>
          <w:rFonts w:eastAsia="仿宋_GB2312"/>
          <w:sz w:val="32"/>
          <w:szCs w:val="32"/>
        </w:rPr>
      </w:pPr>
    </w:p>
    <w:p w14:paraId="6482FCA0">
      <w:pPr>
        <w:spacing w:line="520" w:lineRule="exact"/>
        <w:rPr>
          <w:rFonts w:eastAsia="仿宋_GB2312"/>
          <w:sz w:val="32"/>
          <w:szCs w:val="32"/>
        </w:rPr>
      </w:pPr>
    </w:p>
    <w:p w14:paraId="10227D90">
      <w:pPr>
        <w:spacing w:line="520" w:lineRule="exact"/>
        <w:ind w:left="2"/>
        <w:jc w:val="center"/>
        <w:rPr>
          <w:rFonts w:hint="eastAsia" w:ascii="黑体" w:hAnsi="黑体" w:eastAsia="黑体"/>
          <w:sz w:val="28"/>
          <w:szCs w:val="32"/>
        </w:rPr>
      </w:pPr>
      <w:r>
        <w:rPr>
          <w:rFonts w:hint="eastAsia" w:ascii="黑体" w:hAnsi="黑体" w:eastAsia="黑体"/>
          <w:sz w:val="28"/>
          <w:szCs w:val="32"/>
        </w:rPr>
        <w:t>附表1 麻醉咽喉镜产品常见危险（源）、可预见的事件序列、</w:t>
      </w:r>
    </w:p>
    <w:p w14:paraId="1637C552">
      <w:pPr>
        <w:spacing w:line="520" w:lineRule="exact"/>
        <w:ind w:left="2"/>
        <w:jc w:val="center"/>
        <w:rPr>
          <w:rFonts w:hint="eastAsia" w:ascii="黑体" w:hAnsi="黑体" w:eastAsia="黑体"/>
          <w:sz w:val="28"/>
          <w:szCs w:val="32"/>
        </w:rPr>
      </w:pPr>
      <w:r>
        <w:rPr>
          <w:rFonts w:hint="eastAsia" w:ascii="黑体" w:hAnsi="黑体" w:eastAsia="黑体"/>
          <w:sz w:val="28"/>
          <w:szCs w:val="32"/>
        </w:rPr>
        <w:t>危险情况及可导致的伤害</w:t>
      </w:r>
    </w:p>
    <w:tbl>
      <w:tblPr>
        <w:tblStyle w:val="8"/>
        <w:tblW w:w="968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458"/>
        <w:gridCol w:w="3355"/>
        <w:gridCol w:w="2588"/>
        <w:gridCol w:w="2279"/>
      </w:tblGrid>
      <w:tr w14:paraId="33C4FE6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454" w:hRule="atLeast"/>
          <w:tblHeader/>
          <w:jc w:val="center"/>
        </w:trPr>
        <w:tc>
          <w:tcPr>
            <w:tcW w:w="1458" w:type="dxa"/>
            <w:tcBorders>
              <w:top w:val="single" w:color="auto" w:sz="4" w:space="0"/>
              <w:left w:val="single" w:color="auto" w:sz="4" w:space="0"/>
              <w:bottom w:val="single" w:color="auto" w:sz="4" w:space="0"/>
              <w:right w:val="single" w:color="auto" w:sz="4" w:space="0"/>
            </w:tcBorders>
            <w:vAlign w:val="center"/>
          </w:tcPr>
          <w:p w14:paraId="7499A39E">
            <w:pPr>
              <w:spacing w:line="520" w:lineRule="exact"/>
              <w:ind w:left="2" w:hanging="2"/>
              <w:rPr>
                <w:rFonts w:hint="eastAsia" w:ascii="黑体" w:hAnsi="黑体" w:eastAsia="黑体"/>
                <w:sz w:val="28"/>
                <w:szCs w:val="28"/>
              </w:rPr>
            </w:pPr>
            <w:r>
              <w:rPr>
                <w:rFonts w:ascii="黑体" w:hAnsi="黑体" w:eastAsia="黑体"/>
                <w:sz w:val="28"/>
                <w:szCs w:val="28"/>
              </w:rPr>
              <w:t>危险（源）</w:t>
            </w:r>
          </w:p>
        </w:tc>
        <w:tc>
          <w:tcPr>
            <w:tcW w:w="3355" w:type="dxa"/>
            <w:tcBorders>
              <w:top w:val="single" w:color="auto" w:sz="4" w:space="0"/>
              <w:left w:val="single" w:color="auto" w:sz="4" w:space="0"/>
              <w:bottom w:val="single" w:color="auto" w:sz="4" w:space="0"/>
              <w:right w:val="single" w:color="auto" w:sz="4" w:space="0"/>
            </w:tcBorders>
            <w:vAlign w:val="center"/>
          </w:tcPr>
          <w:p w14:paraId="4526D384">
            <w:pPr>
              <w:spacing w:line="520" w:lineRule="exact"/>
              <w:ind w:left="2" w:hanging="2"/>
              <w:rPr>
                <w:rFonts w:hint="eastAsia" w:ascii="黑体" w:hAnsi="黑体" w:eastAsia="黑体"/>
                <w:sz w:val="28"/>
                <w:szCs w:val="28"/>
              </w:rPr>
            </w:pPr>
            <w:r>
              <w:rPr>
                <w:rFonts w:ascii="黑体" w:hAnsi="黑体" w:eastAsia="黑体"/>
                <w:sz w:val="28"/>
                <w:szCs w:val="28"/>
              </w:rPr>
              <w:t>可预见的事件序列</w:t>
            </w:r>
          </w:p>
        </w:tc>
        <w:tc>
          <w:tcPr>
            <w:tcW w:w="2588" w:type="dxa"/>
            <w:tcBorders>
              <w:top w:val="single" w:color="auto" w:sz="4" w:space="0"/>
              <w:left w:val="single" w:color="auto" w:sz="4" w:space="0"/>
              <w:bottom w:val="single" w:color="auto" w:sz="4" w:space="0"/>
              <w:right w:val="single" w:color="auto" w:sz="4" w:space="0"/>
            </w:tcBorders>
            <w:vAlign w:val="center"/>
          </w:tcPr>
          <w:p w14:paraId="7D8D572D">
            <w:pPr>
              <w:spacing w:line="520" w:lineRule="exact"/>
              <w:ind w:left="2" w:hanging="2"/>
              <w:rPr>
                <w:rFonts w:hint="eastAsia" w:ascii="黑体" w:hAnsi="黑体" w:eastAsia="黑体"/>
                <w:sz w:val="28"/>
                <w:szCs w:val="28"/>
              </w:rPr>
            </w:pPr>
            <w:r>
              <w:rPr>
                <w:rFonts w:ascii="黑体" w:hAnsi="黑体" w:eastAsia="黑体"/>
                <w:sz w:val="28"/>
                <w:szCs w:val="28"/>
              </w:rPr>
              <w:t>危险情况</w:t>
            </w:r>
          </w:p>
        </w:tc>
        <w:tc>
          <w:tcPr>
            <w:tcW w:w="2279" w:type="dxa"/>
            <w:tcBorders>
              <w:top w:val="single" w:color="auto" w:sz="4" w:space="0"/>
              <w:left w:val="single" w:color="auto" w:sz="4" w:space="0"/>
              <w:bottom w:val="single" w:color="auto" w:sz="4" w:space="0"/>
              <w:right w:val="single" w:color="auto" w:sz="4" w:space="0"/>
            </w:tcBorders>
            <w:vAlign w:val="center"/>
          </w:tcPr>
          <w:p w14:paraId="32564C97">
            <w:pPr>
              <w:spacing w:line="520" w:lineRule="exact"/>
              <w:ind w:left="2" w:hanging="2"/>
              <w:rPr>
                <w:rFonts w:hint="eastAsia" w:ascii="黑体" w:hAnsi="黑体" w:eastAsia="黑体"/>
                <w:sz w:val="28"/>
                <w:szCs w:val="28"/>
              </w:rPr>
            </w:pPr>
            <w:r>
              <w:rPr>
                <w:rFonts w:ascii="黑体" w:hAnsi="黑体" w:eastAsia="黑体"/>
                <w:sz w:val="28"/>
                <w:szCs w:val="28"/>
              </w:rPr>
              <w:t>伤害</w:t>
            </w:r>
          </w:p>
        </w:tc>
      </w:tr>
      <w:tr w14:paraId="050C02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45" w:hRule="atLeast"/>
          <w:jc w:val="center"/>
        </w:trPr>
        <w:tc>
          <w:tcPr>
            <w:tcW w:w="1458" w:type="dxa"/>
            <w:tcBorders>
              <w:top w:val="single" w:color="auto" w:sz="4" w:space="0"/>
              <w:left w:val="single" w:color="auto" w:sz="4" w:space="0"/>
              <w:bottom w:val="single" w:color="auto" w:sz="4" w:space="0"/>
              <w:right w:val="single" w:color="auto" w:sz="4" w:space="0"/>
            </w:tcBorders>
            <w:vAlign w:val="center"/>
          </w:tcPr>
          <w:p w14:paraId="2761263D">
            <w:pPr>
              <w:spacing w:line="520" w:lineRule="exact"/>
              <w:ind w:left="2" w:hanging="2"/>
              <w:rPr>
                <w:rFonts w:eastAsia="仿宋_GB2312"/>
                <w:sz w:val="28"/>
                <w:szCs w:val="28"/>
              </w:rPr>
            </w:pPr>
            <w:r>
              <w:rPr>
                <w:rFonts w:eastAsia="仿宋_GB2312"/>
                <w:sz w:val="28"/>
                <w:szCs w:val="28"/>
              </w:rPr>
              <w:t>电能</w:t>
            </w:r>
          </w:p>
        </w:tc>
        <w:tc>
          <w:tcPr>
            <w:tcW w:w="3355" w:type="dxa"/>
            <w:tcBorders>
              <w:top w:val="single" w:color="auto" w:sz="4" w:space="0"/>
              <w:left w:val="single" w:color="auto" w:sz="4" w:space="0"/>
              <w:right w:val="single" w:color="auto" w:sz="4" w:space="0"/>
            </w:tcBorders>
            <w:vAlign w:val="center"/>
          </w:tcPr>
          <w:p w14:paraId="5504C40E">
            <w:pPr>
              <w:spacing w:line="520" w:lineRule="exact"/>
              <w:ind w:left="2" w:hanging="2"/>
              <w:rPr>
                <w:rFonts w:eastAsia="仿宋_GB2312"/>
                <w:sz w:val="28"/>
                <w:szCs w:val="28"/>
              </w:rPr>
            </w:pPr>
            <w:r>
              <w:rPr>
                <w:rFonts w:eastAsia="仿宋_GB2312"/>
                <w:sz w:val="28"/>
                <w:szCs w:val="28"/>
              </w:rPr>
              <w:t>绝缘效果不符合要求。</w:t>
            </w:r>
          </w:p>
        </w:tc>
        <w:tc>
          <w:tcPr>
            <w:tcW w:w="2588" w:type="dxa"/>
            <w:tcBorders>
              <w:top w:val="single" w:color="auto" w:sz="4" w:space="0"/>
              <w:left w:val="single" w:color="auto" w:sz="4" w:space="0"/>
              <w:right w:val="single" w:color="auto" w:sz="4" w:space="0"/>
            </w:tcBorders>
            <w:vAlign w:val="center"/>
          </w:tcPr>
          <w:p w14:paraId="32E23B62">
            <w:pPr>
              <w:spacing w:line="520" w:lineRule="exact"/>
              <w:ind w:left="2" w:hanging="2"/>
              <w:rPr>
                <w:rFonts w:eastAsia="仿宋_GB2312"/>
                <w:sz w:val="28"/>
                <w:szCs w:val="28"/>
              </w:rPr>
            </w:pPr>
            <w:r>
              <w:rPr>
                <w:rFonts w:eastAsia="仿宋_GB2312"/>
                <w:sz w:val="28"/>
                <w:szCs w:val="28"/>
              </w:rPr>
              <w:t>过量的漏电流。</w:t>
            </w:r>
          </w:p>
        </w:tc>
        <w:tc>
          <w:tcPr>
            <w:tcW w:w="2279" w:type="dxa"/>
            <w:tcBorders>
              <w:top w:val="single" w:color="auto" w:sz="4" w:space="0"/>
              <w:left w:val="single" w:color="auto" w:sz="4" w:space="0"/>
              <w:bottom w:val="single" w:color="auto" w:sz="4" w:space="0"/>
              <w:right w:val="single" w:color="auto" w:sz="4" w:space="0"/>
            </w:tcBorders>
            <w:vAlign w:val="center"/>
          </w:tcPr>
          <w:p w14:paraId="2C0CE077">
            <w:pPr>
              <w:spacing w:line="520" w:lineRule="exact"/>
              <w:ind w:left="2" w:hanging="2"/>
              <w:rPr>
                <w:rFonts w:eastAsia="仿宋_GB2312"/>
                <w:sz w:val="28"/>
                <w:szCs w:val="28"/>
              </w:rPr>
            </w:pPr>
            <w:r>
              <w:rPr>
                <w:rFonts w:eastAsia="仿宋_GB2312"/>
                <w:sz w:val="28"/>
                <w:szCs w:val="28"/>
              </w:rPr>
              <w:t>导致对使用者/患者电击伤害。</w:t>
            </w:r>
          </w:p>
        </w:tc>
      </w:tr>
      <w:tr w14:paraId="47B7E9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53" w:hRule="atLeast"/>
          <w:jc w:val="center"/>
        </w:trPr>
        <w:tc>
          <w:tcPr>
            <w:tcW w:w="1458" w:type="dxa"/>
            <w:tcBorders>
              <w:top w:val="single" w:color="auto" w:sz="4" w:space="0"/>
              <w:left w:val="single" w:color="auto" w:sz="4" w:space="0"/>
              <w:bottom w:val="single" w:color="auto" w:sz="4" w:space="0"/>
              <w:right w:val="single" w:color="auto" w:sz="4" w:space="0"/>
            </w:tcBorders>
            <w:vAlign w:val="center"/>
          </w:tcPr>
          <w:p w14:paraId="38B9AD96">
            <w:pPr>
              <w:spacing w:line="520" w:lineRule="exact"/>
              <w:ind w:left="2" w:hanging="2"/>
              <w:rPr>
                <w:rFonts w:eastAsia="仿宋_GB2312"/>
                <w:sz w:val="28"/>
                <w:szCs w:val="28"/>
              </w:rPr>
            </w:pPr>
            <w:r>
              <w:rPr>
                <w:rFonts w:eastAsia="仿宋_GB2312"/>
                <w:sz w:val="28"/>
                <w:szCs w:val="28"/>
              </w:rPr>
              <w:t>扭转力</w:t>
            </w:r>
          </w:p>
        </w:tc>
        <w:tc>
          <w:tcPr>
            <w:tcW w:w="3355" w:type="dxa"/>
            <w:tcBorders>
              <w:top w:val="single" w:color="auto" w:sz="4" w:space="0"/>
              <w:left w:val="single" w:color="auto" w:sz="4" w:space="0"/>
              <w:bottom w:val="single" w:color="auto" w:sz="4" w:space="0"/>
              <w:right w:val="single" w:color="auto" w:sz="4" w:space="0"/>
            </w:tcBorders>
            <w:vAlign w:val="center"/>
          </w:tcPr>
          <w:p w14:paraId="46451CEC">
            <w:pPr>
              <w:spacing w:line="520" w:lineRule="exact"/>
              <w:ind w:left="2" w:hanging="2"/>
              <w:rPr>
                <w:rFonts w:eastAsia="仿宋_GB2312"/>
                <w:sz w:val="28"/>
                <w:szCs w:val="28"/>
              </w:rPr>
            </w:pPr>
            <w:r>
              <w:rPr>
                <w:rFonts w:eastAsia="仿宋_GB2312"/>
                <w:sz w:val="28"/>
                <w:szCs w:val="28"/>
              </w:rPr>
              <w:t>产品强度不足；与手柄连接不牢或连接失效。</w:t>
            </w:r>
          </w:p>
        </w:tc>
        <w:tc>
          <w:tcPr>
            <w:tcW w:w="2588" w:type="dxa"/>
            <w:tcBorders>
              <w:top w:val="single" w:color="auto" w:sz="4" w:space="0"/>
              <w:left w:val="single" w:color="auto" w:sz="4" w:space="0"/>
              <w:bottom w:val="single" w:color="auto" w:sz="4" w:space="0"/>
              <w:right w:val="single" w:color="auto" w:sz="4" w:space="0"/>
            </w:tcBorders>
            <w:vAlign w:val="center"/>
          </w:tcPr>
          <w:p w14:paraId="647363DF">
            <w:pPr>
              <w:spacing w:line="520" w:lineRule="exact"/>
              <w:ind w:left="2" w:hanging="2"/>
              <w:rPr>
                <w:rFonts w:eastAsia="仿宋_GB2312"/>
                <w:sz w:val="28"/>
                <w:szCs w:val="28"/>
              </w:rPr>
            </w:pPr>
            <w:r>
              <w:rPr>
                <w:rFonts w:eastAsia="仿宋_GB2312"/>
                <w:sz w:val="28"/>
                <w:szCs w:val="28"/>
              </w:rPr>
              <w:t>窥视片折断、脱离。</w:t>
            </w:r>
          </w:p>
        </w:tc>
        <w:tc>
          <w:tcPr>
            <w:tcW w:w="2279" w:type="dxa"/>
            <w:tcBorders>
              <w:top w:val="single" w:color="auto" w:sz="4" w:space="0"/>
              <w:left w:val="single" w:color="auto" w:sz="4" w:space="0"/>
              <w:bottom w:val="single" w:color="auto" w:sz="4" w:space="0"/>
              <w:right w:val="single" w:color="auto" w:sz="4" w:space="0"/>
            </w:tcBorders>
            <w:vAlign w:val="center"/>
          </w:tcPr>
          <w:p w14:paraId="39CB4F8F">
            <w:pPr>
              <w:spacing w:line="520" w:lineRule="exact"/>
              <w:ind w:left="2" w:hanging="2"/>
              <w:rPr>
                <w:rFonts w:eastAsia="仿宋_GB2312"/>
                <w:sz w:val="28"/>
                <w:szCs w:val="28"/>
              </w:rPr>
            </w:pPr>
            <w:r>
              <w:rPr>
                <w:rFonts w:eastAsia="仿宋_GB2312"/>
                <w:sz w:val="28"/>
                <w:szCs w:val="28"/>
              </w:rPr>
              <w:t>引起患者不适甚至伤害。</w:t>
            </w:r>
          </w:p>
        </w:tc>
      </w:tr>
      <w:tr w14:paraId="467B53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1458" w:type="dxa"/>
            <w:vMerge w:val="restart"/>
            <w:tcBorders>
              <w:top w:val="single" w:color="auto" w:sz="4" w:space="0"/>
              <w:left w:val="single" w:color="auto" w:sz="4" w:space="0"/>
              <w:right w:val="single" w:color="auto" w:sz="4" w:space="0"/>
            </w:tcBorders>
            <w:vAlign w:val="center"/>
          </w:tcPr>
          <w:p w14:paraId="75934648">
            <w:pPr>
              <w:spacing w:line="520" w:lineRule="exact"/>
              <w:ind w:left="2" w:hanging="2"/>
              <w:rPr>
                <w:rFonts w:eastAsia="仿宋_GB2312"/>
                <w:sz w:val="28"/>
                <w:szCs w:val="28"/>
              </w:rPr>
            </w:pPr>
            <w:r>
              <w:rPr>
                <w:rFonts w:eastAsia="仿宋_GB2312"/>
                <w:sz w:val="28"/>
                <w:szCs w:val="28"/>
              </w:rPr>
              <w:t>生物</w:t>
            </w:r>
          </w:p>
          <w:p w14:paraId="2DFC1C30">
            <w:pPr>
              <w:spacing w:line="520" w:lineRule="exact"/>
              <w:ind w:left="2" w:hanging="2"/>
              <w:rPr>
                <w:rFonts w:eastAsia="仿宋_GB2312"/>
                <w:sz w:val="28"/>
                <w:szCs w:val="28"/>
              </w:rPr>
            </w:pPr>
            <w:r>
              <w:rPr>
                <w:rFonts w:eastAsia="仿宋_GB2312"/>
                <w:sz w:val="28"/>
                <w:szCs w:val="28"/>
              </w:rPr>
              <w:t>相容性</w:t>
            </w:r>
          </w:p>
        </w:tc>
        <w:tc>
          <w:tcPr>
            <w:tcW w:w="3355" w:type="dxa"/>
            <w:tcBorders>
              <w:top w:val="single" w:color="auto" w:sz="4" w:space="0"/>
              <w:left w:val="single" w:color="auto" w:sz="4" w:space="0"/>
              <w:bottom w:val="single" w:color="auto" w:sz="4" w:space="0"/>
              <w:right w:val="single" w:color="auto" w:sz="4" w:space="0"/>
            </w:tcBorders>
            <w:vAlign w:val="center"/>
          </w:tcPr>
          <w:p w14:paraId="3BD223CC">
            <w:pPr>
              <w:spacing w:line="520" w:lineRule="exact"/>
              <w:ind w:left="2" w:hanging="2"/>
              <w:rPr>
                <w:rFonts w:eastAsia="仿宋_GB2312"/>
                <w:sz w:val="28"/>
                <w:szCs w:val="28"/>
              </w:rPr>
            </w:pPr>
            <w:r>
              <w:rPr>
                <w:rFonts w:eastAsia="仿宋_GB2312"/>
                <w:sz w:val="28"/>
                <w:szCs w:val="28"/>
              </w:rPr>
              <w:t>与人体接触的材料，不具有良好的生物相容性。</w:t>
            </w:r>
          </w:p>
        </w:tc>
        <w:tc>
          <w:tcPr>
            <w:tcW w:w="2588" w:type="dxa"/>
            <w:tcBorders>
              <w:top w:val="single" w:color="auto" w:sz="4" w:space="0"/>
              <w:left w:val="single" w:color="auto" w:sz="4" w:space="0"/>
              <w:bottom w:val="single" w:color="auto" w:sz="4" w:space="0"/>
              <w:right w:val="single" w:color="auto" w:sz="4" w:space="0"/>
            </w:tcBorders>
            <w:vAlign w:val="center"/>
          </w:tcPr>
          <w:p w14:paraId="07B41218">
            <w:pPr>
              <w:spacing w:line="520" w:lineRule="exact"/>
              <w:ind w:left="2" w:hanging="2"/>
              <w:rPr>
                <w:rFonts w:eastAsia="仿宋_GB2312"/>
                <w:sz w:val="28"/>
                <w:szCs w:val="28"/>
              </w:rPr>
            </w:pPr>
            <w:r>
              <w:rPr>
                <w:rFonts w:eastAsia="仿宋_GB2312"/>
                <w:sz w:val="28"/>
                <w:szCs w:val="28"/>
              </w:rPr>
              <w:t>与被检查者接触的窥视片材料有致敏性、刺激性或细胞毒性。</w:t>
            </w:r>
          </w:p>
        </w:tc>
        <w:tc>
          <w:tcPr>
            <w:tcW w:w="2279" w:type="dxa"/>
            <w:tcBorders>
              <w:top w:val="single" w:color="auto" w:sz="4" w:space="0"/>
              <w:left w:val="single" w:color="auto" w:sz="4" w:space="0"/>
              <w:bottom w:val="single" w:color="auto" w:sz="4" w:space="0"/>
              <w:right w:val="single" w:color="auto" w:sz="4" w:space="0"/>
            </w:tcBorders>
            <w:vAlign w:val="center"/>
          </w:tcPr>
          <w:p w14:paraId="2226D30D">
            <w:pPr>
              <w:spacing w:line="520" w:lineRule="exact"/>
              <w:ind w:left="2" w:hanging="2"/>
              <w:rPr>
                <w:rFonts w:eastAsia="仿宋_GB2312"/>
                <w:sz w:val="28"/>
                <w:szCs w:val="28"/>
              </w:rPr>
            </w:pPr>
            <w:r>
              <w:rPr>
                <w:rFonts w:eastAsia="仿宋_GB2312"/>
                <w:sz w:val="28"/>
                <w:szCs w:val="28"/>
              </w:rPr>
              <w:t>产生致敏、刺激和细胞毒性反应。</w:t>
            </w:r>
          </w:p>
        </w:tc>
      </w:tr>
      <w:tr w14:paraId="7E390C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1458" w:type="dxa"/>
            <w:vMerge w:val="continue"/>
            <w:tcBorders>
              <w:left w:val="single" w:color="auto" w:sz="4" w:space="0"/>
              <w:bottom w:val="single" w:color="auto" w:sz="4" w:space="0"/>
              <w:right w:val="single" w:color="auto" w:sz="4" w:space="0"/>
            </w:tcBorders>
            <w:vAlign w:val="center"/>
          </w:tcPr>
          <w:p w14:paraId="043644BA">
            <w:pPr>
              <w:spacing w:line="520" w:lineRule="exact"/>
              <w:ind w:left="2" w:hanging="2"/>
              <w:rPr>
                <w:rFonts w:eastAsia="仿宋_GB2312"/>
                <w:sz w:val="28"/>
                <w:szCs w:val="28"/>
              </w:rPr>
            </w:pPr>
          </w:p>
        </w:tc>
        <w:tc>
          <w:tcPr>
            <w:tcW w:w="3355" w:type="dxa"/>
            <w:tcBorders>
              <w:top w:val="single" w:color="auto" w:sz="4" w:space="0"/>
              <w:left w:val="single" w:color="auto" w:sz="4" w:space="0"/>
              <w:bottom w:val="single" w:color="auto" w:sz="4" w:space="0"/>
              <w:right w:val="single" w:color="auto" w:sz="4" w:space="0"/>
            </w:tcBorders>
            <w:vAlign w:val="center"/>
          </w:tcPr>
          <w:p w14:paraId="30F75210">
            <w:pPr>
              <w:spacing w:line="520" w:lineRule="exact"/>
              <w:ind w:left="2" w:hanging="2"/>
              <w:rPr>
                <w:rFonts w:eastAsia="仿宋_GB2312"/>
                <w:sz w:val="28"/>
                <w:szCs w:val="28"/>
              </w:rPr>
            </w:pPr>
            <w:r>
              <w:rPr>
                <w:rFonts w:eastAsia="仿宋_GB2312"/>
                <w:sz w:val="28"/>
                <w:szCs w:val="28"/>
              </w:rPr>
              <w:t>未对灭菌过程进行确认或确认程序不规范。</w:t>
            </w:r>
          </w:p>
        </w:tc>
        <w:tc>
          <w:tcPr>
            <w:tcW w:w="2588" w:type="dxa"/>
            <w:tcBorders>
              <w:top w:val="single" w:color="auto" w:sz="4" w:space="0"/>
              <w:left w:val="single" w:color="auto" w:sz="4" w:space="0"/>
              <w:bottom w:val="single" w:color="auto" w:sz="4" w:space="0"/>
              <w:right w:val="single" w:color="auto" w:sz="4" w:space="0"/>
            </w:tcBorders>
            <w:vAlign w:val="center"/>
          </w:tcPr>
          <w:p w14:paraId="1B13F606">
            <w:pPr>
              <w:spacing w:line="520" w:lineRule="exact"/>
              <w:ind w:left="2" w:hanging="2"/>
              <w:rPr>
                <w:rFonts w:eastAsia="仿宋_GB2312"/>
                <w:sz w:val="28"/>
                <w:szCs w:val="28"/>
              </w:rPr>
            </w:pPr>
            <w:r>
              <w:rPr>
                <w:rFonts w:eastAsia="仿宋_GB2312"/>
                <w:sz w:val="28"/>
                <w:szCs w:val="28"/>
              </w:rPr>
              <w:t>产品带菌。</w:t>
            </w:r>
          </w:p>
        </w:tc>
        <w:tc>
          <w:tcPr>
            <w:tcW w:w="2279" w:type="dxa"/>
            <w:tcBorders>
              <w:top w:val="single" w:color="auto" w:sz="4" w:space="0"/>
              <w:left w:val="single" w:color="auto" w:sz="4" w:space="0"/>
              <w:bottom w:val="single" w:color="auto" w:sz="4" w:space="0"/>
              <w:right w:val="single" w:color="auto" w:sz="4" w:space="0"/>
            </w:tcBorders>
            <w:vAlign w:val="center"/>
          </w:tcPr>
          <w:p w14:paraId="67D1FF39">
            <w:pPr>
              <w:spacing w:line="520" w:lineRule="exact"/>
              <w:ind w:left="2" w:hanging="2"/>
              <w:rPr>
                <w:rFonts w:eastAsia="仿宋_GB2312"/>
                <w:sz w:val="28"/>
                <w:szCs w:val="28"/>
              </w:rPr>
            </w:pPr>
            <w:r>
              <w:rPr>
                <w:rFonts w:eastAsia="仿宋_GB2312"/>
                <w:sz w:val="28"/>
                <w:szCs w:val="28"/>
              </w:rPr>
              <w:t>引起患者感染。</w:t>
            </w:r>
          </w:p>
        </w:tc>
      </w:tr>
      <w:tr w14:paraId="13538E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7" w:hRule="atLeast"/>
          <w:jc w:val="center"/>
        </w:trPr>
        <w:tc>
          <w:tcPr>
            <w:tcW w:w="1458" w:type="dxa"/>
            <w:vMerge w:val="restart"/>
            <w:tcBorders>
              <w:top w:val="single" w:color="auto" w:sz="4" w:space="0"/>
              <w:left w:val="single" w:color="auto" w:sz="4" w:space="0"/>
              <w:bottom w:val="single" w:color="auto" w:sz="4" w:space="0"/>
              <w:right w:val="single" w:color="auto" w:sz="4" w:space="0"/>
            </w:tcBorders>
            <w:vAlign w:val="center"/>
          </w:tcPr>
          <w:p w14:paraId="6DA6CEBC">
            <w:pPr>
              <w:spacing w:line="520" w:lineRule="exact"/>
              <w:ind w:left="2" w:hanging="2"/>
              <w:rPr>
                <w:rFonts w:eastAsia="仿宋_GB2312"/>
                <w:sz w:val="28"/>
                <w:szCs w:val="28"/>
              </w:rPr>
            </w:pPr>
            <w:r>
              <w:rPr>
                <w:rFonts w:eastAsia="仿宋_GB2312"/>
                <w:sz w:val="28"/>
                <w:szCs w:val="28"/>
              </w:rPr>
              <w:t>电磁能</w:t>
            </w:r>
          </w:p>
        </w:tc>
        <w:tc>
          <w:tcPr>
            <w:tcW w:w="3355" w:type="dxa"/>
            <w:tcBorders>
              <w:top w:val="single" w:color="auto" w:sz="4" w:space="0"/>
              <w:left w:val="single" w:color="auto" w:sz="4" w:space="0"/>
              <w:bottom w:val="single" w:color="auto" w:sz="4" w:space="0"/>
              <w:right w:val="single" w:color="auto" w:sz="4" w:space="0"/>
            </w:tcBorders>
            <w:vAlign w:val="center"/>
          </w:tcPr>
          <w:p w14:paraId="3355F683">
            <w:pPr>
              <w:spacing w:line="520" w:lineRule="exact"/>
              <w:ind w:left="2" w:hanging="2"/>
              <w:rPr>
                <w:rFonts w:eastAsia="仿宋_GB2312"/>
                <w:sz w:val="28"/>
                <w:szCs w:val="28"/>
              </w:rPr>
            </w:pPr>
            <w:r>
              <w:rPr>
                <w:rFonts w:eastAsia="仿宋_GB2312"/>
                <w:sz w:val="28"/>
                <w:szCs w:val="28"/>
              </w:rPr>
              <w:t>1.产品设计时电磁屏蔽及电路抗</w:t>
            </w:r>
            <w:r>
              <w:rPr>
                <w:rFonts w:eastAsia="仿宋_GB2312"/>
                <w:color w:val="000000"/>
                <w:sz w:val="28"/>
                <w:szCs w:val="28"/>
              </w:rPr>
              <w:t>扰</w:t>
            </w:r>
            <w:r>
              <w:rPr>
                <w:rFonts w:eastAsia="仿宋_GB2312"/>
                <w:sz w:val="28"/>
                <w:szCs w:val="28"/>
              </w:rPr>
              <w:t>设计不充分。</w:t>
            </w:r>
          </w:p>
          <w:p w14:paraId="03DECEF1">
            <w:pPr>
              <w:spacing w:line="520" w:lineRule="exact"/>
              <w:ind w:left="2" w:hanging="2"/>
              <w:rPr>
                <w:rFonts w:eastAsia="仿宋_GB2312"/>
                <w:sz w:val="28"/>
                <w:szCs w:val="28"/>
              </w:rPr>
            </w:pPr>
            <w:r>
              <w:rPr>
                <w:rFonts w:eastAsia="仿宋_GB2312"/>
                <w:sz w:val="28"/>
                <w:szCs w:val="28"/>
              </w:rPr>
              <w:t>2.未规定设备的使用环境。</w:t>
            </w:r>
          </w:p>
        </w:tc>
        <w:tc>
          <w:tcPr>
            <w:tcW w:w="2588" w:type="dxa"/>
            <w:tcBorders>
              <w:top w:val="single" w:color="auto" w:sz="4" w:space="0"/>
              <w:left w:val="single" w:color="auto" w:sz="4" w:space="0"/>
              <w:bottom w:val="single" w:color="auto" w:sz="4" w:space="0"/>
              <w:right w:val="single" w:color="auto" w:sz="4" w:space="0"/>
            </w:tcBorders>
            <w:vAlign w:val="center"/>
          </w:tcPr>
          <w:p w14:paraId="15B5B4BE">
            <w:pPr>
              <w:spacing w:line="520" w:lineRule="exact"/>
              <w:ind w:left="2" w:hanging="2"/>
              <w:rPr>
                <w:rFonts w:eastAsia="仿宋_GB2312"/>
                <w:sz w:val="28"/>
                <w:szCs w:val="28"/>
              </w:rPr>
            </w:pPr>
            <w:r>
              <w:rPr>
                <w:rFonts w:eastAsia="仿宋_GB2312"/>
                <w:sz w:val="28"/>
                <w:szCs w:val="28"/>
              </w:rPr>
              <w:t>设备受到外界的电磁干扰。</w:t>
            </w:r>
          </w:p>
        </w:tc>
        <w:tc>
          <w:tcPr>
            <w:tcW w:w="2279" w:type="dxa"/>
            <w:tcBorders>
              <w:top w:val="single" w:color="auto" w:sz="4" w:space="0"/>
              <w:left w:val="single" w:color="auto" w:sz="4" w:space="0"/>
              <w:bottom w:val="single" w:color="auto" w:sz="4" w:space="0"/>
              <w:right w:val="single" w:color="auto" w:sz="4" w:space="0"/>
            </w:tcBorders>
            <w:vAlign w:val="center"/>
          </w:tcPr>
          <w:p w14:paraId="76E3918C">
            <w:pPr>
              <w:spacing w:line="520" w:lineRule="exact"/>
              <w:ind w:left="2" w:hanging="2"/>
              <w:rPr>
                <w:rFonts w:eastAsia="仿宋_GB2312"/>
                <w:sz w:val="28"/>
                <w:szCs w:val="28"/>
              </w:rPr>
            </w:pPr>
            <w:r>
              <w:rPr>
                <w:rFonts w:eastAsia="仿宋_GB2312"/>
                <w:sz w:val="28"/>
                <w:szCs w:val="28"/>
              </w:rPr>
              <w:t>不能正常工作。</w:t>
            </w:r>
          </w:p>
        </w:tc>
      </w:tr>
      <w:tr w14:paraId="2F0DFC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7" w:hRule="atLeast"/>
          <w:jc w:val="center"/>
        </w:trPr>
        <w:tc>
          <w:tcPr>
            <w:tcW w:w="1458" w:type="dxa"/>
            <w:vMerge w:val="continue"/>
            <w:tcBorders>
              <w:top w:val="single" w:color="auto" w:sz="4" w:space="0"/>
              <w:left w:val="single" w:color="auto" w:sz="4" w:space="0"/>
              <w:bottom w:val="single" w:color="auto" w:sz="4" w:space="0"/>
              <w:right w:val="single" w:color="auto" w:sz="4" w:space="0"/>
            </w:tcBorders>
            <w:vAlign w:val="center"/>
          </w:tcPr>
          <w:p w14:paraId="07894BD9">
            <w:pPr>
              <w:spacing w:line="520" w:lineRule="exact"/>
              <w:ind w:left="2" w:hanging="2"/>
              <w:rPr>
                <w:rFonts w:eastAsia="仿宋_GB2312"/>
                <w:sz w:val="28"/>
                <w:szCs w:val="28"/>
              </w:rPr>
            </w:pPr>
          </w:p>
        </w:tc>
        <w:tc>
          <w:tcPr>
            <w:tcW w:w="3355" w:type="dxa"/>
            <w:tcBorders>
              <w:top w:val="single" w:color="auto" w:sz="4" w:space="0"/>
              <w:left w:val="single" w:color="auto" w:sz="4" w:space="0"/>
              <w:bottom w:val="single" w:color="auto" w:sz="4" w:space="0"/>
              <w:right w:val="single" w:color="auto" w:sz="4" w:space="0"/>
            </w:tcBorders>
            <w:vAlign w:val="center"/>
          </w:tcPr>
          <w:p w14:paraId="392F70F1">
            <w:pPr>
              <w:spacing w:line="520" w:lineRule="exact"/>
              <w:ind w:left="2" w:hanging="2"/>
              <w:rPr>
                <w:rFonts w:eastAsia="仿宋_GB2312"/>
                <w:sz w:val="28"/>
                <w:szCs w:val="28"/>
              </w:rPr>
            </w:pPr>
            <w:r>
              <w:rPr>
                <w:rFonts w:eastAsia="仿宋_GB2312"/>
                <w:sz w:val="28"/>
                <w:szCs w:val="28"/>
              </w:rPr>
              <w:t>1.屏蔽、滤波及接地技术不完善。</w:t>
            </w:r>
          </w:p>
          <w:p w14:paraId="6C0C8E5D">
            <w:pPr>
              <w:spacing w:line="520" w:lineRule="exact"/>
              <w:ind w:left="2" w:hanging="2"/>
              <w:rPr>
                <w:rFonts w:eastAsia="仿宋_GB2312"/>
                <w:sz w:val="28"/>
                <w:szCs w:val="28"/>
              </w:rPr>
            </w:pPr>
            <w:r>
              <w:rPr>
                <w:rFonts w:eastAsia="仿宋_GB2312"/>
                <w:sz w:val="28"/>
                <w:szCs w:val="28"/>
              </w:rPr>
              <w:t>2.未规定设备的使用环境要求。</w:t>
            </w:r>
          </w:p>
        </w:tc>
        <w:tc>
          <w:tcPr>
            <w:tcW w:w="2588" w:type="dxa"/>
            <w:tcBorders>
              <w:top w:val="single" w:color="auto" w:sz="4" w:space="0"/>
              <w:left w:val="single" w:color="auto" w:sz="4" w:space="0"/>
              <w:bottom w:val="single" w:color="auto" w:sz="4" w:space="0"/>
              <w:right w:val="single" w:color="auto" w:sz="4" w:space="0"/>
            </w:tcBorders>
            <w:vAlign w:val="center"/>
          </w:tcPr>
          <w:p w14:paraId="38BE6432">
            <w:pPr>
              <w:spacing w:line="520" w:lineRule="exact"/>
              <w:ind w:left="2" w:hanging="2"/>
              <w:rPr>
                <w:rFonts w:eastAsia="仿宋_GB2312"/>
                <w:sz w:val="28"/>
                <w:szCs w:val="28"/>
              </w:rPr>
            </w:pPr>
            <w:r>
              <w:rPr>
                <w:rFonts w:eastAsia="仿宋_GB2312"/>
                <w:sz w:val="28"/>
                <w:szCs w:val="28"/>
              </w:rPr>
              <w:t>设备对外界的电磁干扰。</w:t>
            </w:r>
          </w:p>
        </w:tc>
        <w:tc>
          <w:tcPr>
            <w:tcW w:w="2279" w:type="dxa"/>
            <w:tcBorders>
              <w:top w:val="single" w:color="auto" w:sz="4" w:space="0"/>
              <w:left w:val="single" w:color="auto" w:sz="4" w:space="0"/>
              <w:bottom w:val="single" w:color="auto" w:sz="4" w:space="0"/>
              <w:right w:val="single" w:color="auto" w:sz="4" w:space="0"/>
            </w:tcBorders>
            <w:vAlign w:val="center"/>
          </w:tcPr>
          <w:p w14:paraId="7B16A6E8">
            <w:pPr>
              <w:spacing w:line="520" w:lineRule="exact"/>
              <w:ind w:left="2" w:hanging="2"/>
              <w:rPr>
                <w:rFonts w:eastAsia="仿宋_GB2312"/>
                <w:sz w:val="28"/>
                <w:szCs w:val="28"/>
              </w:rPr>
            </w:pPr>
            <w:r>
              <w:rPr>
                <w:rFonts w:eastAsia="仿宋_GB2312"/>
                <w:sz w:val="28"/>
                <w:szCs w:val="28"/>
              </w:rPr>
              <w:t>引起其他设备不能正常工作。</w:t>
            </w:r>
          </w:p>
        </w:tc>
      </w:tr>
      <w:tr w14:paraId="3C032F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84" w:hRule="atLeast"/>
          <w:jc w:val="center"/>
        </w:trPr>
        <w:tc>
          <w:tcPr>
            <w:tcW w:w="1458" w:type="dxa"/>
            <w:vMerge w:val="restart"/>
            <w:tcBorders>
              <w:top w:val="single" w:color="auto" w:sz="4" w:space="0"/>
              <w:left w:val="single" w:color="auto" w:sz="4" w:space="0"/>
              <w:right w:val="single" w:color="auto" w:sz="4" w:space="0"/>
            </w:tcBorders>
            <w:vAlign w:val="center"/>
          </w:tcPr>
          <w:p w14:paraId="46A9363E">
            <w:pPr>
              <w:spacing w:line="520" w:lineRule="exact"/>
              <w:ind w:left="2" w:hanging="2"/>
              <w:rPr>
                <w:rFonts w:eastAsia="仿宋_GB2312"/>
                <w:sz w:val="28"/>
                <w:szCs w:val="28"/>
              </w:rPr>
            </w:pPr>
            <w:r>
              <w:rPr>
                <w:rFonts w:eastAsia="仿宋_GB2312"/>
                <w:sz w:val="28"/>
                <w:szCs w:val="28"/>
              </w:rPr>
              <w:t>使用错误</w:t>
            </w:r>
          </w:p>
        </w:tc>
        <w:tc>
          <w:tcPr>
            <w:tcW w:w="3355" w:type="dxa"/>
            <w:tcBorders>
              <w:top w:val="single" w:color="auto" w:sz="4" w:space="0"/>
              <w:left w:val="single" w:color="auto" w:sz="4" w:space="0"/>
              <w:bottom w:val="single" w:color="auto" w:sz="4" w:space="0"/>
              <w:right w:val="single" w:color="auto" w:sz="4" w:space="0"/>
            </w:tcBorders>
            <w:vAlign w:val="center"/>
          </w:tcPr>
          <w:p w14:paraId="6492D192">
            <w:pPr>
              <w:spacing w:line="520" w:lineRule="exact"/>
              <w:ind w:left="2" w:hanging="2"/>
              <w:rPr>
                <w:rFonts w:eastAsia="仿宋_GB2312"/>
                <w:sz w:val="28"/>
                <w:szCs w:val="28"/>
              </w:rPr>
            </w:pPr>
            <w:r>
              <w:rPr>
                <w:rFonts w:eastAsia="仿宋_GB2312"/>
                <w:sz w:val="28"/>
                <w:szCs w:val="28"/>
              </w:rPr>
              <w:t>1.未经培训的人员使用操作。</w:t>
            </w:r>
          </w:p>
          <w:p w14:paraId="6F7EC134">
            <w:pPr>
              <w:spacing w:line="520" w:lineRule="exact"/>
              <w:ind w:left="2" w:hanging="2"/>
              <w:rPr>
                <w:rFonts w:eastAsia="仿宋_GB2312"/>
                <w:sz w:val="28"/>
                <w:szCs w:val="28"/>
              </w:rPr>
            </w:pPr>
            <w:r>
              <w:rPr>
                <w:rFonts w:eastAsia="仿宋_GB2312"/>
                <w:sz w:val="28"/>
                <w:szCs w:val="28"/>
              </w:rPr>
              <w:t>2.窥视片规格型号选用错误，导致机械损伤。</w:t>
            </w:r>
          </w:p>
        </w:tc>
        <w:tc>
          <w:tcPr>
            <w:tcW w:w="2588" w:type="dxa"/>
            <w:tcBorders>
              <w:top w:val="single" w:color="auto" w:sz="4" w:space="0"/>
              <w:left w:val="single" w:color="auto" w:sz="4" w:space="0"/>
              <w:bottom w:val="single" w:color="auto" w:sz="4" w:space="0"/>
              <w:right w:val="single" w:color="auto" w:sz="4" w:space="0"/>
            </w:tcBorders>
            <w:vAlign w:val="center"/>
          </w:tcPr>
          <w:p w14:paraId="6CC6C8B2">
            <w:pPr>
              <w:spacing w:line="520" w:lineRule="exact"/>
              <w:ind w:left="2" w:hanging="2"/>
              <w:rPr>
                <w:rFonts w:eastAsia="仿宋_GB2312"/>
                <w:sz w:val="28"/>
                <w:szCs w:val="28"/>
              </w:rPr>
            </w:pPr>
            <w:r>
              <w:rPr>
                <w:rFonts w:eastAsia="仿宋_GB2312"/>
                <w:sz w:val="28"/>
                <w:szCs w:val="28"/>
              </w:rPr>
              <w:t>操作不正确。</w:t>
            </w:r>
          </w:p>
        </w:tc>
        <w:tc>
          <w:tcPr>
            <w:tcW w:w="2279" w:type="dxa"/>
            <w:tcBorders>
              <w:top w:val="single" w:color="auto" w:sz="4" w:space="0"/>
              <w:left w:val="single" w:color="auto" w:sz="4" w:space="0"/>
              <w:bottom w:val="single" w:color="auto" w:sz="4" w:space="0"/>
              <w:right w:val="single" w:color="auto" w:sz="4" w:space="0"/>
            </w:tcBorders>
            <w:vAlign w:val="center"/>
          </w:tcPr>
          <w:p w14:paraId="210E4895">
            <w:pPr>
              <w:spacing w:line="520" w:lineRule="exact"/>
              <w:ind w:left="2" w:hanging="2"/>
              <w:rPr>
                <w:rFonts w:eastAsia="仿宋_GB2312"/>
                <w:sz w:val="28"/>
                <w:szCs w:val="28"/>
              </w:rPr>
            </w:pPr>
            <w:r>
              <w:rPr>
                <w:rFonts w:eastAsia="仿宋_GB2312"/>
                <w:sz w:val="28"/>
                <w:szCs w:val="28"/>
              </w:rPr>
              <w:t>引起患者不适甚至伤害。</w:t>
            </w:r>
          </w:p>
        </w:tc>
      </w:tr>
      <w:tr w14:paraId="5E57AC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36" w:hRule="atLeast"/>
          <w:jc w:val="center"/>
        </w:trPr>
        <w:tc>
          <w:tcPr>
            <w:tcW w:w="1458" w:type="dxa"/>
            <w:vMerge w:val="continue"/>
            <w:tcBorders>
              <w:left w:val="single" w:color="auto" w:sz="4" w:space="0"/>
              <w:right w:val="single" w:color="auto" w:sz="4" w:space="0"/>
            </w:tcBorders>
            <w:vAlign w:val="center"/>
          </w:tcPr>
          <w:p w14:paraId="61461EFB">
            <w:pPr>
              <w:spacing w:line="520" w:lineRule="exact"/>
              <w:ind w:left="2" w:hanging="2"/>
              <w:rPr>
                <w:rFonts w:eastAsia="仿宋_GB2312"/>
                <w:sz w:val="28"/>
                <w:szCs w:val="28"/>
              </w:rPr>
            </w:pPr>
          </w:p>
        </w:tc>
        <w:tc>
          <w:tcPr>
            <w:tcW w:w="3355" w:type="dxa"/>
            <w:tcBorders>
              <w:top w:val="single" w:color="auto" w:sz="4" w:space="0"/>
              <w:left w:val="single" w:color="auto" w:sz="4" w:space="0"/>
              <w:bottom w:val="single" w:color="auto" w:sz="4" w:space="0"/>
              <w:right w:val="single" w:color="auto" w:sz="4" w:space="0"/>
            </w:tcBorders>
            <w:vAlign w:val="center"/>
          </w:tcPr>
          <w:p w14:paraId="5A1F5C92">
            <w:pPr>
              <w:spacing w:line="520" w:lineRule="exact"/>
              <w:ind w:left="2" w:hanging="2"/>
              <w:rPr>
                <w:rFonts w:eastAsia="仿宋_GB2312"/>
                <w:sz w:val="28"/>
                <w:szCs w:val="28"/>
              </w:rPr>
            </w:pPr>
            <w:r>
              <w:rPr>
                <w:rFonts w:eastAsia="仿宋_GB2312"/>
                <w:sz w:val="28"/>
                <w:szCs w:val="28"/>
              </w:rPr>
              <w:t>与被检查者接触的部分清洁/消毒不充分或不正确。</w:t>
            </w:r>
          </w:p>
        </w:tc>
        <w:tc>
          <w:tcPr>
            <w:tcW w:w="2588" w:type="dxa"/>
            <w:tcBorders>
              <w:top w:val="single" w:color="auto" w:sz="4" w:space="0"/>
              <w:left w:val="single" w:color="auto" w:sz="4" w:space="0"/>
              <w:bottom w:val="single" w:color="auto" w:sz="4" w:space="0"/>
              <w:right w:val="single" w:color="auto" w:sz="4" w:space="0"/>
            </w:tcBorders>
            <w:vAlign w:val="center"/>
          </w:tcPr>
          <w:p w14:paraId="002F41A2">
            <w:pPr>
              <w:spacing w:line="520" w:lineRule="exact"/>
              <w:ind w:left="2" w:hanging="2"/>
              <w:rPr>
                <w:rFonts w:eastAsia="仿宋_GB2312"/>
                <w:sz w:val="28"/>
                <w:szCs w:val="28"/>
              </w:rPr>
            </w:pPr>
            <w:r>
              <w:rPr>
                <w:rFonts w:eastAsia="仿宋_GB2312"/>
                <w:sz w:val="28"/>
                <w:szCs w:val="28"/>
              </w:rPr>
              <w:t>1.产品带菌。</w:t>
            </w:r>
          </w:p>
          <w:p w14:paraId="2FF5893E">
            <w:pPr>
              <w:spacing w:line="520" w:lineRule="exact"/>
              <w:ind w:left="2" w:hanging="2"/>
              <w:rPr>
                <w:rFonts w:eastAsia="仿宋_GB2312"/>
                <w:sz w:val="28"/>
                <w:szCs w:val="28"/>
              </w:rPr>
            </w:pPr>
            <w:r>
              <w:rPr>
                <w:rFonts w:eastAsia="仿宋_GB2312"/>
                <w:sz w:val="28"/>
                <w:szCs w:val="28"/>
              </w:rPr>
              <w:t>2.交叉感染。</w:t>
            </w:r>
          </w:p>
        </w:tc>
        <w:tc>
          <w:tcPr>
            <w:tcW w:w="2279" w:type="dxa"/>
            <w:tcBorders>
              <w:top w:val="single" w:color="auto" w:sz="4" w:space="0"/>
              <w:left w:val="single" w:color="auto" w:sz="4" w:space="0"/>
              <w:bottom w:val="single" w:color="auto" w:sz="4" w:space="0"/>
              <w:right w:val="single" w:color="auto" w:sz="4" w:space="0"/>
            </w:tcBorders>
            <w:vAlign w:val="center"/>
          </w:tcPr>
          <w:p w14:paraId="799EDB80">
            <w:pPr>
              <w:spacing w:line="520" w:lineRule="exact"/>
              <w:ind w:left="2" w:hanging="2"/>
              <w:rPr>
                <w:rFonts w:eastAsia="仿宋_GB2312"/>
                <w:sz w:val="28"/>
                <w:szCs w:val="28"/>
              </w:rPr>
            </w:pPr>
            <w:r>
              <w:rPr>
                <w:rFonts w:eastAsia="仿宋_GB2312"/>
                <w:sz w:val="28"/>
                <w:szCs w:val="28"/>
              </w:rPr>
              <w:t>引起患者感染。</w:t>
            </w:r>
          </w:p>
        </w:tc>
      </w:tr>
      <w:tr w14:paraId="64988B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74" w:hRule="atLeast"/>
          <w:jc w:val="center"/>
        </w:trPr>
        <w:tc>
          <w:tcPr>
            <w:tcW w:w="1458" w:type="dxa"/>
            <w:vMerge w:val="restart"/>
            <w:tcBorders>
              <w:top w:val="single" w:color="auto" w:sz="4" w:space="0"/>
              <w:left w:val="single" w:color="auto" w:sz="4" w:space="0"/>
              <w:right w:val="single" w:color="auto" w:sz="4" w:space="0"/>
            </w:tcBorders>
            <w:vAlign w:val="center"/>
          </w:tcPr>
          <w:p w14:paraId="648BD15D">
            <w:pPr>
              <w:spacing w:line="520" w:lineRule="exact"/>
              <w:ind w:left="2" w:hanging="2"/>
              <w:rPr>
                <w:rFonts w:eastAsia="仿宋_GB2312"/>
                <w:sz w:val="28"/>
                <w:szCs w:val="28"/>
              </w:rPr>
            </w:pPr>
            <w:r>
              <w:rPr>
                <w:rFonts w:eastAsia="仿宋_GB2312"/>
                <w:sz w:val="28"/>
                <w:szCs w:val="28"/>
              </w:rPr>
              <w:t>不完整的说明书</w:t>
            </w:r>
          </w:p>
        </w:tc>
        <w:tc>
          <w:tcPr>
            <w:tcW w:w="3355" w:type="dxa"/>
            <w:tcBorders>
              <w:top w:val="single" w:color="auto" w:sz="4" w:space="0"/>
              <w:left w:val="single" w:color="auto" w:sz="4" w:space="0"/>
              <w:bottom w:val="single" w:color="auto" w:sz="4" w:space="0"/>
              <w:right w:val="single" w:color="auto" w:sz="4" w:space="0"/>
            </w:tcBorders>
            <w:vAlign w:val="center"/>
          </w:tcPr>
          <w:p w14:paraId="62EBC7C8">
            <w:pPr>
              <w:spacing w:line="520" w:lineRule="exact"/>
              <w:ind w:left="2" w:hanging="2"/>
              <w:rPr>
                <w:rFonts w:eastAsia="仿宋_GB2312"/>
                <w:sz w:val="28"/>
                <w:szCs w:val="28"/>
              </w:rPr>
            </w:pPr>
            <w:r>
              <w:rPr>
                <w:rFonts w:eastAsia="仿宋_GB2312"/>
                <w:sz w:val="28"/>
                <w:szCs w:val="28"/>
              </w:rPr>
              <w:t>操作说明不准确或不完整、缺少必要的警告说明。</w:t>
            </w:r>
          </w:p>
        </w:tc>
        <w:tc>
          <w:tcPr>
            <w:tcW w:w="2588" w:type="dxa"/>
            <w:tcBorders>
              <w:top w:val="single" w:color="auto" w:sz="4" w:space="0"/>
              <w:left w:val="single" w:color="auto" w:sz="4" w:space="0"/>
              <w:bottom w:val="single" w:color="auto" w:sz="4" w:space="0"/>
              <w:right w:val="single" w:color="auto" w:sz="4" w:space="0"/>
            </w:tcBorders>
            <w:vAlign w:val="center"/>
          </w:tcPr>
          <w:p w14:paraId="0A5C2C2F">
            <w:pPr>
              <w:spacing w:line="520" w:lineRule="exact"/>
              <w:ind w:left="2" w:hanging="2"/>
              <w:rPr>
                <w:rFonts w:eastAsia="仿宋_GB2312"/>
                <w:sz w:val="28"/>
                <w:szCs w:val="28"/>
              </w:rPr>
            </w:pPr>
            <w:r>
              <w:rPr>
                <w:rFonts w:eastAsia="仿宋_GB2312"/>
                <w:sz w:val="28"/>
                <w:szCs w:val="28"/>
              </w:rPr>
              <w:t>错误使用，导致无法保证使用安全性。</w:t>
            </w:r>
          </w:p>
        </w:tc>
        <w:tc>
          <w:tcPr>
            <w:tcW w:w="2279" w:type="dxa"/>
            <w:tcBorders>
              <w:top w:val="single" w:color="auto" w:sz="4" w:space="0"/>
              <w:left w:val="single" w:color="auto" w:sz="4" w:space="0"/>
              <w:bottom w:val="single" w:color="auto" w:sz="4" w:space="0"/>
              <w:right w:val="single" w:color="auto" w:sz="4" w:space="0"/>
            </w:tcBorders>
            <w:vAlign w:val="center"/>
          </w:tcPr>
          <w:p w14:paraId="0D17C977">
            <w:pPr>
              <w:spacing w:line="520" w:lineRule="exact"/>
              <w:ind w:left="2" w:hanging="2"/>
              <w:rPr>
                <w:rFonts w:eastAsia="仿宋_GB2312"/>
                <w:sz w:val="28"/>
                <w:szCs w:val="28"/>
              </w:rPr>
            </w:pPr>
            <w:r>
              <w:rPr>
                <w:rFonts w:eastAsia="仿宋_GB2312"/>
                <w:sz w:val="28"/>
                <w:szCs w:val="28"/>
              </w:rPr>
              <w:t>引起患者不适甚至伤害。</w:t>
            </w:r>
          </w:p>
        </w:tc>
      </w:tr>
      <w:tr w14:paraId="491A95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74" w:hRule="atLeast"/>
          <w:jc w:val="center"/>
        </w:trPr>
        <w:tc>
          <w:tcPr>
            <w:tcW w:w="1458" w:type="dxa"/>
            <w:vMerge w:val="continue"/>
            <w:tcBorders>
              <w:left w:val="single" w:color="auto" w:sz="4" w:space="0"/>
              <w:bottom w:val="single" w:color="auto" w:sz="4" w:space="0"/>
              <w:right w:val="single" w:color="auto" w:sz="4" w:space="0"/>
            </w:tcBorders>
            <w:vAlign w:val="center"/>
          </w:tcPr>
          <w:p w14:paraId="4B1F6ED3">
            <w:pPr>
              <w:spacing w:line="520" w:lineRule="exact"/>
              <w:ind w:left="2" w:hanging="2"/>
              <w:rPr>
                <w:rFonts w:eastAsia="仿宋_GB2312"/>
                <w:sz w:val="28"/>
                <w:szCs w:val="28"/>
              </w:rPr>
            </w:pPr>
          </w:p>
        </w:tc>
        <w:tc>
          <w:tcPr>
            <w:tcW w:w="3355" w:type="dxa"/>
            <w:tcBorders>
              <w:top w:val="single" w:color="auto" w:sz="4" w:space="0"/>
              <w:left w:val="single" w:color="auto" w:sz="4" w:space="0"/>
              <w:bottom w:val="single" w:color="auto" w:sz="4" w:space="0"/>
              <w:right w:val="single" w:color="auto" w:sz="4" w:space="0"/>
            </w:tcBorders>
            <w:vAlign w:val="center"/>
          </w:tcPr>
          <w:p w14:paraId="0FEB60B5">
            <w:pPr>
              <w:spacing w:line="520" w:lineRule="exact"/>
              <w:ind w:left="2" w:hanging="2"/>
              <w:rPr>
                <w:rFonts w:eastAsia="仿宋_GB2312"/>
                <w:sz w:val="28"/>
                <w:szCs w:val="28"/>
              </w:rPr>
            </w:pPr>
            <w:r>
              <w:rPr>
                <w:rFonts w:eastAsia="仿宋_GB2312"/>
                <w:sz w:val="28"/>
                <w:szCs w:val="28"/>
              </w:rPr>
              <w:t>1.标记不清晰、错误。</w:t>
            </w:r>
          </w:p>
          <w:p w14:paraId="53E9C13E">
            <w:pPr>
              <w:spacing w:line="520" w:lineRule="exact"/>
              <w:ind w:left="2" w:hanging="2"/>
              <w:rPr>
                <w:rFonts w:eastAsia="仿宋_GB2312"/>
                <w:sz w:val="28"/>
                <w:szCs w:val="28"/>
              </w:rPr>
            </w:pPr>
            <w:r>
              <w:rPr>
                <w:rFonts w:eastAsia="仿宋_GB2312"/>
                <w:sz w:val="28"/>
                <w:szCs w:val="28"/>
              </w:rPr>
              <w:t>2.没有按照要求进行标记。</w:t>
            </w:r>
          </w:p>
        </w:tc>
        <w:tc>
          <w:tcPr>
            <w:tcW w:w="2588" w:type="dxa"/>
            <w:tcBorders>
              <w:top w:val="single" w:color="auto" w:sz="4" w:space="0"/>
              <w:left w:val="single" w:color="auto" w:sz="4" w:space="0"/>
              <w:bottom w:val="single" w:color="auto" w:sz="4" w:space="0"/>
              <w:right w:val="single" w:color="auto" w:sz="4" w:space="0"/>
            </w:tcBorders>
            <w:vAlign w:val="center"/>
          </w:tcPr>
          <w:p w14:paraId="49A737EC">
            <w:pPr>
              <w:spacing w:line="520" w:lineRule="exact"/>
              <w:ind w:left="2" w:hanging="2"/>
              <w:rPr>
                <w:rFonts w:eastAsia="仿宋_GB2312"/>
                <w:sz w:val="28"/>
                <w:szCs w:val="28"/>
              </w:rPr>
            </w:pPr>
            <w:r>
              <w:rPr>
                <w:rFonts w:eastAsia="仿宋_GB2312"/>
                <w:sz w:val="28"/>
                <w:szCs w:val="28"/>
              </w:rPr>
              <w:t>1.错误使用。</w:t>
            </w:r>
          </w:p>
          <w:p w14:paraId="2F192EC1">
            <w:pPr>
              <w:spacing w:line="520" w:lineRule="exact"/>
              <w:ind w:left="2" w:hanging="2"/>
              <w:rPr>
                <w:rFonts w:eastAsia="仿宋_GB2312"/>
                <w:sz w:val="28"/>
                <w:szCs w:val="28"/>
              </w:rPr>
            </w:pPr>
            <w:r>
              <w:rPr>
                <w:rFonts w:eastAsia="仿宋_GB2312"/>
                <w:sz w:val="28"/>
                <w:szCs w:val="28"/>
              </w:rPr>
              <w:t>2.储存错误。</w:t>
            </w:r>
          </w:p>
          <w:p w14:paraId="742369AB">
            <w:pPr>
              <w:spacing w:line="520" w:lineRule="exact"/>
              <w:ind w:left="2" w:hanging="2"/>
              <w:rPr>
                <w:rFonts w:eastAsia="仿宋_GB2312"/>
                <w:sz w:val="28"/>
                <w:szCs w:val="28"/>
              </w:rPr>
            </w:pPr>
            <w:r>
              <w:rPr>
                <w:rFonts w:eastAsia="仿宋_GB2312"/>
                <w:sz w:val="28"/>
                <w:szCs w:val="28"/>
              </w:rPr>
              <w:t>3.产品辨别错误。</w:t>
            </w:r>
          </w:p>
          <w:p w14:paraId="0D99B0DF">
            <w:pPr>
              <w:spacing w:line="520" w:lineRule="exact"/>
              <w:ind w:left="2" w:hanging="2"/>
              <w:rPr>
                <w:rFonts w:eastAsia="仿宋_GB2312"/>
                <w:sz w:val="28"/>
                <w:szCs w:val="28"/>
              </w:rPr>
            </w:pPr>
            <w:r>
              <w:rPr>
                <w:rFonts w:eastAsia="仿宋_GB2312"/>
                <w:sz w:val="28"/>
                <w:szCs w:val="28"/>
              </w:rPr>
              <w:t>4.导致无法保证使用安全性。</w:t>
            </w:r>
          </w:p>
        </w:tc>
        <w:tc>
          <w:tcPr>
            <w:tcW w:w="2279" w:type="dxa"/>
            <w:tcBorders>
              <w:top w:val="single" w:color="auto" w:sz="4" w:space="0"/>
              <w:left w:val="single" w:color="auto" w:sz="4" w:space="0"/>
              <w:bottom w:val="single" w:color="auto" w:sz="4" w:space="0"/>
              <w:right w:val="single" w:color="auto" w:sz="4" w:space="0"/>
            </w:tcBorders>
            <w:vAlign w:val="center"/>
          </w:tcPr>
          <w:p w14:paraId="5C231647">
            <w:pPr>
              <w:spacing w:line="520" w:lineRule="exact"/>
              <w:ind w:left="2" w:hanging="2"/>
              <w:rPr>
                <w:rFonts w:eastAsia="仿宋_GB2312"/>
                <w:sz w:val="28"/>
                <w:szCs w:val="28"/>
              </w:rPr>
            </w:pPr>
            <w:r>
              <w:rPr>
                <w:rFonts w:eastAsia="仿宋_GB2312"/>
                <w:sz w:val="28"/>
                <w:szCs w:val="28"/>
              </w:rPr>
              <w:t>引起患者不适甚至伤害。</w:t>
            </w:r>
          </w:p>
        </w:tc>
      </w:tr>
    </w:tbl>
    <w:p w14:paraId="1BEB3AA6">
      <w:pPr>
        <w:spacing w:line="430" w:lineRule="exact"/>
        <w:rPr>
          <w:sz w:val="24"/>
        </w:rPr>
      </w:pPr>
    </w:p>
    <w:sectPr>
      <w:footerReference r:id="rId3" w:type="default"/>
      <w:footerReference r:id="rId4" w:type="even"/>
      <w:pgSz w:w="11906" w:h="16838"/>
      <w:pgMar w:top="1928" w:right="1531" w:bottom="1814" w:left="1531" w:header="851" w:footer="1247" w:gutter="0"/>
      <w:lnNumType w:countBy="1" w:restart="continuou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A6F89EE-564E-4E3D-B3BD-9C341F33301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embedRegular r:id="rId2" w:fontKey="{E2A6F7E3-4583-4034-BA3C-126F495C1A11}"/>
  </w:font>
  <w:font w:name="华文仿宋">
    <w:panose1 w:val="02010600040101010101"/>
    <w:charset w:val="86"/>
    <w:family w:val="auto"/>
    <w:pitch w:val="default"/>
    <w:sig w:usb0="00000287" w:usb1="080F0000" w:usb2="00000000" w:usb3="00000000" w:csb0="0004009F" w:csb1="DFD70000"/>
    <w:embedRegular r:id="rId3" w:fontKey="{DF40FA2F-392E-46A3-8A3D-D311731A3BBA}"/>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embedRegular r:id="rId4" w:fontKey="{DCEFDDE4-B1AC-40DE-A8D9-8D627FAFF87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A73BB">
    <w:pPr>
      <w:pStyle w:val="5"/>
      <w:wordWrap w:val="0"/>
      <w:jc w:val="right"/>
      <w:rPr>
        <w:sz w:val="28"/>
        <w:szCs w:val="28"/>
      </w:rPr>
    </w:pP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w:t>
    </w:r>
    <w:r>
      <w:rPr>
        <w:sz w:val="28"/>
        <w:szCs w:val="28"/>
      </w:rPr>
      <w:fldChar w:fldCharType="end"/>
    </w:r>
    <w:r>
      <w:rPr>
        <w:rFonts w:hint="eastAsia"/>
        <w:sz w:val="28"/>
        <w:szCs w:val="28"/>
      </w:rPr>
      <w:t xml:space="preserve"> —</w:t>
    </w:r>
    <w:r>
      <w:rPr>
        <w:rFonts w:hint="eastAsia"/>
        <w:color w:val="FFFFFF"/>
        <w:sz w:val="28"/>
        <w:szCs w:val="28"/>
      </w:rPr>
      <w:t>—</w:t>
    </w:r>
  </w:p>
  <w:p w14:paraId="2F46C3D9">
    <w:pPr>
      <w:pStyle w:val="5"/>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0245B">
    <w:pPr>
      <w:pStyle w:val="5"/>
      <w:rPr>
        <w:sz w:val="28"/>
        <w:szCs w:val="28"/>
      </w:rPr>
    </w:pPr>
    <w:r>
      <w:rPr>
        <w:rFonts w:hint="eastAsia"/>
        <w:color w:val="FFFFFF"/>
        <w:sz w:val="28"/>
        <w:szCs w:val="28"/>
      </w:rPr>
      <w:t>—</w:t>
    </w: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w:t>
    </w:r>
    <w:r>
      <w:rPr>
        <w:sz w:val="28"/>
        <w:szCs w:val="28"/>
      </w:rPr>
      <w:fldChar w:fldCharType="end"/>
    </w:r>
    <w:r>
      <w:rPr>
        <w:rFonts w:hint="eastAsia"/>
        <w:sz w:val="28"/>
        <w:szCs w:val="28"/>
      </w:rPr>
      <w:t xml:space="preserve"> —</w:t>
    </w:r>
  </w:p>
  <w:p w14:paraId="108F81D8">
    <w:pPr>
      <w:pStyle w:val="5"/>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E68DA6"/>
    <w:multiLevelType w:val="singleLevel"/>
    <w:tmpl w:val="B4E68DA6"/>
    <w:lvl w:ilvl="0" w:tentative="0">
      <w:start w:val="3"/>
      <w:numFmt w:val="decimal"/>
      <w:lvlText w:val="%1."/>
      <w:lvlJc w:val="left"/>
      <w:pPr>
        <w:tabs>
          <w:tab w:val="left" w:pos="312"/>
        </w:tabs>
      </w:pPr>
    </w:lvl>
  </w:abstractNum>
  <w:abstractNum w:abstractNumId="1">
    <w:nsid w:val="EAD48D21"/>
    <w:multiLevelType w:val="singleLevel"/>
    <w:tmpl w:val="EAD48D21"/>
    <w:lvl w:ilvl="0" w:tentative="0">
      <w:start w:val="2"/>
      <w:numFmt w:val="chineseCounting"/>
      <w:suff w:val="nothing"/>
      <w:lvlText w:val="（%1）"/>
      <w:lvlJc w:val="left"/>
      <w:rPr>
        <w:rFonts w:hint="eastAsia"/>
      </w:rPr>
    </w:lvl>
  </w:abstractNum>
  <w:abstractNum w:abstractNumId="2">
    <w:nsid w:val="6BDC7738"/>
    <w:multiLevelType w:val="singleLevel"/>
    <w:tmpl w:val="6BDC7738"/>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0C8"/>
    <w:rsid w:val="000035AA"/>
    <w:rsid w:val="00016D27"/>
    <w:rsid w:val="00016E93"/>
    <w:rsid w:val="000276A3"/>
    <w:rsid w:val="00035514"/>
    <w:rsid w:val="00061E7E"/>
    <w:rsid w:val="00071507"/>
    <w:rsid w:val="000A2989"/>
    <w:rsid w:val="000B1917"/>
    <w:rsid w:val="000B7067"/>
    <w:rsid w:val="000D2ED4"/>
    <w:rsid w:val="000D729E"/>
    <w:rsid w:val="000E0170"/>
    <w:rsid w:val="000E6E74"/>
    <w:rsid w:val="00101F08"/>
    <w:rsid w:val="00127D58"/>
    <w:rsid w:val="00133A22"/>
    <w:rsid w:val="0014659F"/>
    <w:rsid w:val="00151568"/>
    <w:rsid w:val="001550D7"/>
    <w:rsid w:val="00157D65"/>
    <w:rsid w:val="00186786"/>
    <w:rsid w:val="0019238E"/>
    <w:rsid w:val="0019434E"/>
    <w:rsid w:val="001C124F"/>
    <w:rsid w:val="001C492C"/>
    <w:rsid w:val="001F3FB0"/>
    <w:rsid w:val="00204B69"/>
    <w:rsid w:val="00214F56"/>
    <w:rsid w:val="00242FCC"/>
    <w:rsid w:val="00245984"/>
    <w:rsid w:val="00247A26"/>
    <w:rsid w:val="00247F9A"/>
    <w:rsid w:val="00277D15"/>
    <w:rsid w:val="00292D76"/>
    <w:rsid w:val="002A510C"/>
    <w:rsid w:val="002A7F53"/>
    <w:rsid w:val="002B28D3"/>
    <w:rsid w:val="002B6FA2"/>
    <w:rsid w:val="002F2CC3"/>
    <w:rsid w:val="00317B5D"/>
    <w:rsid w:val="003330A7"/>
    <w:rsid w:val="003340CE"/>
    <w:rsid w:val="0035031B"/>
    <w:rsid w:val="00351116"/>
    <w:rsid w:val="00352FFE"/>
    <w:rsid w:val="0036326B"/>
    <w:rsid w:val="0039001D"/>
    <w:rsid w:val="003B452F"/>
    <w:rsid w:val="003C2FA0"/>
    <w:rsid w:val="003C4A36"/>
    <w:rsid w:val="003D08E2"/>
    <w:rsid w:val="003E7CB8"/>
    <w:rsid w:val="00405AE4"/>
    <w:rsid w:val="004218DC"/>
    <w:rsid w:val="00425351"/>
    <w:rsid w:val="00434E79"/>
    <w:rsid w:val="00453B18"/>
    <w:rsid w:val="00472E7C"/>
    <w:rsid w:val="00486321"/>
    <w:rsid w:val="00486928"/>
    <w:rsid w:val="004A48F4"/>
    <w:rsid w:val="004C69F7"/>
    <w:rsid w:val="004D7576"/>
    <w:rsid w:val="004E217C"/>
    <w:rsid w:val="004F27D3"/>
    <w:rsid w:val="005410CE"/>
    <w:rsid w:val="00553F2B"/>
    <w:rsid w:val="0056324D"/>
    <w:rsid w:val="00564625"/>
    <w:rsid w:val="00564D73"/>
    <w:rsid w:val="0056661D"/>
    <w:rsid w:val="00593C49"/>
    <w:rsid w:val="005A42F9"/>
    <w:rsid w:val="005B0AD3"/>
    <w:rsid w:val="005B404F"/>
    <w:rsid w:val="005B7736"/>
    <w:rsid w:val="005C47C0"/>
    <w:rsid w:val="005D20CB"/>
    <w:rsid w:val="005D7D24"/>
    <w:rsid w:val="005E7595"/>
    <w:rsid w:val="005F4ADA"/>
    <w:rsid w:val="00600ED6"/>
    <w:rsid w:val="006052CA"/>
    <w:rsid w:val="00611EC2"/>
    <w:rsid w:val="00612531"/>
    <w:rsid w:val="00624F44"/>
    <w:rsid w:val="006428CA"/>
    <w:rsid w:val="00647A09"/>
    <w:rsid w:val="00653C7E"/>
    <w:rsid w:val="0067038A"/>
    <w:rsid w:val="00673EAB"/>
    <w:rsid w:val="00685EAE"/>
    <w:rsid w:val="00690209"/>
    <w:rsid w:val="006D3D5E"/>
    <w:rsid w:val="006D72B6"/>
    <w:rsid w:val="006E0E17"/>
    <w:rsid w:val="006E50C3"/>
    <w:rsid w:val="00723D6A"/>
    <w:rsid w:val="00727597"/>
    <w:rsid w:val="00735046"/>
    <w:rsid w:val="00755786"/>
    <w:rsid w:val="0075711E"/>
    <w:rsid w:val="00766F07"/>
    <w:rsid w:val="00790D73"/>
    <w:rsid w:val="007B409A"/>
    <w:rsid w:val="007C3C07"/>
    <w:rsid w:val="007C6805"/>
    <w:rsid w:val="007C72C1"/>
    <w:rsid w:val="007E06FA"/>
    <w:rsid w:val="007F6C62"/>
    <w:rsid w:val="008044C1"/>
    <w:rsid w:val="0080477E"/>
    <w:rsid w:val="0080591C"/>
    <w:rsid w:val="008121D0"/>
    <w:rsid w:val="00840DEF"/>
    <w:rsid w:val="00845649"/>
    <w:rsid w:val="008457F1"/>
    <w:rsid w:val="00845A0E"/>
    <w:rsid w:val="00855D7F"/>
    <w:rsid w:val="00863C35"/>
    <w:rsid w:val="0086645B"/>
    <w:rsid w:val="008857B8"/>
    <w:rsid w:val="008903AC"/>
    <w:rsid w:val="008A04C1"/>
    <w:rsid w:val="008C461A"/>
    <w:rsid w:val="008C5ECE"/>
    <w:rsid w:val="008C650D"/>
    <w:rsid w:val="008C74C4"/>
    <w:rsid w:val="008D1A51"/>
    <w:rsid w:val="008F6D31"/>
    <w:rsid w:val="00917432"/>
    <w:rsid w:val="00926229"/>
    <w:rsid w:val="00930514"/>
    <w:rsid w:val="00944679"/>
    <w:rsid w:val="009522E6"/>
    <w:rsid w:val="0097437D"/>
    <w:rsid w:val="009869EE"/>
    <w:rsid w:val="00991BF3"/>
    <w:rsid w:val="009A1829"/>
    <w:rsid w:val="009A2DB4"/>
    <w:rsid w:val="009D276E"/>
    <w:rsid w:val="009D2B27"/>
    <w:rsid w:val="009D2EC7"/>
    <w:rsid w:val="009D71F0"/>
    <w:rsid w:val="009D7C65"/>
    <w:rsid w:val="009F3D61"/>
    <w:rsid w:val="00A02ED2"/>
    <w:rsid w:val="00A03AD8"/>
    <w:rsid w:val="00A141BD"/>
    <w:rsid w:val="00A24E9C"/>
    <w:rsid w:val="00A254E3"/>
    <w:rsid w:val="00A30AB5"/>
    <w:rsid w:val="00A3384F"/>
    <w:rsid w:val="00A351E7"/>
    <w:rsid w:val="00A44F43"/>
    <w:rsid w:val="00A46784"/>
    <w:rsid w:val="00A55872"/>
    <w:rsid w:val="00A62362"/>
    <w:rsid w:val="00A646C6"/>
    <w:rsid w:val="00A65BFC"/>
    <w:rsid w:val="00A77414"/>
    <w:rsid w:val="00A7794B"/>
    <w:rsid w:val="00A8280B"/>
    <w:rsid w:val="00A82CA2"/>
    <w:rsid w:val="00A86A1D"/>
    <w:rsid w:val="00A9630B"/>
    <w:rsid w:val="00AC2D33"/>
    <w:rsid w:val="00AE0D03"/>
    <w:rsid w:val="00AE577F"/>
    <w:rsid w:val="00AF607A"/>
    <w:rsid w:val="00B10065"/>
    <w:rsid w:val="00B11072"/>
    <w:rsid w:val="00B25838"/>
    <w:rsid w:val="00B3599F"/>
    <w:rsid w:val="00B464E9"/>
    <w:rsid w:val="00B51733"/>
    <w:rsid w:val="00B51EAC"/>
    <w:rsid w:val="00B55A71"/>
    <w:rsid w:val="00B60176"/>
    <w:rsid w:val="00B65958"/>
    <w:rsid w:val="00B666A2"/>
    <w:rsid w:val="00B84EF7"/>
    <w:rsid w:val="00BA00D5"/>
    <w:rsid w:val="00BA1FC7"/>
    <w:rsid w:val="00BA55B8"/>
    <w:rsid w:val="00BB46B2"/>
    <w:rsid w:val="00BD23A2"/>
    <w:rsid w:val="00BE16F8"/>
    <w:rsid w:val="00C006B9"/>
    <w:rsid w:val="00C11BD2"/>
    <w:rsid w:val="00C13963"/>
    <w:rsid w:val="00C1570A"/>
    <w:rsid w:val="00C22D5F"/>
    <w:rsid w:val="00C2580B"/>
    <w:rsid w:val="00C33111"/>
    <w:rsid w:val="00C36C94"/>
    <w:rsid w:val="00C36EAE"/>
    <w:rsid w:val="00C57201"/>
    <w:rsid w:val="00C578A0"/>
    <w:rsid w:val="00C81D34"/>
    <w:rsid w:val="00C8230C"/>
    <w:rsid w:val="00C92BC0"/>
    <w:rsid w:val="00CA2B21"/>
    <w:rsid w:val="00CA466F"/>
    <w:rsid w:val="00CC6505"/>
    <w:rsid w:val="00CE0B5A"/>
    <w:rsid w:val="00CE7A0B"/>
    <w:rsid w:val="00CF3E51"/>
    <w:rsid w:val="00D03FFD"/>
    <w:rsid w:val="00D0628A"/>
    <w:rsid w:val="00D1236C"/>
    <w:rsid w:val="00D22484"/>
    <w:rsid w:val="00D371B3"/>
    <w:rsid w:val="00D53A64"/>
    <w:rsid w:val="00D61B72"/>
    <w:rsid w:val="00D656E6"/>
    <w:rsid w:val="00D717A0"/>
    <w:rsid w:val="00D818AE"/>
    <w:rsid w:val="00DC42BB"/>
    <w:rsid w:val="00DD5C43"/>
    <w:rsid w:val="00DD7BDF"/>
    <w:rsid w:val="00DF1936"/>
    <w:rsid w:val="00E05A99"/>
    <w:rsid w:val="00E31CA3"/>
    <w:rsid w:val="00E41A1A"/>
    <w:rsid w:val="00E63053"/>
    <w:rsid w:val="00E73776"/>
    <w:rsid w:val="00E8363E"/>
    <w:rsid w:val="00EC08B5"/>
    <w:rsid w:val="00ED2031"/>
    <w:rsid w:val="00ED2321"/>
    <w:rsid w:val="00ED65E7"/>
    <w:rsid w:val="00EF5D94"/>
    <w:rsid w:val="00F01B12"/>
    <w:rsid w:val="00F04A24"/>
    <w:rsid w:val="00F21C1E"/>
    <w:rsid w:val="00F33350"/>
    <w:rsid w:val="00F64776"/>
    <w:rsid w:val="00F6624B"/>
    <w:rsid w:val="00F8685B"/>
    <w:rsid w:val="00FA1217"/>
    <w:rsid w:val="00FA60C8"/>
    <w:rsid w:val="00FD22E5"/>
    <w:rsid w:val="00FD443E"/>
    <w:rsid w:val="00FD754D"/>
    <w:rsid w:val="00FF6452"/>
    <w:rsid w:val="011C6426"/>
    <w:rsid w:val="04CD56ED"/>
    <w:rsid w:val="05791EDF"/>
    <w:rsid w:val="07A174CB"/>
    <w:rsid w:val="095D4FBB"/>
    <w:rsid w:val="0C0D7AE6"/>
    <w:rsid w:val="0C9B098C"/>
    <w:rsid w:val="0D2B1B3C"/>
    <w:rsid w:val="0E907D63"/>
    <w:rsid w:val="0EED03AB"/>
    <w:rsid w:val="11DC0778"/>
    <w:rsid w:val="14357918"/>
    <w:rsid w:val="143C14DB"/>
    <w:rsid w:val="15C0614D"/>
    <w:rsid w:val="166F14EF"/>
    <w:rsid w:val="19381B3D"/>
    <w:rsid w:val="1A2E797D"/>
    <w:rsid w:val="1AE94D86"/>
    <w:rsid w:val="1B3B0C74"/>
    <w:rsid w:val="1DAB4A5C"/>
    <w:rsid w:val="1DC00C58"/>
    <w:rsid w:val="1E460FB4"/>
    <w:rsid w:val="1EE42C61"/>
    <w:rsid w:val="1F2D3265"/>
    <w:rsid w:val="1F54659D"/>
    <w:rsid w:val="1F663A80"/>
    <w:rsid w:val="20E26732"/>
    <w:rsid w:val="21897A97"/>
    <w:rsid w:val="218E23BA"/>
    <w:rsid w:val="21E14C3C"/>
    <w:rsid w:val="23097387"/>
    <w:rsid w:val="23441587"/>
    <w:rsid w:val="24F0339E"/>
    <w:rsid w:val="260A382F"/>
    <w:rsid w:val="26422B47"/>
    <w:rsid w:val="26B0482C"/>
    <w:rsid w:val="281832D7"/>
    <w:rsid w:val="28A9474B"/>
    <w:rsid w:val="28E61DBE"/>
    <w:rsid w:val="29051A67"/>
    <w:rsid w:val="291B4ED7"/>
    <w:rsid w:val="295247C8"/>
    <w:rsid w:val="29F14E6E"/>
    <w:rsid w:val="2A9071E3"/>
    <w:rsid w:val="2B714350"/>
    <w:rsid w:val="2C6676A8"/>
    <w:rsid w:val="2CEA2C27"/>
    <w:rsid w:val="2D3227EF"/>
    <w:rsid w:val="2D802311"/>
    <w:rsid w:val="2E2B5C34"/>
    <w:rsid w:val="2EAD780A"/>
    <w:rsid w:val="2F322CAE"/>
    <w:rsid w:val="2F6B30D6"/>
    <w:rsid w:val="31FC4E78"/>
    <w:rsid w:val="320139A8"/>
    <w:rsid w:val="32B617CD"/>
    <w:rsid w:val="33901E91"/>
    <w:rsid w:val="34686128"/>
    <w:rsid w:val="349F62E5"/>
    <w:rsid w:val="35650896"/>
    <w:rsid w:val="36BF3E5B"/>
    <w:rsid w:val="37BC3DE3"/>
    <w:rsid w:val="381316D1"/>
    <w:rsid w:val="392C708D"/>
    <w:rsid w:val="3B9C567A"/>
    <w:rsid w:val="3BD6332E"/>
    <w:rsid w:val="3E265500"/>
    <w:rsid w:val="3E722DCC"/>
    <w:rsid w:val="40443FF4"/>
    <w:rsid w:val="40782D59"/>
    <w:rsid w:val="437221A3"/>
    <w:rsid w:val="46E77273"/>
    <w:rsid w:val="4B125CE2"/>
    <w:rsid w:val="4BED3223"/>
    <w:rsid w:val="4DAE4BFB"/>
    <w:rsid w:val="502B1DAC"/>
    <w:rsid w:val="51B4583E"/>
    <w:rsid w:val="53373F3A"/>
    <w:rsid w:val="55794E53"/>
    <w:rsid w:val="5588094F"/>
    <w:rsid w:val="578D3162"/>
    <w:rsid w:val="57F4510A"/>
    <w:rsid w:val="57F96AA6"/>
    <w:rsid w:val="59392AAA"/>
    <w:rsid w:val="59A04B2B"/>
    <w:rsid w:val="59BB53FC"/>
    <w:rsid w:val="5A4D5274"/>
    <w:rsid w:val="5E2305BE"/>
    <w:rsid w:val="60466718"/>
    <w:rsid w:val="60695BDC"/>
    <w:rsid w:val="60AE3E7D"/>
    <w:rsid w:val="60BF20DA"/>
    <w:rsid w:val="60D732FF"/>
    <w:rsid w:val="61532E5B"/>
    <w:rsid w:val="617E089A"/>
    <w:rsid w:val="629B1E0E"/>
    <w:rsid w:val="635B3574"/>
    <w:rsid w:val="64FA32E7"/>
    <w:rsid w:val="64FF0A58"/>
    <w:rsid w:val="6703531F"/>
    <w:rsid w:val="679E5B06"/>
    <w:rsid w:val="67C84003"/>
    <w:rsid w:val="67E97757"/>
    <w:rsid w:val="692509B2"/>
    <w:rsid w:val="6A2359B7"/>
    <w:rsid w:val="6A8464C0"/>
    <w:rsid w:val="6C3606F4"/>
    <w:rsid w:val="6D6E66B4"/>
    <w:rsid w:val="6EFD29BE"/>
    <w:rsid w:val="6F7246F2"/>
    <w:rsid w:val="6F950960"/>
    <w:rsid w:val="707D50FC"/>
    <w:rsid w:val="71D92806"/>
    <w:rsid w:val="736727C1"/>
    <w:rsid w:val="743A35AD"/>
    <w:rsid w:val="776B18B8"/>
    <w:rsid w:val="778A32FD"/>
    <w:rsid w:val="779A5E91"/>
    <w:rsid w:val="779E3E86"/>
    <w:rsid w:val="77E353A3"/>
    <w:rsid w:val="784652AB"/>
    <w:rsid w:val="785538C8"/>
    <w:rsid w:val="79CF2B61"/>
    <w:rsid w:val="7A623463"/>
    <w:rsid w:val="7A625DBD"/>
    <w:rsid w:val="7B8C1417"/>
    <w:rsid w:val="7E736682"/>
    <w:rsid w:val="7E9815D8"/>
    <w:rsid w:val="7F802D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annotation text"/>
    <w:basedOn w:val="1"/>
    <w:link w:val="13"/>
    <w:qFormat/>
    <w:uiPriority w:val="0"/>
    <w:pPr>
      <w:jc w:val="left"/>
    </w:pPr>
  </w:style>
  <w:style w:type="paragraph" w:styleId="4">
    <w:name w:val="Balloon Text"/>
    <w:basedOn w:val="1"/>
    <w:semiHidden/>
    <w:qFormat/>
    <w:uiPriority w:val="0"/>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6"/>
    <w:qFormat/>
    <w:uiPriority w:val="0"/>
    <w:rPr>
      <w:b/>
      <w:bCs/>
    </w:rPr>
  </w:style>
  <w:style w:type="character" w:styleId="10">
    <w:name w:val="page number"/>
    <w:qFormat/>
    <w:uiPriority w:val="0"/>
  </w:style>
  <w:style w:type="character" w:styleId="11">
    <w:name w:val="line number"/>
    <w:qFormat/>
    <w:uiPriority w:val="0"/>
  </w:style>
  <w:style w:type="character" w:styleId="12">
    <w:name w:val="annotation reference"/>
    <w:qFormat/>
    <w:uiPriority w:val="0"/>
    <w:rPr>
      <w:sz w:val="21"/>
      <w:szCs w:val="21"/>
    </w:rPr>
  </w:style>
  <w:style w:type="character" w:customStyle="1" w:styleId="13">
    <w:name w:val="批注文字 字符"/>
    <w:link w:val="3"/>
    <w:qFormat/>
    <w:uiPriority w:val="0"/>
    <w:rPr>
      <w:kern w:val="2"/>
      <w:sz w:val="21"/>
      <w:szCs w:val="24"/>
    </w:rPr>
  </w:style>
  <w:style w:type="character" w:customStyle="1" w:styleId="14">
    <w:name w:val="页脚 字符"/>
    <w:link w:val="5"/>
    <w:qFormat/>
    <w:uiPriority w:val="99"/>
    <w:rPr>
      <w:kern w:val="2"/>
      <w:sz w:val="18"/>
      <w:szCs w:val="18"/>
    </w:rPr>
  </w:style>
  <w:style w:type="character" w:customStyle="1" w:styleId="15">
    <w:name w:val="页眉 字符"/>
    <w:link w:val="6"/>
    <w:qFormat/>
    <w:uiPriority w:val="99"/>
    <w:rPr>
      <w:kern w:val="2"/>
      <w:sz w:val="18"/>
      <w:szCs w:val="18"/>
    </w:rPr>
  </w:style>
  <w:style w:type="character" w:customStyle="1" w:styleId="16">
    <w:name w:val="批注主题 字符"/>
    <w:link w:val="7"/>
    <w:qFormat/>
    <w:uiPriority w:val="0"/>
    <w:rPr>
      <w:b/>
      <w:bCs/>
      <w:kern w:val="2"/>
      <w:sz w:val="21"/>
      <w:szCs w:val="24"/>
    </w:rPr>
  </w:style>
  <w:style w:type="paragraph" w:styleId="17">
    <w:name w:val="List Paragraph"/>
    <w:basedOn w:val="1"/>
    <w:qFormat/>
    <w:uiPriority w:val="34"/>
    <w:pPr>
      <w:ind w:firstLine="420" w:firstLineChars="200"/>
    </w:pPr>
    <w:rPr>
      <w:rFonts w:ascii="Calibri" w:hAnsi="Calibri"/>
      <w:szCs w:val="22"/>
    </w:rPr>
  </w:style>
  <w:style w:type="paragraph" w:styleId="18">
    <w:name w:val="No Spacing"/>
    <w:qFormat/>
    <w:uiPriority w:val="0"/>
    <w:pPr>
      <w:adjustRightInd w:val="0"/>
      <w:snapToGrid w:val="0"/>
    </w:pPr>
    <w:rPr>
      <w:rFonts w:ascii="Tahoma" w:hAnsi="Tahoma" w:eastAsia="微软雅黑" w:cs="Times New Roman"/>
      <w:sz w:val="22"/>
      <w:szCs w:val="22"/>
      <w:lang w:val="en-US" w:eastAsia="zh-CN" w:bidi="ar-SA"/>
    </w:rPr>
  </w:style>
  <w:style w:type="paragraph" w:customStyle="1" w:styleId="19">
    <w:name w:val="列出段落2"/>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8999</Words>
  <Characters>9915</Characters>
  <Lines>335</Lines>
  <Paragraphs>288</Paragraphs>
  <TotalTime>13</TotalTime>
  <ScaleCrop>false</ScaleCrop>
  <LinksUpToDate>false</LinksUpToDate>
  <CharactersWithSpaces>9993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2025-12-03T01:05:00Z</dcterms:created>
  <dc:creator>Xtzj.User</dc:creator>
  <cp:lastModifiedBy>1</cp:lastModifiedBy>
  <cp:lastPrinted>2018-05-30T06:30:00Z</cp:lastPrinted>
  <dcterms:modified xsi:type="dcterms:W3CDTF">2026-01-15T01:17:36Z</dcterms:modified>
  <dc:title>（局发文式样）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053263971978442AB2551B8BCB80BA40_13</vt:lpwstr>
  </property>
  <property fmtid="{D5CDD505-2E9C-101B-9397-08002B2CF9AE}" pid="4" name="KSOTemplateDocerSaveRecord">
    <vt:lpwstr>eyJoZGlkIjoiYzc0ZjM3NmY2NTVjMjM5YWU3MGZjYTdhZmMwMDRmZWIiLCJ1c2VySWQiOiI3NTE1NDgxNTIifQ==</vt:lpwstr>
  </property>
</Properties>
</file>