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99890">
      <w:pPr>
        <w:spacing w:line="640" w:lineRule="exact"/>
        <w:ind w:right="-67" w:rightChars="-32"/>
        <w:jc w:val="left"/>
        <w:rPr>
          <w:rFonts w:eastAsia="黑体"/>
          <w:bCs/>
          <w:sz w:val="32"/>
          <w:szCs w:val="32"/>
        </w:rPr>
      </w:pPr>
      <w:r>
        <w:rPr>
          <w:rFonts w:hint="eastAsia" w:ascii="黑体" w:hAnsi="黑体" w:eastAsia="黑体"/>
          <w:bCs/>
          <w:sz w:val="32"/>
          <w:szCs w:val="32"/>
        </w:rPr>
        <w:t>附件</w:t>
      </w:r>
      <w:r>
        <w:rPr>
          <w:rFonts w:hint="eastAsia" w:eastAsia="黑体"/>
          <w:bCs/>
          <w:sz w:val="32"/>
          <w:szCs w:val="32"/>
        </w:rPr>
        <w:t>1</w:t>
      </w:r>
    </w:p>
    <w:p w14:paraId="5E0E9704">
      <w:pPr>
        <w:spacing w:line="640" w:lineRule="exact"/>
        <w:ind w:right="-67" w:rightChars="-32"/>
        <w:jc w:val="left"/>
        <w:rPr>
          <w:rFonts w:ascii="黑体" w:hAnsi="黑体" w:eastAsia="黑体"/>
          <w:bCs/>
          <w:sz w:val="32"/>
          <w:szCs w:val="32"/>
        </w:rPr>
      </w:pPr>
    </w:p>
    <w:p w14:paraId="70C451F6">
      <w:pPr>
        <w:spacing w:line="640" w:lineRule="exact"/>
        <w:ind w:right="-67" w:rightChars="-32"/>
        <w:jc w:val="center"/>
        <w:rPr>
          <w:rFonts w:eastAsia="方正小标宋简体"/>
          <w:bCs/>
          <w:sz w:val="44"/>
          <w:szCs w:val="44"/>
        </w:rPr>
      </w:pPr>
      <w:r>
        <w:rPr>
          <w:rFonts w:hint="eastAsia" w:eastAsia="方正小标宋简体"/>
          <w:bCs/>
          <w:sz w:val="44"/>
          <w:szCs w:val="44"/>
        </w:rPr>
        <w:t>手术显微镜注册审查指导原则</w:t>
      </w:r>
    </w:p>
    <w:p w14:paraId="36893E95">
      <w:pPr>
        <w:spacing w:line="640" w:lineRule="exact"/>
        <w:ind w:right="-67" w:rightChars="-32"/>
        <w:jc w:val="center"/>
        <w:rPr>
          <w:rFonts w:eastAsia="方正小标宋简体"/>
          <w:bCs/>
          <w:sz w:val="44"/>
          <w:szCs w:val="44"/>
        </w:rPr>
      </w:pPr>
      <w:r>
        <w:rPr>
          <w:rFonts w:hint="eastAsia" w:eastAsia="方正小标宋简体"/>
          <w:bCs/>
          <w:sz w:val="44"/>
          <w:szCs w:val="44"/>
        </w:rPr>
        <w:t>（2025年修订版）</w:t>
      </w:r>
    </w:p>
    <w:p w14:paraId="4A32A97A">
      <w:pPr>
        <w:spacing w:line="480" w:lineRule="exact"/>
        <w:ind w:right="-67" w:rightChars="-32"/>
        <w:jc w:val="center"/>
        <w:rPr>
          <w:sz w:val="36"/>
          <w:szCs w:val="36"/>
        </w:rPr>
      </w:pPr>
    </w:p>
    <w:p w14:paraId="149C94E0">
      <w:pPr>
        <w:spacing w:line="480" w:lineRule="exact"/>
        <w:ind w:right="-67" w:rightChars="-32" w:firstLine="640" w:firstLineChars="200"/>
        <w:rPr>
          <w:rFonts w:eastAsia="仿宋_GB2312"/>
          <w:sz w:val="32"/>
          <w:szCs w:val="32"/>
        </w:rPr>
      </w:pPr>
      <w:r>
        <w:rPr>
          <w:rFonts w:hint="eastAsia" w:eastAsia="仿宋_GB2312"/>
          <w:sz w:val="32"/>
          <w:szCs w:val="32"/>
        </w:rPr>
        <w:t>本指导原则旨在指导注册申请人对手术显微镜产品注册申报资料的准备及撰写，同时也为技术审评部门审评注册申报资料提供参考。</w:t>
      </w:r>
    </w:p>
    <w:p w14:paraId="560809E6">
      <w:pPr>
        <w:spacing w:line="480" w:lineRule="exact"/>
        <w:ind w:right="-67" w:rightChars="-32" w:firstLine="640" w:firstLineChars="200"/>
        <w:rPr>
          <w:rFonts w:eastAsia="仿宋_GB2312"/>
          <w:sz w:val="32"/>
          <w:szCs w:val="32"/>
        </w:rPr>
      </w:pPr>
      <w:r>
        <w:rPr>
          <w:rFonts w:hint="eastAsia" w:eastAsia="仿宋_GB2312"/>
          <w:sz w:val="32"/>
          <w:szCs w:val="32"/>
        </w:rPr>
        <w:t>本指导原则是对手术显微镜的一般要求，申请人应依据产品的具体特性确定相关内容是否适用。若不适用，需具体阐述理由及相应的科学依据，并依据产品的具体特性对注册申报资料的内容进行充实和细化。</w:t>
      </w:r>
    </w:p>
    <w:p w14:paraId="0D70A30F">
      <w:pPr>
        <w:spacing w:line="480" w:lineRule="exact"/>
        <w:ind w:right="-67" w:rightChars="-32" w:firstLine="640" w:firstLineChars="200"/>
        <w:rPr>
          <w:rFonts w:eastAsia="仿宋_GB2312"/>
          <w:sz w:val="32"/>
          <w:szCs w:val="32"/>
        </w:rPr>
      </w:pPr>
      <w:r>
        <w:rPr>
          <w:rFonts w:hint="eastAsia" w:eastAsia="仿宋_GB2312"/>
          <w:sz w:val="32"/>
          <w:szCs w:val="32"/>
        </w:rPr>
        <w:t>本指导原则是供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352C3C82">
      <w:pPr>
        <w:spacing w:line="480" w:lineRule="exact"/>
        <w:ind w:right="-67" w:rightChars="-32" w:firstLine="640" w:firstLineChars="200"/>
        <w:rPr>
          <w:rFonts w:eastAsia="仿宋_GB2312"/>
          <w:sz w:val="32"/>
          <w:szCs w:val="32"/>
        </w:rPr>
      </w:pPr>
      <w:r>
        <w:rPr>
          <w:rFonts w:hint="eastAsia" w:eastAsia="仿宋_GB2312"/>
          <w:sz w:val="32"/>
          <w:szCs w:val="32"/>
        </w:rPr>
        <w:t>本指导原则是在现行法规和标准体系以及当前认知水平下制定，随着法规和标准的不断完善，以及科学技术的不断发展，相关内容也将适时进行调整。</w:t>
      </w:r>
    </w:p>
    <w:p w14:paraId="7D1A1AB1">
      <w:pPr>
        <w:spacing w:line="480" w:lineRule="exact"/>
        <w:ind w:right="-67" w:rightChars="-32" w:firstLine="640" w:firstLineChars="200"/>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适用范围</w:t>
      </w:r>
    </w:p>
    <w:p w14:paraId="6D7F05D6">
      <w:pPr>
        <w:spacing w:line="480" w:lineRule="exact"/>
        <w:ind w:right="-67" w:rightChars="-32" w:firstLine="640" w:firstLineChars="200"/>
        <w:rPr>
          <w:rFonts w:eastAsia="仿宋_GB2312"/>
          <w:sz w:val="32"/>
          <w:szCs w:val="32"/>
        </w:rPr>
      </w:pPr>
      <w:r>
        <w:rPr>
          <w:rFonts w:hint="eastAsia" w:eastAsia="仿宋_GB2312"/>
          <w:sz w:val="32"/>
          <w:szCs w:val="32"/>
        </w:rPr>
        <w:t>本指导原则适用于《医疗器械分类目录》中涉及在显微手术和诊断治疗时用于观察的手术显微镜，管理类别为二类，产品分类编码为06-13-04（医用成像器械-光学成像诊断设备-手术显微镜（非眼科））、16-05-05（眼科器械—眼科治疗和手术设备、辅助器具-其他眼科治疗和手术设备）。</w:t>
      </w:r>
    </w:p>
    <w:p w14:paraId="3D0FE797">
      <w:pPr>
        <w:spacing w:line="480" w:lineRule="exact"/>
        <w:ind w:right="-67" w:rightChars="-32" w:firstLine="640" w:firstLineChars="200"/>
        <w:rPr>
          <w:rFonts w:eastAsia="仿宋_GB2312"/>
          <w:sz w:val="32"/>
          <w:szCs w:val="32"/>
        </w:rPr>
      </w:pPr>
      <w:r>
        <w:rPr>
          <w:rFonts w:hint="eastAsia" w:eastAsia="仿宋_GB2312"/>
          <w:sz w:val="32"/>
          <w:szCs w:val="32"/>
        </w:rPr>
        <w:t>本指导原则不包含带有荧光造影功能</w:t>
      </w:r>
      <w:r>
        <w:rPr>
          <w:rFonts w:hint="eastAsia" w:eastAsia="仿宋_GB2312"/>
          <w:sz w:val="32"/>
          <w:szCs w:val="32"/>
          <w:lang w:eastAsia="zh-CN"/>
        </w:rPr>
        <w:t>、三维成像功能</w:t>
      </w:r>
      <w:r>
        <w:rPr>
          <w:rFonts w:hint="eastAsia" w:eastAsia="仿宋_GB2312"/>
          <w:sz w:val="32"/>
          <w:szCs w:val="32"/>
        </w:rPr>
        <w:t>的手术显微镜。</w:t>
      </w:r>
    </w:p>
    <w:p w14:paraId="263467A5">
      <w:pPr>
        <w:spacing w:line="480" w:lineRule="exact"/>
        <w:ind w:right="-67" w:rightChars="-32"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注册</w:t>
      </w:r>
      <w:r>
        <w:rPr>
          <w:rFonts w:ascii="黑体" w:hAnsi="黑体" w:eastAsia="黑体"/>
          <w:sz w:val="32"/>
          <w:szCs w:val="32"/>
        </w:rPr>
        <w:t>审查要点</w:t>
      </w:r>
    </w:p>
    <w:p w14:paraId="4378EBF9">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监管信息</w:t>
      </w:r>
    </w:p>
    <w:p w14:paraId="110190CB">
      <w:pPr>
        <w:spacing w:line="560" w:lineRule="exact"/>
        <w:ind w:firstLine="636" w:firstLineChars="200"/>
        <w:rPr>
          <w:rFonts w:eastAsia="仿宋_GB2312"/>
          <w:spacing w:val="-1"/>
          <w:sz w:val="32"/>
          <w:szCs w:val="32"/>
        </w:rPr>
      </w:pPr>
      <w:r>
        <w:rPr>
          <w:rFonts w:hint="eastAsia" w:eastAsia="仿宋_GB2312"/>
          <w:spacing w:val="-1"/>
          <w:sz w:val="32"/>
          <w:szCs w:val="32"/>
        </w:rPr>
        <w:t>1.产品名称要求</w:t>
      </w:r>
    </w:p>
    <w:p w14:paraId="041C6D5A">
      <w:pPr>
        <w:spacing w:line="560" w:lineRule="exact"/>
        <w:ind w:firstLine="636" w:firstLineChars="200"/>
        <w:rPr>
          <w:rFonts w:eastAsia="仿宋_GB2312"/>
          <w:spacing w:val="-1"/>
          <w:sz w:val="32"/>
          <w:szCs w:val="32"/>
        </w:rPr>
      </w:pPr>
      <w:r>
        <w:rPr>
          <w:rFonts w:hint="eastAsia" w:eastAsia="仿宋_GB2312"/>
          <w:spacing w:val="-1"/>
          <w:sz w:val="32"/>
          <w:szCs w:val="32"/>
        </w:rPr>
        <w:t>手术显微镜产品的命名应采用《医疗器械分类目录》和行业标准中的通用名称：手术显微镜，或依据《医疗器械通用名称命名规则》、《医用成像器械通用名称命名指导原则》、《眼科器械通用名称命名指导原则》采用以下命名结构：特征词+手术显微镜。</w:t>
      </w:r>
    </w:p>
    <w:p w14:paraId="519BD29C">
      <w:pPr>
        <w:spacing w:line="560" w:lineRule="exact"/>
        <w:ind w:firstLine="636" w:firstLineChars="200"/>
        <w:rPr>
          <w:rFonts w:eastAsia="仿宋_GB2312"/>
          <w:spacing w:val="-1"/>
          <w:sz w:val="32"/>
          <w:szCs w:val="32"/>
        </w:rPr>
      </w:pPr>
      <w:r>
        <w:rPr>
          <w:rFonts w:hint="eastAsia" w:eastAsia="仿宋_GB2312"/>
          <w:spacing w:val="-1"/>
          <w:sz w:val="32"/>
          <w:szCs w:val="32"/>
        </w:rPr>
        <w:t>在实际应用中常采用的产品名称为：手术显微镜、眼科手术显微镜。</w:t>
      </w:r>
    </w:p>
    <w:p w14:paraId="61EB9E5C">
      <w:pPr>
        <w:spacing w:line="560" w:lineRule="exact"/>
        <w:ind w:firstLine="636" w:firstLineChars="200"/>
        <w:rPr>
          <w:rFonts w:eastAsia="仿宋_GB2312"/>
          <w:spacing w:val="-1"/>
          <w:sz w:val="32"/>
          <w:szCs w:val="32"/>
        </w:rPr>
      </w:pPr>
      <w:r>
        <w:rPr>
          <w:rFonts w:hint="eastAsia" w:eastAsia="仿宋_GB2312"/>
          <w:spacing w:val="-1"/>
          <w:sz w:val="32"/>
          <w:szCs w:val="32"/>
        </w:rPr>
        <w:t>2.依据《医疗器械分类目录》，产品分类编码为06-13-04（医用成像器械-光学成像诊断设备-手术显微镜（非眼科））、16-05-05（眼科器械—眼科治疗和手术设备、辅助器具-其他眼科治疗和手术设备），管理类别为二类。</w:t>
      </w:r>
    </w:p>
    <w:p w14:paraId="27271AA5">
      <w:pPr>
        <w:spacing w:line="560" w:lineRule="exact"/>
        <w:ind w:firstLine="636" w:firstLineChars="200"/>
        <w:rPr>
          <w:rFonts w:eastAsia="仿宋_GB2312"/>
          <w:spacing w:val="-1"/>
          <w:sz w:val="32"/>
          <w:szCs w:val="32"/>
        </w:rPr>
      </w:pPr>
      <w:r>
        <w:rPr>
          <w:rFonts w:hint="eastAsia" w:eastAsia="仿宋_GB2312"/>
          <w:spacing w:val="-1"/>
          <w:sz w:val="32"/>
          <w:szCs w:val="32"/>
        </w:rPr>
        <w:t>3.注册单元划分的原则和实例</w:t>
      </w:r>
    </w:p>
    <w:p w14:paraId="22360303">
      <w:pPr>
        <w:spacing w:line="560" w:lineRule="exact"/>
        <w:ind w:firstLine="640" w:firstLineChars="200"/>
        <w:rPr>
          <w:rFonts w:eastAsia="仿宋_GB2312"/>
          <w:spacing w:val="-1"/>
          <w:sz w:val="32"/>
          <w:szCs w:val="32"/>
        </w:rPr>
      </w:pPr>
      <w:r>
        <w:rPr>
          <w:rFonts w:hint="eastAsia" w:eastAsia="仿宋_GB2312"/>
          <w:sz w:val="32"/>
          <w:szCs w:val="32"/>
        </w:rPr>
        <w:t>产品注册单元的划分需符合《医疗器械注册单元划分指导原则》的要求。</w:t>
      </w:r>
      <w:r>
        <w:rPr>
          <w:rFonts w:hint="eastAsia" w:eastAsia="仿宋_GB2312"/>
          <w:spacing w:val="-1"/>
          <w:sz w:val="32"/>
          <w:szCs w:val="32"/>
        </w:rPr>
        <w:t>手术显微镜的注册单元原则上以产品的工作原理、结构组成、性能指标和适用范围为划分依据。</w:t>
      </w:r>
    </w:p>
    <w:p w14:paraId="0D1E401E">
      <w:pPr>
        <w:spacing w:line="560" w:lineRule="exact"/>
        <w:ind w:firstLine="636" w:firstLineChars="200"/>
        <w:rPr>
          <w:rFonts w:eastAsia="仿宋_GB2312"/>
          <w:spacing w:val="-1"/>
          <w:sz w:val="32"/>
          <w:szCs w:val="32"/>
        </w:rPr>
      </w:pPr>
      <w:r>
        <w:rPr>
          <w:rFonts w:hint="eastAsia" w:eastAsia="仿宋_GB2312"/>
          <w:spacing w:val="-1"/>
          <w:sz w:val="32"/>
          <w:szCs w:val="32"/>
        </w:rPr>
        <w:t>3</w:t>
      </w:r>
      <w:r>
        <w:rPr>
          <w:rFonts w:eastAsia="仿宋_GB2312"/>
          <w:spacing w:val="-1"/>
          <w:sz w:val="32"/>
          <w:szCs w:val="32"/>
        </w:rPr>
        <w:t>.</w:t>
      </w:r>
      <w:r>
        <w:rPr>
          <w:rFonts w:hint="eastAsia" w:eastAsia="仿宋_GB2312"/>
          <w:spacing w:val="-1"/>
          <w:sz w:val="32"/>
          <w:szCs w:val="32"/>
        </w:rPr>
        <w:t>1产品光学原理不同的，应划分为不同的注册单元。如大物镜型手术显微镜和小物镜型手术显微镜应划分为不同的注册单元。</w:t>
      </w:r>
    </w:p>
    <w:p w14:paraId="5C8E70F3">
      <w:pPr>
        <w:spacing w:line="560" w:lineRule="exact"/>
        <w:ind w:firstLine="636" w:firstLineChars="200"/>
        <w:rPr>
          <w:rFonts w:eastAsia="仿宋_GB2312"/>
          <w:spacing w:val="-1"/>
          <w:sz w:val="32"/>
          <w:szCs w:val="32"/>
        </w:rPr>
      </w:pPr>
      <w:r>
        <w:rPr>
          <w:rFonts w:hint="eastAsia" w:eastAsia="仿宋_GB2312"/>
          <w:spacing w:val="-1"/>
          <w:sz w:val="32"/>
          <w:szCs w:val="32"/>
        </w:rPr>
        <w:t>3</w:t>
      </w:r>
      <w:r>
        <w:rPr>
          <w:rFonts w:eastAsia="仿宋_GB2312"/>
          <w:spacing w:val="-1"/>
          <w:sz w:val="32"/>
          <w:szCs w:val="32"/>
        </w:rPr>
        <w:t>.2</w:t>
      </w:r>
      <w:r>
        <w:rPr>
          <w:rFonts w:hint="eastAsia" w:eastAsia="仿宋_GB2312"/>
          <w:spacing w:val="-1"/>
          <w:sz w:val="32"/>
          <w:szCs w:val="32"/>
        </w:rPr>
        <w:t>结构设计不同的手术显微镜应划分为不同的注册单元。如：立式手术显微镜与吊顶式手术显微镜应划分为不同的注册单元。</w:t>
      </w:r>
    </w:p>
    <w:p w14:paraId="5F900101">
      <w:pPr>
        <w:spacing w:line="560" w:lineRule="exact"/>
        <w:ind w:firstLine="636" w:firstLineChars="200"/>
        <w:rPr>
          <w:rFonts w:eastAsia="仿宋_GB2312"/>
          <w:spacing w:val="-1"/>
          <w:sz w:val="32"/>
          <w:szCs w:val="32"/>
        </w:rPr>
      </w:pPr>
      <w:r>
        <w:rPr>
          <w:rFonts w:hint="eastAsia" w:eastAsia="仿宋_GB2312"/>
          <w:spacing w:val="-1"/>
          <w:sz w:val="32"/>
          <w:szCs w:val="32"/>
        </w:rPr>
        <w:t>3</w:t>
      </w:r>
      <w:r>
        <w:rPr>
          <w:rFonts w:eastAsia="仿宋_GB2312"/>
          <w:spacing w:val="-1"/>
          <w:sz w:val="32"/>
          <w:szCs w:val="32"/>
        </w:rPr>
        <w:t>.3</w:t>
      </w:r>
      <w:r>
        <w:rPr>
          <w:rFonts w:hint="eastAsia" w:eastAsia="仿宋_GB2312"/>
          <w:spacing w:val="-1"/>
          <w:sz w:val="32"/>
          <w:szCs w:val="32"/>
        </w:rPr>
        <w:t>预期用途不同，同时分类编码也不同的手术显微镜应划分为不同的注册单元。如：用于眼科的手术显微镜与用于其他科室的手术显微镜应划分为不同的注册单元。</w:t>
      </w:r>
    </w:p>
    <w:p w14:paraId="32835E54">
      <w:pPr>
        <w:spacing w:line="560" w:lineRule="exact"/>
        <w:ind w:firstLine="636" w:firstLineChars="200"/>
        <w:rPr>
          <w:rFonts w:eastAsia="仿宋_GB2312"/>
          <w:spacing w:val="-1"/>
          <w:sz w:val="32"/>
          <w:szCs w:val="32"/>
        </w:rPr>
      </w:pPr>
      <w:r>
        <w:rPr>
          <w:rFonts w:hint="eastAsia" w:eastAsia="仿宋_GB2312"/>
          <w:spacing w:val="-1"/>
          <w:sz w:val="32"/>
          <w:szCs w:val="32"/>
        </w:rPr>
        <w:t>3</w:t>
      </w:r>
      <w:r>
        <w:rPr>
          <w:rFonts w:eastAsia="仿宋_GB2312"/>
          <w:spacing w:val="-1"/>
          <w:sz w:val="32"/>
          <w:szCs w:val="32"/>
        </w:rPr>
        <w:t>.4</w:t>
      </w:r>
      <w:r>
        <w:rPr>
          <w:rFonts w:hint="eastAsia" w:eastAsia="仿宋_GB2312"/>
          <w:spacing w:val="-1"/>
          <w:sz w:val="32"/>
          <w:szCs w:val="32"/>
        </w:rPr>
        <w:t>主要性能指标不能覆盖、有较大差异的，应考虑划分不同注册单元。</w:t>
      </w:r>
    </w:p>
    <w:p w14:paraId="74C6839F">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综述资料</w:t>
      </w:r>
    </w:p>
    <w:p w14:paraId="7EB4530F">
      <w:pPr>
        <w:spacing w:line="560" w:lineRule="exact"/>
        <w:ind w:firstLine="636" w:firstLineChars="200"/>
        <w:rPr>
          <w:rFonts w:eastAsia="仿宋_GB2312"/>
          <w:spacing w:val="-1"/>
          <w:sz w:val="32"/>
          <w:szCs w:val="32"/>
        </w:rPr>
      </w:pPr>
      <w:r>
        <w:rPr>
          <w:rFonts w:hint="eastAsia" w:eastAsia="仿宋_GB2312"/>
          <w:spacing w:val="-1"/>
          <w:sz w:val="32"/>
          <w:szCs w:val="32"/>
        </w:rPr>
        <w:t>1.产品描述</w:t>
      </w:r>
    </w:p>
    <w:p w14:paraId="66E360A8">
      <w:pPr>
        <w:spacing w:line="560" w:lineRule="exact"/>
        <w:ind w:firstLine="636" w:firstLineChars="200"/>
        <w:rPr>
          <w:rFonts w:eastAsia="仿宋_GB2312"/>
          <w:spacing w:val="-1"/>
          <w:sz w:val="32"/>
          <w:szCs w:val="32"/>
        </w:rPr>
      </w:pPr>
      <w:r>
        <w:rPr>
          <w:rFonts w:hint="eastAsia" w:eastAsia="仿宋_GB2312"/>
          <w:spacing w:val="-1"/>
          <w:sz w:val="32"/>
          <w:szCs w:val="32"/>
        </w:rPr>
        <w:t>1.1产品的结构和组成</w:t>
      </w:r>
    </w:p>
    <w:p w14:paraId="3BFFF0C3">
      <w:pPr>
        <w:spacing w:line="560" w:lineRule="exact"/>
        <w:ind w:firstLine="636" w:firstLineChars="200"/>
        <w:rPr>
          <w:rFonts w:eastAsia="仿宋_GB2312"/>
          <w:spacing w:val="-1"/>
          <w:sz w:val="32"/>
          <w:szCs w:val="32"/>
        </w:rPr>
      </w:pPr>
      <w:r>
        <w:rPr>
          <w:rFonts w:hint="eastAsia" w:eastAsia="仿宋_GB2312"/>
          <w:spacing w:val="-1"/>
          <w:sz w:val="32"/>
          <w:szCs w:val="32"/>
        </w:rPr>
        <w:t>手术显微镜通常由一个观察的光学系统、照明系统、支架、电气装置组成。可根据不同的使用要求配置各种相应的配件，如助手镜等。</w:t>
      </w:r>
    </w:p>
    <w:p w14:paraId="64C4399C">
      <w:pPr>
        <w:spacing w:line="560" w:lineRule="exact"/>
        <w:ind w:firstLine="636" w:firstLineChars="200"/>
        <w:rPr>
          <w:rFonts w:eastAsia="仿宋_GB2312"/>
          <w:spacing w:val="-1"/>
          <w:sz w:val="32"/>
          <w:szCs w:val="32"/>
        </w:rPr>
      </w:pPr>
      <w:r>
        <w:rPr>
          <w:rFonts w:hint="eastAsia" w:eastAsia="仿宋_GB2312"/>
          <w:spacing w:val="-1"/>
          <w:sz w:val="32"/>
          <w:szCs w:val="32"/>
        </w:rPr>
        <w:t>1.2组成单元结构/功能描述</w:t>
      </w:r>
    </w:p>
    <w:p w14:paraId="56E30E88">
      <w:pPr>
        <w:spacing w:line="560" w:lineRule="exact"/>
        <w:ind w:firstLine="636" w:firstLineChars="200"/>
        <w:rPr>
          <w:rFonts w:eastAsia="仿宋_GB2312"/>
          <w:spacing w:val="-1"/>
          <w:sz w:val="32"/>
          <w:szCs w:val="32"/>
        </w:rPr>
      </w:pPr>
      <w:r>
        <w:rPr>
          <w:rFonts w:eastAsia="仿宋_GB2312"/>
          <w:spacing w:val="-1"/>
          <w:sz w:val="32"/>
          <w:szCs w:val="32"/>
        </w:rPr>
        <w:t>1.2.1</w:t>
      </w:r>
      <w:r>
        <w:rPr>
          <w:rFonts w:hint="eastAsia" w:eastAsia="仿宋_GB2312"/>
          <w:spacing w:val="-1"/>
          <w:sz w:val="32"/>
          <w:szCs w:val="32"/>
        </w:rPr>
        <w:t>观察的光学系统</w:t>
      </w:r>
    </w:p>
    <w:p w14:paraId="5FB150B8">
      <w:pPr>
        <w:spacing w:line="560" w:lineRule="exact"/>
        <w:ind w:firstLine="636" w:firstLineChars="200"/>
        <w:rPr>
          <w:rFonts w:eastAsia="仿宋_GB2312"/>
          <w:spacing w:val="-1"/>
          <w:sz w:val="32"/>
          <w:szCs w:val="32"/>
        </w:rPr>
      </w:pPr>
      <w:r>
        <w:rPr>
          <w:rFonts w:hint="eastAsia" w:eastAsia="仿宋_GB2312"/>
          <w:spacing w:val="-1"/>
          <w:sz w:val="32"/>
          <w:szCs w:val="32"/>
        </w:rPr>
        <w:t>观察的光学系统由物镜、可变放大率的光学系统、镜管和目镜组成。</w:t>
      </w:r>
    </w:p>
    <w:p w14:paraId="30729077">
      <w:pPr>
        <w:spacing w:line="560" w:lineRule="exact"/>
        <w:ind w:firstLine="636" w:firstLineChars="200"/>
        <w:rPr>
          <w:rFonts w:eastAsia="仿宋_GB2312"/>
          <w:spacing w:val="-1"/>
          <w:sz w:val="32"/>
          <w:szCs w:val="32"/>
        </w:rPr>
      </w:pPr>
      <w:r>
        <w:rPr>
          <w:rFonts w:eastAsia="仿宋_GB2312"/>
          <w:spacing w:val="-1"/>
          <w:sz w:val="32"/>
          <w:szCs w:val="32"/>
        </w:rPr>
        <w:t>1.2.2</w:t>
      </w:r>
      <w:r>
        <w:rPr>
          <w:rFonts w:hint="eastAsia" w:eastAsia="仿宋_GB2312"/>
          <w:spacing w:val="-1"/>
          <w:sz w:val="32"/>
          <w:szCs w:val="32"/>
        </w:rPr>
        <w:t>照明系统</w:t>
      </w:r>
    </w:p>
    <w:p w14:paraId="361CF51B">
      <w:pPr>
        <w:spacing w:line="560" w:lineRule="exact"/>
        <w:ind w:firstLine="636" w:firstLineChars="200"/>
        <w:rPr>
          <w:rFonts w:eastAsia="仿宋_GB2312"/>
          <w:spacing w:val="-1"/>
          <w:sz w:val="32"/>
          <w:szCs w:val="32"/>
        </w:rPr>
      </w:pPr>
      <w:r>
        <w:rPr>
          <w:rFonts w:hint="eastAsia" w:eastAsia="仿宋_GB2312"/>
          <w:spacing w:val="-1"/>
          <w:sz w:val="32"/>
          <w:szCs w:val="32"/>
        </w:rPr>
        <w:t>一般由钨丝灯泡、卤素灯泡、LED灯、氙灯作为光源。通过导光束及其他光学元件组成照明系统，有同轴照明、斜照明和裂隙照明之分。</w:t>
      </w:r>
    </w:p>
    <w:p w14:paraId="0FF3D86A">
      <w:pPr>
        <w:spacing w:line="560" w:lineRule="exact"/>
        <w:ind w:firstLine="636" w:firstLineChars="200"/>
        <w:rPr>
          <w:rFonts w:eastAsia="仿宋_GB2312"/>
          <w:spacing w:val="-1"/>
          <w:sz w:val="32"/>
          <w:szCs w:val="32"/>
        </w:rPr>
      </w:pPr>
      <w:r>
        <w:rPr>
          <w:rFonts w:eastAsia="仿宋_GB2312"/>
          <w:spacing w:val="-1"/>
          <w:sz w:val="32"/>
          <w:szCs w:val="32"/>
        </w:rPr>
        <w:t>1.2.3</w:t>
      </w:r>
      <w:r>
        <w:rPr>
          <w:rFonts w:hint="eastAsia" w:eastAsia="仿宋_GB2312"/>
          <w:spacing w:val="-1"/>
          <w:sz w:val="32"/>
          <w:szCs w:val="32"/>
        </w:rPr>
        <w:t>支架</w:t>
      </w:r>
    </w:p>
    <w:p w14:paraId="18C2188D">
      <w:pPr>
        <w:spacing w:line="560" w:lineRule="exact"/>
        <w:ind w:firstLine="636" w:firstLineChars="200"/>
        <w:rPr>
          <w:rFonts w:eastAsia="仿宋_GB2312"/>
          <w:spacing w:val="-1"/>
          <w:sz w:val="32"/>
          <w:szCs w:val="32"/>
        </w:rPr>
      </w:pPr>
      <w:r>
        <w:rPr>
          <w:rFonts w:hint="eastAsia" w:eastAsia="仿宋_GB2312"/>
          <w:spacing w:val="-1"/>
          <w:sz w:val="32"/>
          <w:szCs w:val="32"/>
        </w:rPr>
        <w:t>支架系统是仪器的支撑系统，一般电气装置设在支架中，因此支架也是仪器的电控枢纽，同时支架可以具有三维空间运动，满足手术中医生对仪器的操作要求。</w:t>
      </w:r>
    </w:p>
    <w:p w14:paraId="69349BFB">
      <w:pPr>
        <w:spacing w:line="560" w:lineRule="exact"/>
        <w:ind w:firstLine="636" w:firstLineChars="200"/>
        <w:rPr>
          <w:rFonts w:eastAsia="仿宋_GB2312"/>
          <w:spacing w:val="-1"/>
          <w:sz w:val="32"/>
          <w:szCs w:val="32"/>
        </w:rPr>
      </w:pPr>
      <w:r>
        <w:rPr>
          <w:rFonts w:eastAsia="仿宋_GB2312"/>
          <w:spacing w:val="-1"/>
          <w:sz w:val="32"/>
          <w:szCs w:val="32"/>
        </w:rPr>
        <w:t>1.2.4</w:t>
      </w:r>
      <w:r>
        <w:rPr>
          <w:rFonts w:hint="eastAsia" w:eastAsia="仿宋_GB2312"/>
          <w:spacing w:val="-1"/>
          <w:sz w:val="32"/>
          <w:szCs w:val="32"/>
        </w:rPr>
        <w:t>电气装置</w:t>
      </w:r>
    </w:p>
    <w:p w14:paraId="2250E652">
      <w:pPr>
        <w:spacing w:line="560" w:lineRule="exact"/>
        <w:ind w:firstLine="636" w:firstLineChars="200"/>
        <w:rPr>
          <w:rFonts w:eastAsia="仿宋_GB2312"/>
          <w:spacing w:val="-1"/>
          <w:sz w:val="32"/>
          <w:szCs w:val="32"/>
        </w:rPr>
      </w:pPr>
      <w:r>
        <w:rPr>
          <w:rFonts w:hint="eastAsia" w:eastAsia="仿宋_GB2312"/>
          <w:spacing w:val="-1"/>
          <w:sz w:val="32"/>
          <w:szCs w:val="32"/>
        </w:rPr>
        <w:t>用于提供设备运行所必需的电能，可控制变倍、调焦、照明亮度、X、Y轴移动、前后俯仰、左右倾斜等。</w:t>
      </w:r>
    </w:p>
    <w:p w14:paraId="14A08E1D">
      <w:pPr>
        <w:spacing w:line="560" w:lineRule="exact"/>
        <w:ind w:firstLine="636" w:firstLineChars="200"/>
        <w:rPr>
          <w:rFonts w:eastAsia="仿宋_GB2312"/>
          <w:spacing w:val="-1"/>
          <w:sz w:val="32"/>
          <w:szCs w:val="32"/>
        </w:rPr>
      </w:pPr>
      <w:r>
        <w:rPr>
          <w:rFonts w:eastAsia="仿宋_GB2312"/>
          <w:spacing w:val="-1"/>
          <w:sz w:val="32"/>
          <w:szCs w:val="32"/>
        </w:rPr>
        <w:t>1.2.5</w:t>
      </w:r>
      <w:r>
        <w:rPr>
          <w:rFonts w:hint="eastAsia" w:eastAsia="仿宋_GB2312"/>
          <w:spacing w:val="-1"/>
          <w:sz w:val="32"/>
          <w:szCs w:val="32"/>
        </w:rPr>
        <w:t>相关配件（如适用）</w:t>
      </w:r>
    </w:p>
    <w:p w14:paraId="6E78BC75">
      <w:pPr>
        <w:spacing w:line="560" w:lineRule="exact"/>
        <w:ind w:firstLine="636" w:firstLineChars="200"/>
        <w:rPr>
          <w:rFonts w:eastAsia="仿宋_GB2312"/>
          <w:spacing w:val="-1"/>
          <w:sz w:val="32"/>
          <w:szCs w:val="32"/>
        </w:rPr>
      </w:pPr>
      <w:r>
        <w:rPr>
          <w:rFonts w:hint="eastAsia" w:eastAsia="仿宋_GB2312"/>
          <w:spacing w:val="-1"/>
          <w:sz w:val="32"/>
          <w:szCs w:val="32"/>
        </w:rPr>
        <w:t>手术显微镜可通过分光器安装助手镜、图像采集处理系统等相关配件。助手镜可配有供单眼或双眼观察的镜管，用于手术辅助。图像采集处理系统通常用于手术监视，手术图像和视频的采集及处理等。</w:t>
      </w:r>
    </w:p>
    <w:p w14:paraId="28E2D11D">
      <w:pPr>
        <w:spacing w:line="560" w:lineRule="exact"/>
        <w:ind w:firstLine="636" w:firstLineChars="200"/>
        <w:rPr>
          <w:rFonts w:eastAsia="仿宋_GB2312"/>
          <w:spacing w:val="-1"/>
          <w:sz w:val="32"/>
          <w:szCs w:val="32"/>
        </w:rPr>
      </w:pPr>
      <w:r>
        <w:rPr>
          <w:rFonts w:eastAsia="仿宋_GB2312"/>
          <w:spacing w:val="-1"/>
          <w:sz w:val="32"/>
          <w:szCs w:val="32"/>
        </w:rPr>
        <w:t>1.3</w:t>
      </w:r>
      <w:r>
        <w:rPr>
          <w:rFonts w:hint="eastAsia" w:eastAsia="仿宋_GB2312"/>
          <w:spacing w:val="-1"/>
          <w:sz w:val="32"/>
          <w:szCs w:val="32"/>
        </w:rPr>
        <w:t>产品的种类划分</w:t>
      </w:r>
    </w:p>
    <w:p w14:paraId="207CFBB6">
      <w:pPr>
        <w:spacing w:line="560" w:lineRule="exact"/>
        <w:ind w:firstLine="636" w:firstLineChars="200"/>
        <w:rPr>
          <w:rFonts w:eastAsia="仿宋_GB2312"/>
          <w:spacing w:val="-1"/>
          <w:sz w:val="32"/>
          <w:szCs w:val="32"/>
        </w:rPr>
      </w:pPr>
      <w:r>
        <w:rPr>
          <w:rFonts w:hint="eastAsia" w:eastAsia="仿宋_GB2312"/>
          <w:spacing w:val="-1"/>
          <w:sz w:val="32"/>
          <w:szCs w:val="32"/>
        </w:rPr>
        <w:t>按设备结构形式划分：台式、立式、吊顶式和壁挂式。</w:t>
      </w:r>
    </w:p>
    <w:p w14:paraId="75D1351A">
      <w:pPr>
        <w:spacing w:line="560" w:lineRule="exact"/>
        <w:ind w:firstLine="636" w:firstLineChars="200"/>
        <w:rPr>
          <w:rFonts w:eastAsia="仿宋_GB2312"/>
          <w:spacing w:val="-1"/>
          <w:sz w:val="32"/>
          <w:szCs w:val="32"/>
        </w:rPr>
      </w:pPr>
      <w:r>
        <w:rPr>
          <w:rFonts w:hint="eastAsia" w:eastAsia="仿宋_GB2312"/>
          <w:spacing w:val="-1"/>
          <w:sz w:val="32"/>
          <w:szCs w:val="32"/>
        </w:rPr>
        <w:t>按光路结构形式划分：单人双目、双人四目、多人多目。</w:t>
      </w:r>
    </w:p>
    <w:p w14:paraId="75EF2B4A">
      <w:pPr>
        <w:spacing w:line="560" w:lineRule="exact"/>
        <w:ind w:firstLine="636" w:firstLineChars="200"/>
        <w:rPr>
          <w:rFonts w:eastAsia="仿宋_GB2312"/>
          <w:spacing w:val="-1"/>
          <w:sz w:val="32"/>
          <w:szCs w:val="32"/>
        </w:rPr>
      </w:pPr>
      <w:r>
        <w:rPr>
          <w:rFonts w:hint="eastAsia" w:eastAsia="仿宋_GB2312"/>
          <w:spacing w:val="-1"/>
          <w:sz w:val="32"/>
          <w:szCs w:val="32"/>
        </w:rPr>
        <w:t>按变倍方式划分：手动变倍、自动变倍，自动变倍和手动变倍并存。</w:t>
      </w:r>
    </w:p>
    <w:p w14:paraId="735CB808">
      <w:pPr>
        <w:spacing w:line="560" w:lineRule="exact"/>
        <w:ind w:firstLine="636" w:firstLineChars="200"/>
        <w:rPr>
          <w:rFonts w:eastAsia="仿宋_GB2312"/>
          <w:spacing w:val="-1"/>
          <w:sz w:val="32"/>
          <w:szCs w:val="32"/>
        </w:rPr>
      </w:pPr>
      <w:r>
        <w:rPr>
          <w:rFonts w:hint="eastAsia" w:eastAsia="仿宋_GB2312"/>
          <w:spacing w:val="-1"/>
          <w:sz w:val="32"/>
          <w:szCs w:val="32"/>
        </w:rPr>
        <w:t>按变倍结构划分：转鼓式变倍、连续无级式变倍。</w:t>
      </w:r>
    </w:p>
    <w:p w14:paraId="470CF860">
      <w:pPr>
        <w:spacing w:line="560" w:lineRule="exact"/>
        <w:ind w:firstLine="636" w:firstLineChars="200"/>
        <w:rPr>
          <w:rFonts w:eastAsia="仿宋_GB2312"/>
          <w:spacing w:val="-1"/>
          <w:sz w:val="32"/>
          <w:szCs w:val="32"/>
        </w:rPr>
      </w:pPr>
      <w:r>
        <w:rPr>
          <w:rFonts w:hint="eastAsia" w:eastAsia="仿宋_GB2312"/>
          <w:spacing w:val="-1"/>
          <w:sz w:val="32"/>
          <w:szCs w:val="32"/>
        </w:rPr>
        <w:t>按物镜使用划分：手术显微镜的双目光路系统共用一个大物镜的型式称为大物镜型手术显微镜；手术显微镜的双目光路系统分别配置物镜的型式称为小物镜型手术显微镜。</w:t>
      </w:r>
    </w:p>
    <w:p w14:paraId="1FC3C023">
      <w:pPr>
        <w:spacing w:line="560" w:lineRule="exact"/>
        <w:ind w:firstLine="636" w:firstLineChars="200"/>
        <w:rPr>
          <w:rFonts w:hint="eastAsia" w:eastAsia="仿宋_GB2312"/>
          <w:spacing w:val="-1"/>
          <w:sz w:val="32"/>
          <w:szCs w:val="32"/>
        </w:rPr>
      </w:pPr>
      <w:r>
        <w:rPr>
          <w:rFonts w:hint="eastAsia" w:eastAsia="仿宋_GB2312"/>
          <w:spacing w:val="-1"/>
          <w:sz w:val="32"/>
          <w:szCs w:val="32"/>
        </w:rPr>
        <w:t>按工作距离划分：有级工作距离、无级工作距离。</w:t>
      </w:r>
    </w:p>
    <w:p w14:paraId="77506E60">
      <w:pPr>
        <w:spacing w:line="560" w:lineRule="exact"/>
        <w:ind w:firstLine="636" w:firstLineChars="200"/>
        <w:rPr>
          <w:rFonts w:eastAsia="仿宋_GB2312"/>
          <w:spacing w:val="-1"/>
          <w:sz w:val="32"/>
          <w:szCs w:val="32"/>
        </w:rPr>
      </w:pPr>
      <w:r>
        <w:rPr>
          <w:rFonts w:hint="eastAsia" w:eastAsia="仿宋_GB2312"/>
          <w:spacing w:val="-1"/>
          <w:sz w:val="32"/>
          <w:szCs w:val="32"/>
          <w:lang w:val="en-US" w:eastAsia="zh-CN"/>
        </w:rPr>
        <w:t>按</w:t>
      </w:r>
      <w:r>
        <w:rPr>
          <w:rFonts w:hint="eastAsia" w:eastAsia="仿宋_GB2312"/>
          <w:spacing w:val="-1"/>
          <w:sz w:val="32"/>
          <w:szCs w:val="32"/>
        </w:rPr>
        <w:t>应用科室划分：眼科、其他科室等。</w:t>
      </w:r>
    </w:p>
    <w:p w14:paraId="17F06A59">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4实例</w:t>
      </w:r>
    </w:p>
    <w:p w14:paraId="7D2CA282">
      <w:pPr>
        <w:ind w:firstLine="420" w:firstLineChars="200"/>
        <w:jc w:val="center"/>
        <w:rPr>
          <w:rFonts w:eastAsia="仿宋_GB2312"/>
          <w:spacing w:val="-1"/>
          <w:sz w:val="32"/>
          <w:szCs w:val="32"/>
        </w:rPr>
      </w:pPr>
      <w:r>
        <w:drawing>
          <wp:inline distT="0" distB="0" distL="0" distR="0">
            <wp:extent cx="220980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l="6921" t="2126" r="4044"/>
                    <a:stretch>
                      <a:fillRect/>
                    </a:stretch>
                  </pic:blipFill>
                  <pic:spPr>
                    <a:xfrm>
                      <a:off x="0" y="0"/>
                      <a:ext cx="2209800" cy="1981200"/>
                    </a:xfrm>
                    <a:prstGeom prst="rect">
                      <a:avLst/>
                    </a:prstGeom>
                    <a:noFill/>
                    <a:ln>
                      <a:noFill/>
                    </a:ln>
                  </pic:spPr>
                </pic:pic>
              </a:graphicData>
            </a:graphic>
          </wp:inline>
        </w:drawing>
      </w:r>
    </w:p>
    <w:p w14:paraId="34634EB0">
      <w:pPr>
        <w:spacing w:line="560" w:lineRule="exact"/>
        <w:ind w:firstLine="556" w:firstLineChars="200"/>
        <w:jc w:val="center"/>
        <w:rPr>
          <w:rFonts w:ascii="黑体" w:hAnsi="黑体" w:eastAsia="黑体"/>
          <w:spacing w:val="-1"/>
          <w:sz w:val="28"/>
          <w:szCs w:val="28"/>
        </w:rPr>
      </w:pPr>
      <w:r>
        <w:rPr>
          <w:rFonts w:hint="eastAsia" w:ascii="黑体" w:hAnsi="黑体" w:eastAsia="黑体"/>
          <w:spacing w:val="-1"/>
          <w:sz w:val="28"/>
          <w:szCs w:val="28"/>
        </w:rPr>
        <w:t>图1台式手术显微镜</w:t>
      </w:r>
    </w:p>
    <w:p w14:paraId="60CE7A58">
      <w:pPr>
        <w:ind w:firstLine="420" w:firstLineChars="200"/>
        <w:jc w:val="center"/>
        <w:rPr>
          <w:rFonts w:eastAsia="仿宋_GB2312"/>
          <w:spacing w:val="-1"/>
          <w:sz w:val="32"/>
          <w:szCs w:val="32"/>
        </w:rPr>
      </w:pPr>
      <w:r>
        <w:drawing>
          <wp:inline distT="0" distB="0" distL="0" distR="0">
            <wp:extent cx="2295525" cy="2162175"/>
            <wp:effectExtent l="0" t="0" r="9525" b="9525"/>
            <wp:docPr id="3" name="图片 3" descr="SOM200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OM2000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95525" cy="2162175"/>
                    </a:xfrm>
                    <a:prstGeom prst="rect">
                      <a:avLst/>
                    </a:prstGeom>
                    <a:noFill/>
                    <a:ln>
                      <a:noFill/>
                    </a:ln>
                  </pic:spPr>
                </pic:pic>
              </a:graphicData>
            </a:graphic>
          </wp:inline>
        </w:drawing>
      </w:r>
    </w:p>
    <w:p w14:paraId="6C387BF3">
      <w:pPr>
        <w:ind w:firstLine="556" w:firstLineChars="200"/>
        <w:jc w:val="center"/>
        <w:rPr>
          <w:rFonts w:ascii="黑体" w:hAnsi="黑体" w:eastAsia="黑体"/>
          <w:spacing w:val="-1"/>
          <w:sz w:val="28"/>
          <w:szCs w:val="28"/>
        </w:rPr>
      </w:pPr>
      <w:r>
        <w:rPr>
          <w:rFonts w:hint="eastAsia" w:ascii="黑体" w:hAnsi="黑体" w:eastAsia="黑体"/>
          <w:spacing w:val="-1"/>
          <w:sz w:val="28"/>
          <w:szCs w:val="28"/>
        </w:rPr>
        <w:t>图2立式手术显微镜</w:t>
      </w:r>
    </w:p>
    <w:p w14:paraId="4DF80E64">
      <w:pPr>
        <w:ind w:firstLine="420" w:firstLineChars="200"/>
        <w:jc w:val="center"/>
        <w:rPr>
          <w:rFonts w:ascii="黑体" w:hAnsi="黑体" w:eastAsia="黑体"/>
          <w:spacing w:val="-1"/>
          <w:sz w:val="28"/>
          <w:szCs w:val="28"/>
        </w:rPr>
      </w:pPr>
      <w:r>
        <w:drawing>
          <wp:inline distT="0" distB="0" distL="0" distR="0">
            <wp:extent cx="2143125" cy="21621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43125" cy="2162175"/>
                    </a:xfrm>
                    <a:prstGeom prst="rect">
                      <a:avLst/>
                    </a:prstGeom>
                    <a:noFill/>
                    <a:ln>
                      <a:noFill/>
                    </a:ln>
                  </pic:spPr>
                </pic:pic>
              </a:graphicData>
            </a:graphic>
          </wp:inline>
        </w:drawing>
      </w:r>
    </w:p>
    <w:p w14:paraId="404CE892">
      <w:pPr>
        <w:ind w:firstLine="556" w:firstLineChars="200"/>
        <w:jc w:val="center"/>
        <w:rPr>
          <w:rFonts w:ascii="黑体" w:hAnsi="黑体" w:eastAsia="黑体"/>
          <w:spacing w:val="-1"/>
          <w:sz w:val="28"/>
          <w:szCs w:val="28"/>
        </w:rPr>
      </w:pPr>
      <w:r>
        <w:rPr>
          <w:rFonts w:hint="eastAsia" w:ascii="黑体" w:hAnsi="黑体" w:eastAsia="黑体"/>
          <w:spacing w:val="-1"/>
          <w:sz w:val="28"/>
          <w:szCs w:val="28"/>
        </w:rPr>
        <w:t>图3吊顶式手术显微镜</w:t>
      </w:r>
    </w:p>
    <w:p w14:paraId="61830580">
      <w:pPr>
        <w:ind w:firstLine="556" w:firstLineChars="200"/>
        <w:jc w:val="center"/>
        <w:rPr>
          <w:rFonts w:ascii="黑体" w:hAnsi="黑体" w:eastAsia="黑体"/>
          <w:spacing w:val="-1"/>
          <w:sz w:val="28"/>
          <w:szCs w:val="28"/>
        </w:rPr>
      </w:pPr>
      <w:r>
        <w:rPr>
          <w:rFonts w:ascii="黑体" w:hAnsi="黑体" w:eastAsia="黑体"/>
          <w:spacing w:val="-1"/>
          <w:sz w:val="28"/>
          <w:szCs w:val="28"/>
        </w:rPr>
        <w:drawing>
          <wp:inline distT="0" distB="0" distL="0" distR="0">
            <wp:extent cx="2190750" cy="2228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190750" cy="2228850"/>
                    </a:xfrm>
                    <a:prstGeom prst="rect">
                      <a:avLst/>
                    </a:prstGeom>
                    <a:noFill/>
                  </pic:spPr>
                </pic:pic>
              </a:graphicData>
            </a:graphic>
          </wp:inline>
        </w:drawing>
      </w:r>
    </w:p>
    <w:p w14:paraId="7A76DEE1">
      <w:pPr>
        <w:ind w:firstLine="556" w:firstLineChars="200"/>
        <w:jc w:val="center"/>
        <w:rPr>
          <w:rFonts w:ascii="黑体" w:hAnsi="黑体" w:eastAsia="黑体"/>
          <w:spacing w:val="-1"/>
          <w:sz w:val="28"/>
          <w:szCs w:val="28"/>
        </w:rPr>
      </w:pPr>
      <w:r>
        <w:rPr>
          <w:rFonts w:hint="eastAsia" w:ascii="黑体" w:hAnsi="黑体" w:eastAsia="黑体"/>
          <w:spacing w:val="-1"/>
          <w:sz w:val="28"/>
          <w:szCs w:val="28"/>
        </w:rPr>
        <w:t>图4壁挂式手术显微镜</w:t>
      </w:r>
    </w:p>
    <w:p w14:paraId="3D5166B5">
      <w:pPr>
        <w:spacing w:line="560" w:lineRule="exact"/>
        <w:ind w:firstLine="636" w:firstLineChars="200"/>
        <w:rPr>
          <w:rFonts w:eastAsia="仿宋_GB2312"/>
          <w:spacing w:val="-1"/>
          <w:sz w:val="32"/>
          <w:szCs w:val="32"/>
        </w:rPr>
      </w:pPr>
      <w:r>
        <w:rPr>
          <w:rFonts w:hint="eastAsia" w:eastAsia="仿宋_GB2312"/>
          <w:spacing w:val="-1"/>
          <w:sz w:val="32"/>
          <w:szCs w:val="32"/>
        </w:rPr>
        <w:t>1.5型号规格</w:t>
      </w:r>
    </w:p>
    <w:p w14:paraId="76DE0917">
      <w:pPr>
        <w:spacing w:line="560" w:lineRule="exact"/>
        <w:ind w:firstLine="636" w:firstLineChars="200"/>
        <w:rPr>
          <w:rFonts w:eastAsia="仿宋_GB2312"/>
          <w:spacing w:val="-1"/>
          <w:sz w:val="32"/>
          <w:szCs w:val="32"/>
        </w:rPr>
      </w:pPr>
      <w:r>
        <w:rPr>
          <w:rFonts w:hint="eastAsia" w:eastAsia="仿宋_GB2312"/>
          <w:spacing w:val="-1"/>
          <w:sz w:val="32"/>
          <w:szCs w:val="32"/>
        </w:rPr>
        <w:t>需明确申报产品的型号规格，产品型号规格及其划分，如同一个注册单元包含多个型号规格，需提供产品型号规格区分列表或配置表。</w:t>
      </w:r>
    </w:p>
    <w:p w14:paraId="3F0FA14E">
      <w:pPr>
        <w:spacing w:line="560" w:lineRule="exact"/>
        <w:ind w:firstLine="636" w:firstLineChars="200"/>
        <w:rPr>
          <w:rFonts w:eastAsia="仿宋_GB2312"/>
          <w:spacing w:val="-1"/>
          <w:sz w:val="32"/>
          <w:szCs w:val="32"/>
        </w:rPr>
      </w:pPr>
      <w:r>
        <w:rPr>
          <w:rFonts w:hint="eastAsia" w:eastAsia="仿宋_GB2312"/>
          <w:spacing w:val="-1"/>
          <w:sz w:val="32"/>
          <w:szCs w:val="32"/>
        </w:rPr>
        <w:t>1.6产品工作原理/作用机理</w:t>
      </w:r>
    </w:p>
    <w:p w14:paraId="55AC012E">
      <w:pPr>
        <w:spacing w:line="560" w:lineRule="exact"/>
        <w:ind w:firstLine="636" w:firstLineChars="200"/>
        <w:rPr>
          <w:rFonts w:eastAsia="仿宋_GB2312"/>
          <w:spacing w:val="-1"/>
          <w:sz w:val="32"/>
          <w:szCs w:val="32"/>
        </w:rPr>
      </w:pPr>
      <w:r>
        <w:rPr>
          <w:rFonts w:hint="eastAsia" w:eastAsia="仿宋_GB2312"/>
          <w:spacing w:val="-1"/>
          <w:sz w:val="32"/>
          <w:szCs w:val="32"/>
        </w:rPr>
        <w:t>1.6.1工作原理</w:t>
      </w:r>
    </w:p>
    <w:p w14:paraId="42B6255E">
      <w:pPr>
        <w:spacing w:line="560" w:lineRule="exact"/>
        <w:ind w:firstLine="636" w:firstLineChars="200"/>
        <w:rPr>
          <w:rFonts w:eastAsia="仿宋_GB2312"/>
          <w:spacing w:val="-1"/>
          <w:sz w:val="32"/>
          <w:szCs w:val="32"/>
        </w:rPr>
      </w:pPr>
      <w:r>
        <w:rPr>
          <w:rFonts w:hint="eastAsia" w:eastAsia="仿宋_GB2312"/>
          <w:spacing w:val="-1"/>
          <w:sz w:val="32"/>
          <w:szCs w:val="32"/>
        </w:rPr>
        <w:t>人肉眼观察物体的大小取决于物体在视网膜上的成像大小。用眼睛观察物体时，物体两端入眼光线的夹角为视角，如物体微小，视角小于2分（1/30度）就难以分辨物体的形状，必须借助光学仪器扩大视觉能力。但用简单的放大镜施行手术时，放大倍率不能过大，否则工作距离会大为缩小，过小的工作距离无法进行手术操作。显微外科手术一般要求有200mm左右的工作距离，必须用比放大镜复杂的透镜组合放置在镜筒中，将图像初步放大后，再进行二次放大，才能既有较大的工作距离，又能获得较大的放大倍率。这种结构就是众所周知的开普勒望远镜的结构，其特点是镜筒内由物镜形成的图像正好位于目镜的焦点平面上，也就是镜筒物镜的后焦点和目镜的前焦点在同一平面上重合。由两个相互分开但光学结构上完全相同的上述镜筒组成双目镜筒，以供双眼观看，才能对物体有明确的深度定位效果。在此基础上在双目镜筒内添加两个正向系统，后者一方面将上述系统产生的倒像转变为正像，另一方面还能使镜筒左右双光路的间距扩大到符合瞳距的需要。图5所示为典型的双目镜筒的光学系统。</w:t>
      </w:r>
    </w:p>
    <w:p w14:paraId="60C450F3">
      <w:pPr>
        <w:ind w:firstLine="420" w:firstLineChars="200"/>
        <w:jc w:val="center"/>
        <w:rPr>
          <w:rFonts w:eastAsia="仿宋_GB2312"/>
          <w:spacing w:val="-1"/>
          <w:sz w:val="32"/>
          <w:szCs w:val="32"/>
        </w:rPr>
      </w:pPr>
      <w:r>
        <w:drawing>
          <wp:inline distT="0" distB="0" distL="0" distR="0">
            <wp:extent cx="4648200" cy="3352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48200" cy="3352800"/>
                    </a:xfrm>
                    <a:prstGeom prst="rect">
                      <a:avLst/>
                    </a:prstGeom>
                    <a:noFill/>
                    <a:ln>
                      <a:noFill/>
                    </a:ln>
                  </pic:spPr>
                </pic:pic>
              </a:graphicData>
            </a:graphic>
          </wp:inline>
        </w:drawing>
      </w:r>
    </w:p>
    <w:p w14:paraId="66627741">
      <w:pPr>
        <w:jc w:val="center"/>
        <w:rPr>
          <w:rFonts w:eastAsia="仿宋_GB2312"/>
          <w:spacing w:val="-1"/>
          <w:sz w:val="28"/>
          <w:szCs w:val="28"/>
        </w:rPr>
      </w:pPr>
      <w:r>
        <w:rPr>
          <w:rFonts w:hint="eastAsia" w:eastAsia="仿宋_GB2312"/>
          <w:spacing w:val="-1"/>
          <w:sz w:val="28"/>
          <w:szCs w:val="28"/>
        </w:rPr>
        <w:t>a.双目镜筒之间的距离O′.中间图像O″.在视网膜上形成的像PD.瞳距</w:t>
      </w:r>
    </w:p>
    <w:p w14:paraId="6A85F7EA">
      <w:pPr>
        <w:ind w:firstLine="556" w:firstLineChars="200"/>
        <w:jc w:val="center"/>
        <w:rPr>
          <w:rFonts w:ascii="黑体" w:hAnsi="黑体" w:eastAsia="黑体"/>
          <w:spacing w:val="-1"/>
          <w:sz w:val="28"/>
          <w:szCs w:val="28"/>
        </w:rPr>
      </w:pPr>
      <w:r>
        <w:rPr>
          <w:rFonts w:hint="eastAsia" w:ascii="黑体" w:hAnsi="黑体" w:eastAsia="黑体"/>
          <w:spacing w:val="-1"/>
          <w:sz w:val="28"/>
          <w:szCs w:val="28"/>
        </w:rPr>
        <w:t>图5双目镜筒的光学系统</w:t>
      </w:r>
    </w:p>
    <w:p w14:paraId="3084BD27">
      <w:pPr>
        <w:ind w:firstLine="636" w:firstLineChars="200"/>
        <w:rPr>
          <w:rFonts w:eastAsia="仿宋_GB2312"/>
          <w:spacing w:val="-1"/>
          <w:sz w:val="32"/>
          <w:szCs w:val="32"/>
        </w:rPr>
      </w:pPr>
      <w:r>
        <w:rPr>
          <w:rFonts w:hint="eastAsia" w:eastAsia="仿宋_GB2312"/>
          <w:spacing w:val="-1"/>
          <w:sz w:val="32"/>
          <w:szCs w:val="32"/>
        </w:rPr>
        <w:t>由双目镜筒连同其两只镜筒物镜加转折棱镜及正像棱镜组成的手术显微镜，是光路比较简单的类型，由于这种结构有两个小物镜，所以称为小物镜型手术显微镜。小物镜型显微镜口径小，成本低，单光路为同轴成像，光学设计较简单，但结构上要求两小物镜有固定的倾斜度，难以更换不同焦距的物镜，不易改变工作距离，左右眼所观察到的物面有一定的相对倾斜。</w:t>
      </w:r>
    </w:p>
    <w:p w14:paraId="6F593F48">
      <w:pPr>
        <w:ind w:firstLine="636" w:firstLineChars="200"/>
        <w:rPr>
          <w:rFonts w:eastAsia="仿宋_GB2312"/>
          <w:spacing w:val="-1"/>
          <w:sz w:val="32"/>
          <w:szCs w:val="32"/>
        </w:rPr>
      </w:pPr>
      <w:r>
        <w:rPr>
          <w:rFonts w:hint="eastAsia" w:eastAsia="仿宋_GB2312"/>
          <w:spacing w:val="-1"/>
          <w:sz w:val="32"/>
          <w:szCs w:val="32"/>
        </w:rPr>
        <w:t>随着显微外科不断发展提出的新要求，近年来国内外主流生产使用的都是大物镜型手术显微镜。此型是在双目镜筒下方串接一块大的物镜而成。大物镜型显微镜使用的是无穷远型的显微物镜，不受工作距离的限制，在它后面可以加入变倍系统、照明系统、分光器等，很适合手术显微镜的需要。采用大物镜型可以使整个系统结构紧凑，更换不同焦距的物镜比较方便，满足不同手术对不同工作距离的需要。图6所示为大物镜型手术显微镜光学结构原理图，图中结构仅作参考，不代表标准配置，根据具体产品可做相应增减。</w:t>
      </w:r>
    </w:p>
    <w:p w14:paraId="4DDD9D40">
      <w:pPr>
        <w:ind w:firstLine="420" w:firstLineChars="200"/>
        <w:jc w:val="center"/>
        <w:rPr>
          <w:rFonts w:eastAsia="仿宋_GB2312"/>
          <w:spacing w:val="-1"/>
          <w:sz w:val="32"/>
          <w:szCs w:val="32"/>
        </w:rPr>
      </w:pPr>
      <w:r>
        <w:drawing>
          <wp:inline distT="0" distB="0" distL="0" distR="0">
            <wp:extent cx="3845560" cy="3033395"/>
            <wp:effectExtent l="0" t="0" r="2540"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45560" cy="3033395"/>
                    </a:xfrm>
                    <a:prstGeom prst="rect">
                      <a:avLst/>
                    </a:prstGeom>
                    <a:noFill/>
                    <a:ln>
                      <a:noFill/>
                    </a:ln>
                  </pic:spPr>
                </pic:pic>
              </a:graphicData>
            </a:graphic>
          </wp:inline>
        </w:drawing>
      </w:r>
    </w:p>
    <w:p w14:paraId="49E66FE6">
      <w:pPr>
        <w:ind w:firstLine="556" w:firstLineChars="200"/>
        <w:jc w:val="center"/>
        <w:rPr>
          <w:rFonts w:ascii="黑体" w:hAnsi="黑体" w:eastAsia="黑体"/>
          <w:spacing w:val="-1"/>
          <w:sz w:val="28"/>
          <w:szCs w:val="28"/>
        </w:rPr>
      </w:pPr>
      <w:r>
        <w:rPr>
          <w:rFonts w:hint="eastAsia" w:ascii="黑体" w:hAnsi="黑体" w:eastAsia="黑体"/>
          <w:spacing w:val="-1"/>
          <w:sz w:val="28"/>
          <w:szCs w:val="28"/>
        </w:rPr>
        <w:t>图6大物镜型手术显微镜光学结构原理图</w:t>
      </w:r>
    </w:p>
    <w:p w14:paraId="285FA79E">
      <w:pPr>
        <w:ind w:firstLine="636" w:firstLineChars="200"/>
        <w:rPr>
          <w:rFonts w:eastAsia="仿宋_GB2312"/>
          <w:spacing w:val="-1"/>
          <w:sz w:val="32"/>
          <w:szCs w:val="32"/>
        </w:rPr>
      </w:pPr>
      <w:r>
        <w:rPr>
          <w:rFonts w:hint="eastAsia" w:eastAsia="仿宋_GB2312"/>
          <w:spacing w:val="-1"/>
          <w:sz w:val="32"/>
          <w:szCs w:val="32"/>
        </w:rPr>
        <w:t>手术显微镜的放大倍率可用下列公式计算：</w:t>
      </w:r>
    </w:p>
    <w:p w14:paraId="78AE22CD">
      <w:pPr>
        <w:ind w:firstLine="420" w:firstLineChars="200"/>
        <w:rPr>
          <w:rFonts w:eastAsia="仿宋_GB2312"/>
          <w:spacing w:val="-1"/>
          <w:sz w:val="32"/>
          <w:szCs w:val="32"/>
        </w:rPr>
      </w:pPr>
      <m:oMathPara>
        <m:oMath>
          <m:r>
            <m:rPr>
              <m:sty m:val="p"/>
            </m:rPr>
            <w:rPr>
              <w:rFonts w:ascii="微软雅黑" w:hAnsi="微软雅黑" w:eastAsia="微软雅黑"/>
              <w:szCs w:val="21"/>
            </w:rPr>
            <m:t>显微镜的总放大倍率</m:t>
          </m:r>
          <m:r>
            <m:rPr>
              <m:sty m:val="p"/>
            </m:rPr>
            <w:rPr>
              <w:rFonts w:ascii="Cambria Math" w:hAnsi="微软雅黑" w:eastAsia="微软雅黑"/>
              <w:szCs w:val="21"/>
            </w:rPr>
            <m:t>=</m:t>
          </m:r>
          <m:f>
            <m:fPr>
              <m:ctrlPr>
                <w:rPr>
                  <w:rFonts w:ascii="Cambria Math" w:hAnsi="微软雅黑" w:eastAsia="微软雅黑"/>
                  <w:szCs w:val="21"/>
                </w:rPr>
              </m:ctrlPr>
            </m:fPr>
            <m:num>
              <m:r>
                <m:rPr>
                  <m:sty m:val="p"/>
                </m:rPr>
                <w:rPr>
                  <w:rFonts w:ascii="微软雅黑" w:hAnsi="微软雅黑" w:eastAsia="微软雅黑"/>
                  <w:szCs w:val="21"/>
                </w:rPr>
                <m:t>镜筒物镜的焦距</m:t>
              </m:r>
              <m:ctrlPr>
                <w:rPr>
                  <w:rFonts w:ascii="Cambria Math" w:hAnsi="微软雅黑" w:eastAsia="微软雅黑"/>
                  <w:szCs w:val="21"/>
                </w:rPr>
              </m:ctrlPr>
            </m:num>
            <m:den>
              <m:r>
                <m:rPr>
                  <m:sty m:val="p"/>
                </m:rPr>
                <w:rPr>
                  <w:rFonts w:ascii="微软雅黑" w:hAnsi="微软雅黑" w:eastAsia="微软雅黑"/>
                  <w:szCs w:val="21"/>
                </w:rPr>
                <m:t>主物镜的焦距</m:t>
              </m:r>
              <m:ctrlPr>
                <w:rPr>
                  <w:rFonts w:ascii="Cambria Math" w:hAnsi="微软雅黑" w:eastAsia="微软雅黑"/>
                  <w:szCs w:val="21"/>
                </w:rPr>
              </m:ctrlPr>
            </m:den>
          </m:f>
          <m:r>
            <m:rPr>
              <m:sty m:val="p"/>
            </m:rPr>
            <w:rPr>
              <w:rFonts w:ascii="宋体" w:hAnsi="微软雅黑" w:eastAsia="微软雅黑"/>
              <w:szCs w:val="21"/>
            </w:rPr>
            <m:t>×</m:t>
          </m:r>
          <m:r>
            <m:rPr>
              <m:sty m:val="p"/>
            </m:rPr>
            <w:rPr>
              <w:rFonts w:hint="eastAsia" w:ascii="Cambria Math" w:hAnsi="微软雅黑" w:eastAsia="微软雅黑"/>
              <w:szCs w:val="21"/>
            </w:rPr>
            <m:t>变倍系统的放大倍率</m:t>
          </m:r>
          <m:r>
            <m:rPr>
              <m:sty m:val="p"/>
            </m:rPr>
            <w:rPr>
              <w:rFonts w:ascii="宋体" w:hAnsi="微软雅黑" w:eastAsia="微软雅黑"/>
              <w:szCs w:val="21"/>
            </w:rPr>
            <m:t>×</m:t>
          </m:r>
          <m:r>
            <m:rPr>
              <m:sty m:val="p"/>
            </m:rPr>
            <w:rPr>
              <w:rFonts w:ascii="微软雅黑" w:hAnsi="微软雅黑" w:eastAsia="微软雅黑"/>
              <w:szCs w:val="21"/>
            </w:rPr>
            <m:t>目镜放大系数</m:t>
          </m:r>
        </m:oMath>
      </m:oMathPara>
    </w:p>
    <w:p w14:paraId="4B79FA79">
      <w:pPr>
        <w:ind w:firstLine="636" w:firstLineChars="200"/>
        <w:rPr>
          <w:rFonts w:eastAsia="仿宋_GB2312"/>
          <w:spacing w:val="-1"/>
          <w:sz w:val="32"/>
          <w:szCs w:val="32"/>
        </w:rPr>
      </w:pPr>
      <w:r>
        <w:rPr>
          <w:rFonts w:hint="eastAsia" w:eastAsia="仿宋_GB2312"/>
          <w:spacing w:val="-1"/>
          <w:sz w:val="32"/>
          <w:szCs w:val="32"/>
        </w:rPr>
        <w:t>从公式可以看出，用放大倍数不同的目镜和焦距不同的物镜可以改变手术显微镜的放大倍率。此外，手术显微镜的手术视野与放大倍率成反比，即随着放大倍数的增加，手术区的实际视野将缩小，也就是说，术中如选择尽量大的放大倍数就意味着要选择尽量小的操作允许度。</w:t>
      </w:r>
    </w:p>
    <w:p w14:paraId="218AD24B">
      <w:pPr>
        <w:ind w:firstLine="636" w:firstLineChars="200"/>
        <w:rPr>
          <w:rFonts w:eastAsia="仿宋_GB2312"/>
          <w:spacing w:val="-1"/>
          <w:sz w:val="32"/>
          <w:szCs w:val="32"/>
        </w:rPr>
      </w:pPr>
      <w:r>
        <w:rPr>
          <w:rFonts w:hint="eastAsia" w:eastAsia="仿宋_GB2312"/>
          <w:spacing w:val="-1"/>
          <w:sz w:val="32"/>
          <w:szCs w:val="32"/>
        </w:rPr>
        <w:t>手术显微镜下的视觉分辨力取决于系统的数值孔径。数值孔径是由物镜焦距和有效通光孔径决定的。一般而言，在不改变物镜焦距的情况下，手术视野平面上的照明区域与光强都不会发生改变。通过变倍系统改变系统放大倍率，则会导致放大率最大时，从目镜感受的亮度最小。当波长确定的前提下，数值孔径反映了光学系统的分辨极限。照明装置安放在显微镜内，为减少较大功率光源产生的热量对周围微细组织的灼伤，可采用可调光源及增加散热系统。</w:t>
      </w:r>
    </w:p>
    <w:p w14:paraId="097DA95D">
      <w:pPr>
        <w:ind w:firstLine="636" w:firstLineChars="200"/>
        <w:rPr>
          <w:rFonts w:eastAsia="仿宋_GB2312"/>
          <w:spacing w:val="-1"/>
          <w:sz w:val="32"/>
          <w:szCs w:val="32"/>
        </w:rPr>
      </w:pPr>
      <w:r>
        <w:rPr>
          <w:rFonts w:hint="eastAsia" w:eastAsia="仿宋_GB2312"/>
          <w:spacing w:val="-1"/>
          <w:sz w:val="32"/>
          <w:szCs w:val="32"/>
        </w:rPr>
        <w:t>应提供观察的光学系统、照明系统、电气装置等方面的详细原理图、装置图或说明。</w:t>
      </w:r>
    </w:p>
    <w:p w14:paraId="63B16CC0">
      <w:pPr>
        <w:spacing w:line="560" w:lineRule="exact"/>
        <w:ind w:firstLine="636" w:firstLineChars="200"/>
        <w:rPr>
          <w:rFonts w:eastAsia="仿宋_GB2312"/>
          <w:spacing w:val="-1"/>
          <w:sz w:val="32"/>
          <w:szCs w:val="32"/>
        </w:rPr>
      </w:pPr>
      <w:r>
        <w:rPr>
          <w:rFonts w:hint="eastAsia" w:eastAsia="仿宋_GB2312"/>
          <w:spacing w:val="-1"/>
          <w:sz w:val="32"/>
          <w:szCs w:val="32"/>
        </w:rPr>
        <w:t>2.</w:t>
      </w:r>
      <w:r>
        <w:rPr>
          <w:rFonts w:hint="eastAsia" w:eastAsia="仿宋_GB2312"/>
          <w:sz w:val="32"/>
          <w:szCs w:val="32"/>
        </w:rPr>
        <w:t>适用范围和禁忌证</w:t>
      </w:r>
    </w:p>
    <w:p w14:paraId="28A5E063">
      <w:pPr>
        <w:spacing w:line="560" w:lineRule="exact"/>
        <w:ind w:firstLine="636" w:firstLineChars="200"/>
        <w:rPr>
          <w:rFonts w:eastAsia="仿宋_GB2312"/>
          <w:spacing w:val="-1"/>
          <w:sz w:val="32"/>
          <w:szCs w:val="32"/>
        </w:rPr>
      </w:pPr>
      <w:r>
        <w:rPr>
          <w:rFonts w:hint="eastAsia" w:eastAsia="仿宋_GB2312"/>
          <w:spacing w:val="-1"/>
          <w:sz w:val="32"/>
          <w:szCs w:val="32"/>
        </w:rPr>
        <w:t>2.1适用范围</w:t>
      </w:r>
    </w:p>
    <w:p w14:paraId="7E9DF93F">
      <w:pPr>
        <w:spacing w:line="560" w:lineRule="exact"/>
        <w:ind w:firstLine="636" w:firstLineChars="200"/>
        <w:rPr>
          <w:rFonts w:eastAsia="仿宋_GB2312"/>
          <w:spacing w:val="-1"/>
          <w:sz w:val="32"/>
          <w:szCs w:val="32"/>
        </w:rPr>
      </w:pPr>
      <w:r>
        <w:rPr>
          <w:rFonts w:hint="eastAsia" w:eastAsia="仿宋_GB2312"/>
          <w:spacing w:val="-1"/>
          <w:sz w:val="32"/>
          <w:szCs w:val="32"/>
        </w:rPr>
        <w:t>申报产品的性能参数和功能应能满足产品适用范围的要求，适用范围不应超出临床评价资料所评价的范围。</w:t>
      </w:r>
    </w:p>
    <w:p w14:paraId="0D6FEA70">
      <w:pPr>
        <w:spacing w:line="560" w:lineRule="exact"/>
        <w:ind w:firstLine="636" w:firstLineChars="200"/>
        <w:rPr>
          <w:rFonts w:eastAsia="仿宋_GB2312"/>
          <w:spacing w:val="-1"/>
          <w:sz w:val="32"/>
          <w:szCs w:val="32"/>
          <w:highlight w:val="none"/>
        </w:rPr>
      </w:pPr>
      <w:r>
        <w:rPr>
          <w:rFonts w:hint="eastAsia" w:eastAsia="仿宋_GB2312"/>
          <w:spacing w:val="-1"/>
          <w:sz w:val="32"/>
          <w:szCs w:val="32"/>
        </w:rPr>
        <w:t>非眼科手术显微镜</w:t>
      </w:r>
      <w:r>
        <w:rPr>
          <w:rFonts w:hint="eastAsia" w:eastAsia="仿宋_GB2312"/>
          <w:spacing w:val="-1"/>
          <w:sz w:val="32"/>
          <w:szCs w:val="32"/>
          <w:highlight w:val="none"/>
        </w:rPr>
        <w:t>产品适用范围：在医疗机构中，在手术中提供放大观察，不用于眼科。</w:t>
      </w:r>
    </w:p>
    <w:p w14:paraId="4F0F93EB">
      <w:pPr>
        <w:spacing w:line="560" w:lineRule="exact"/>
        <w:ind w:firstLine="636" w:firstLineChars="200"/>
        <w:rPr>
          <w:rFonts w:eastAsia="仿宋_GB2312"/>
          <w:spacing w:val="-1"/>
          <w:sz w:val="32"/>
          <w:szCs w:val="32"/>
        </w:rPr>
      </w:pPr>
      <w:r>
        <w:rPr>
          <w:rFonts w:hint="eastAsia" w:eastAsia="仿宋_GB2312"/>
          <w:spacing w:val="-1"/>
          <w:sz w:val="32"/>
          <w:szCs w:val="32"/>
          <w:highlight w:val="none"/>
        </w:rPr>
        <w:t>眼科手术显微镜产品适用范围：在医疗机构</w:t>
      </w:r>
      <w:r>
        <w:rPr>
          <w:rFonts w:hint="eastAsia" w:eastAsia="仿宋_GB2312"/>
          <w:spacing w:val="-1"/>
          <w:sz w:val="32"/>
          <w:szCs w:val="32"/>
        </w:rPr>
        <w:t>中，在眼科手术中为手术区域提供放大观察。</w:t>
      </w:r>
      <w:bookmarkStart w:id="0" w:name="_GoBack"/>
      <w:bookmarkEnd w:id="0"/>
    </w:p>
    <w:p w14:paraId="19818A9B">
      <w:pPr>
        <w:spacing w:line="560" w:lineRule="exact"/>
        <w:ind w:firstLine="636" w:firstLineChars="200"/>
        <w:rPr>
          <w:rFonts w:eastAsia="仿宋_GB2312"/>
          <w:spacing w:val="-1"/>
          <w:sz w:val="32"/>
          <w:szCs w:val="32"/>
        </w:rPr>
      </w:pPr>
      <w:r>
        <w:rPr>
          <w:rFonts w:hint="eastAsia" w:eastAsia="仿宋_GB2312"/>
          <w:spacing w:val="-1"/>
          <w:sz w:val="32"/>
          <w:szCs w:val="32"/>
        </w:rPr>
        <w:t>2.2预期使用环境</w:t>
      </w:r>
    </w:p>
    <w:p w14:paraId="19AF0D77">
      <w:pPr>
        <w:spacing w:line="560" w:lineRule="exact"/>
        <w:ind w:firstLine="636" w:firstLineChars="200"/>
        <w:rPr>
          <w:rFonts w:eastAsia="仿宋_GB2312"/>
          <w:spacing w:val="-1"/>
          <w:sz w:val="32"/>
          <w:szCs w:val="32"/>
        </w:rPr>
      </w:pPr>
      <w:r>
        <w:rPr>
          <w:rFonts w:hint="eastAsia" w:eastAsia="仿宋_GB2312"/>
          <w:spacing w:val="-1"/>
          <w:sz w:val="32"/>
          <w:szCs w:val="32"/>
        </w:rPr>
        <w:t>需明确设备使用场所和使用环境要求。</w:t>
      </w:r>
    </w:p>
    <w:p w14:paraId="6BA447B3">
      <w:pPr>
        <w:spacing w:line="560" w:lineRule="exact"/>
        <w:ind w:firstLine="636" w:firstLineChars="200"/>
        <w:rPr>
          <w:rFonts w:eastAsia="仿宋_GB2312"/>
          <w:spacing w:val="-1"/>
          <w:sz w:val="32"/>
          <w:szCs w:val="32"/>
        </w:rPr>
      </w:pPr>
      <w:r>
        <w:rPr>
          <w:rFonts w:hint="eastAsia" w:eastAsia="仿宋_GB2312"/>
          <w:spacing w:val="-1"/>
          <w:sz w:val="32"/>
          <w:szCs w:val="32"/>
        </w:rPr>
        <w:t>设备使用场所包括：医疗机构。</w:t>
      </w:r>
    </w:p>
    <w:p w14:paraId="185F8415">
      <w:pPr>
        <w:spacing w:line="560" w:lineRule="exact"/>
        <w:ind w:firstLine="636" w:firstLineChars="200"/>
        <w:rPr>
          <w:rFonts w:eastAsia="仿宋_GB2312"/>
          <w:spacing w:val="-1"/>
          <w:sz w:val="32"/>
          <w:szCs w:val="32"/>
        </w:rPr>
      </w:pPr>
      <w:r>
        <w:rPr>
          <w:rFonts w:hint="eastAsia" w:eastAsia="仿宋_GB2312"/>
          <w:spacing w:val="-1"/>
          <w:sz w:val="32"/>
          <w:szCs w:val="32"/>
        </w:rPr>
        <w:t>使用环境要求需至少包括：温度、湿度、电源条件等内容。</w:t>
      </w:r>
    </w:p>
    <w:p w14:paraId="793EB234">
      <w:pPr>
        <w:spacing w:line="560" w:lineRule="exact"/>
        <w:ind w:firstLine="636" w:firstLineChars="200"/>
        <w:rPr>
          <w:rFonts w:eastAsia="仿宋_GB2312"/>
          <w:spacing w:val="-1"/>
          <w:sz w:val="32"/>
          <w:szCs w:val="32"/>
        </w:rPr>
      </w:pPr>
      <w:r>
        <w:rPr>
          <w:rFonts w:hint="eastAsia" w:eastAsia="仿宋_GB2312"/>
          <w:spacing w:val="-1"/>
          <w:sz w:val="32"/>
          <w:szCs w:val="32"/>
        </w:rPr>
        <w:t>3.包装说明</w:t>
      </w:r>
    </w:p>
    <w:p w14:paraId="754779A9">
      <w:pPr>
        <w:spacing w:line="560" w:lineRule="exact"/>
        <w:ind w:firstLine="636" w:firstLineChars="200"/>
        <w:rPr>
          <w:rFonts w:eastAsia="仿宋_GB2312"/>
          <w:spacing w:val="-1"/>
          <w:sz w:val="32"/>
          <w:szCs w:val="32"/>
        </w:rPr>
      </w:pPr>
      <w:r>
        <w:rPr>
          <w:rFonts w:hint="eastAsia" w:eastAsia="仿宋_GB2312"/>
          <w:spacing w:val="-1"/>
          <w:sz w:val="32"/>
          <w:szCs w:val="32"/>
        </w:rPr>
        <w:t>3.1说明所有产品组成的包装信息。对于无菌医疗器械，应当说明其无菌屏障系统的信息；对于具有微生物限度要求的医疗器械，应当说明保持其微生物限度的包装信息。说明如何确保最终使用者可清晰地辨识包装的完整性。</w:t>
      </w:r>
    </w:p>
    <w:p w14:paraId="52134380">
      <w:pPr>
        <w:spacing w:line="560" w:lineRule="exact"/>
        <w:ind w:firstLine="636" w:firstLineChars="200"/>
        <w:rPr>
          <w:rFonts w:eastAsia="仿宋_GB2312"/>
          <w:spacing w:val="-1"/>
          <w:sz w:val="32"/>
          <w:szCs w:val="32"/>
        </w:rPr>
      </w:pPr>
      <w:r>
        <w:rPr>
          <w:rFonts w:hint="eastAsia" w:eastAsia="仿宋_GB2312"/>
          <w:spacing w:val="-1"/>
          <w:sz w:val="32"/>
          <w:szCs w:val="32"/>
        </w:rPr>
        <w:t>3.2若使用者在进行灭菌前需要包装医疗器械或附件时，应当提供正确包装的信息（如材料、成分和尺寸等）。</w:t>
      </w:r>
    </w:p>
    <w:p w14:paraId="4811701F">
      <w:pPr>
        <w:spacing w:line="560" w:lineRule="exact"/>
        <w:ind w:firstLine="636" w:firstLineChars="200"/>
        <w:rPr>
          <w:rFonts w:eastAsia="仿宋_GB2312"/>
          <w:spacing w:val="-1"/>
          <w:sz w:val="32"/>
          <w:szCs w:val="32"/>
        </w:rPr>
      </w:pPr>
      <w:r>
        <w:rPr>
          <w:rFonts w:hint="eastAsia" w:eastAsia="仿宋_GB2312"/>
          <w:spacing w:val="-1"/>
          <w:sz w:val="32"/>
          <w:szCs w:val="32"/>
        </w:rPr>
        <w:t>4.研发历程</w:t>
      </w:r>
    </w:p>
    <w:p w14:paraId="6007414F">
      <w:pPr>
        <w:spacing w:line="560" w:lineRule="exact"/>
        <w:ind w:firstLine="636" w:firstLineChars="200"/>
        <w:rPr>
          <w:rFonts w:eastAsia="仿宋_GB2312"/>
          <w:spacing w:val="-1"/>
          <w:sz w:val="32"/>
          <w:szCs w:val="32"/>
        </w:rPr>
      </w:pPr>
      <w:r>
        <w:rPr>
          <w:rFonts w:hint="eastAsia" w:eastAsia="仿宋_GB2312"/>
          <w:spacing w:val="-1"/>
          <w:sz w:val="32"/>
          <w:szCs w:val="32"/>
        </w:rPr>
        <w:t>阐述申请注册产品的研发背景和目的。如有参考的同类产品或前代产品，应当提供同类产品或前代产品的信息，并说明选择其作为研发参考的原因。</w:t>
      </w:r>
    </w:p>
    <w:p w14:paraId="11614AB2">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非临床资料</w:t>
      </w:r>
    </w:p>
    <w:p w14:paraId="5C7B3DB8">
      <w:pPr>
        <w:spacing w:line="560" w:lineRule="exact"/>
        <w:ind w:firstLine="636" w:firstLineChars="200"/>
        <w:rPr>
          <w:rFonts w:eastAsia="仿宋_GB2312"/>
          <w:spacing w:val="-1"/>
          <w:sz w:val="32"/>
          <w:szCs w:val="32"/>
        </w:rPr>
      </w:pPr>
      <w:r>
        <w:rPr>
          <w:rFonts w:hint="eastAsia" w:eastAsia="仿宋_GB2312"/>
          <w:spacing w:val="-1"/>
          <w:sz w:val="32"/>
          <w:szCs w:val="32"/>
        </w:rPr>
        <w:t>1.产品的主要风险</w:t>
      </w:r>
    </w:p>
    <w:p w14:paraId="7EFB9860">
      <w:pPr>
        <w:spacing w:line="560" w:lineRule="exact"/>
        <w:ind w:firstLine="636" w:firstLineChars="200"/>
        <w:rPr>
          <w:rFonts w:eastAsia="仿宋_GB2312"/>
          <w:spacing w:val="-1"/>
          <w:sz w:val="32"/>
          <w:szCs w:val="32"/>
        </w:rPr>
      </w:pPr>
      <w:r>
        <w:rPr>
          <w:rFonts w:hint="eastAsia" w:eastAsia="仿宋_GB2312"/>
          <w:spacing w:val="-1"/>
          <w:sz w:val="32"/>
          <w:szCs w:val="32"/>
        </w:rPr>
        <w:t>主要参考GB/T 42062《医疗器械风险管理对医疗器械的应用》。风险管理活动要贯穿产品设计、生产、上市后使用及产品处理的整个生命周期。要体现注册申请人风险管理活动计划的完整性，尤其上市管理的风险分析与评价过程。对于上市前风险管理中尚未认知的风险，应在上市后开展信息收集，一旦发现异常及时进行风险评价，采取控制措施，更新风险管理文件。</w:t>
      </w:r>
    </w:p>
    <w:p w14:paraId="1511A798">
      <w:pPr>
        <w:spacing w:line="560" w:lineRule="exact"/>
        <w:ind w:firstLine="636" w:firstLineChars="200"/>
        <w:rPr>
          <w:rFonts w:eastAsia="仿宋_GB2312"/>
          <w:spacing w:val="-1"/>
          <w:sz w:val="32"/>
          <w:szCs w:val="32"/>
        </w:rPr>
      </w:pPr>
      <w:r>
        <w:rPr>
          <w:rFonts w:hint="eastAsia" w:eastAsia="仿宋_GB2312"/>
          <w:spacing w:val="-1"/>
          <w:sz w:val="32"/>
          <w:szCs w:val="32"/>
        </w:rPr>
        <w:t>手术显微镜风险分析应参考GB/T 42062《医疗器械风险管理对医疗器械的应用》行业标准相关要求，逐一进行回答，也可以用列表的方式列示。剩余风险分析时，一定要逐一确认采取风险控制措施后，会不会引入或造成更大的风险，只有新引入风险能转化为可接受风险，方能认为风险受控。手术显微镜必须进行风险与收益分析，收益大于风险时方可接受。</w:t>
      </w:r>
    </w:p>
    <w:p w14:paraId="61572A7D">
      <w:pPr>
        <w:spacing w:line="560" w:lineRule="exact"/>
        <w:ind w:firstLine="636" w:firstLineChars="200"/>
        <w:rPr>
          <w:rFonts w:eastAsia="仿宋_GB2312"/>
          <w:spacing w:val="-1"/>
          <w:sz w:val="32"/>
          <w:szCs w:val="32"/>
        </w:rPr>
      </w:pPr>
      <w:r>
        <w:rPr>
          <w:rFonts w:hint="eastAsia" w:eastAsia="仿宋_GB2312"/>
          <w:spacing w:val="-1"/>
          <w:sz w:val="32"/>
          <w:szCs w:val="32"/>
        </w:rPr>
        <w:t>提供手术显微镜产品上市前风险管理报告，此报告旨在说明并承诺：</w:t>
      </w:r>
    </w:p>
    <w:p w14:paraId="6805E70F">
      <w:pPr>
        <w:spacing w:line="560" w:lineRule="exact"/>
        <w:ind w:firstLine="636" w:firstLineChars="200"/>
        <w:rPr>
          <w:rFonts w:eastAsia="仿宋_GB2312"/>
          <w:spacing w:val="-1"/>
          <w:sz w:val="32"/>
          <w:szCs w:val="32"/>
        </w:rPr>
      </w:pPr>
      <w:r>
        <w:rPr>
          <w:rFonts w:hint="eastAsia" w:eastAsia="仿宋_GB2312"/>
          <w:spacing w:val="-1"/>
          <w:sz w:val="32"/>
          <w:szCs w:val="32"/>
        </w:rPr>
        <w:t>——风险管理计划已被正确地实施。</w:t>
      </w:r>
    </w:p>
    <w:p w14:paraId="457E08A2">
      <w:pPr>
        <w:spacing w:line="560" w:lineRule="exact"/>
        <w:ind w:firstLine="636" w:firstLineChars="200"/>
        <w:rPr>
          <w:rFonts w:eastAsia="仿宋_GB2312"/>
          <w:spacing w:val="-1"/>
          <w:sz w:val="32"/>
          <w:szCs w:val="32"/>
        </w:rPr>
      </w:pPr>
      <w:r>
        <w:rPr>
          <w:rFonts w:hint="eastAsia" w:eastAsia="仿宋_GB2312"/>
          <w:spacing w:val="-1"/>
          <w:sz w:val="32"/>
          <w:szCs w:val="32"/>
        </w:rPr>
        <w:t>综合剩余风险是可接受的。</w:t>
      </w:r>
    </w:p>
    <w:p w14:paraId="0F1E150F">
      <w:pPr>
        <w:spacing w:line="560" w:lineRule="exact"/>
        <w:ind w:firstLine="636" w:firstLineChars="200"/>
        <w:rPr>
          <w:rFonts w:eastAsia="仿宋_GB2312"/>
          <w:spacing w:val="-1"/>
          <w:sz w:val="32"/>
          <w:szCs w:val="32"/>
        </w:rPr>
      </w:pPr>
      <w:r>
        <w:rPr>
          <w:rFonts w:hint="eastAsia" w:eastAsia="仿宋_GB2312"/>
          <w:spacing w:val="-1"/>
          <w:sz w:val="32"/>
          <w:szCs w:val="32"/>
        </w:rPr>
        <w:t>——已有恰当方法获得与注册申请人申报的手术显微镜产品相关和出厂后流通与临床应用的信息。</w:t>
      </w:r>
    </w:p>
    <w:p w14:paraId="101A8AA3">
      <w:pPr>
        <w:spacing w:line="560" w:lineRule="exact"/>
        <w:ind w:firstLine="636" w:firstLineChars="200"/>
        <w:rPr>
          <w:rFonts w:eastAsia="仿宋_GB2312"/>
          <w:spacing w:val="-1"/>
          <w:sz w:val="32"/>
          <w:szCs w:val="32"/>
        </w:rPr>
      </w:pPr>
      <w:r>
        <w:rPr>
          <w:rFonts w:hint="eastAsia" w:eastAsia="仿宋_GB2312"/>
          <w:spacing w:val="-1"/>
          <w:sz w:val="32"/>
          <w:szCs w:val="32"/>
        </w:rPr>
        <w:t>应随风险管理报告一并附上包括风险分析、风险评价、风险控制概述管理资料。至少应包括：</w:t>
      </w:r>
    </w:p>
    <w:p w14:paraId="65454CCE">
      <w:pPr>
        <w:spacing w:line="560" w:lineRule="exact"/>
        <w:ind w:firstLine="636" w:firstLineChars="200"/>
        <w:rPr>
          <w:rFonts w:eastAsia="仿宋_GB2312"/>
          <w:spacing w:val="-1"/>
          <w:sz w:val="32"/>
          <w:szCs w:val="32"/>
        </w:rPr>
      </w:pPr>
      <w:r>
        <w:rPr>
          <w:rFonts w:hint="eastAsia" w:eastAsia="仿宋_GB2312"/>
          <w:spacing w:val="-1"/>
          <w:sz w:val="32"/>
          <w:szCs w:val="32"/>
        </w:rPr>
        <w:t>——产品安全特征清单；</w:t>
      </w:r>
    </w:p>
    <w:p w14:paraId="2EA06084">
      <w:pPr>
        <w:spacing w:line="560" w:lineRule="exact"/>
        <w:ind w:firstLine="636" w:firstLineChars="200"/>
        <w:rPr>
          <w:rFonts w:eastAsia="仿宋_GB2312"/>
          <w:spacing w:val="-1"/>
          <w:sz w:val="32"/>
          <w:szCs w:val="32"/>
        </w:rPr>
      </w:pPr>
      <w:r>
        <w:rPr>
          <w:rFonts w:hint="eastAsia" w:eastAsia="仿宋_GB2312"/>
          <w:spacing w:val="-1"/>
          <w:sz w:val="32"/>
          <w:szCs w:val="32"/>
        </w:rPr>
        <w:t>——产品可预见危害及分析清单（说明危害、可预见事件序列、危害处境和可能发生的损害之间的关系）；</w:t>
      </w:r>
    </w:p>
    <w:p w14:paraId="59A36E16">
      <w:pPr>
        <w:spacing w:line="560" w:lineRule="exact"/>
        <w:ind w:firstLine="636" w:firstLineChars="200"/>
        <w:rPr>
          <w:rFonts w:eastAsia="仿宋_GB2312"/>
          <w:spacing w:val="-1"/>
          <w:sz w:val="32"/>
          <w:szCs w:val="32"/>
        </w:rPr>
      </w:pPr>
      <w:r>
        <w:rPr>
          <w:rFonts w:hint="eastAsia" w:eastAsia="仿宋_GB2312"/>
          <w:spacing w:val="-1"/>
          <w:sz w:val="32"/>
          <w:szCs w:val="32"/>
        </w:rPr>
        <w:t>——风险评价、风险控制措施以及剩余风险评价汇报表。</w:t>
      </w:r>
    </w:p>
    <w:p w14:paraId="6DC31C6E">
      <w:pPr>
        <w:spacing w:line="560" w:lineRule="exact"/>
        <w:ind w:firstLine="636" w:firstLineChars="200"/>
        <w:rPr>
          <w:rFonts w:eastAsia="仿宋_GB2312"/>
          <w:spacing w:val="-1"/>
          <w:sz w:val="32"/>
          <w:szCs w:val="32"/>
        </w:rPr>
      </w:pPr>
      <w:r>
        <w:rPr>
          <w:rFonts w:hint="eastAsia" w:eastAsia="仿宋_GB2312"/>
          <w:spacing w:val="-1"/>
          <w:sz w:val="32"/>
          <w:szCs w:val="32"/>
        </w:rPr>
        <w:t>对于风险分析和管理概述，应包括一份风险总结，以及如何将风险控制在可接受程度的内容。从生物学危害、机械危害、能量危害、有关使用的危害、信息危害和维护不周及老化引起的危害等方面，对产品进行全面分析并阐述相应的防范措施。</w:t>
      </w:r>
    </w:p>
    <w:p w14:paraId="71268B03">
      <w:pPr>
        <w:spacing w:line="560" w:lineRule="exact"/>
        <w:ind w:firstLine="636" w:firstLineChars="200"/>
        <w:rPr>
          <w:rFonts w:eastAsia="仿宋_GB2312"/>
          <w:spacing w:val="-1"/>
          <w:sz w:val="32"/>
          <w:szCs w:val="32"/>
        </w:rPr>
      </w:pPr>
      <w:r>
        <w:rPr>
          <w:rFonts w:eastAsia="仿宋_GB2312"/>
          <w:spacing w:val="-1"/>
          <w:sz w:val="32"/>
          <w:szCs w:val="32"/>
        </w:rPr>
        <w:t>1.1</w:t>
      </w:r>
      <w:r>
        <w:rPr>
          <w:rFonts w:hint="eastAsia" w:eastAsia="仿宋_GB2312"/>
          <w:spacing w:val="-1"/>
          <w:sz w:val="32"/>
          <w:szCs w:val="32"/>
        </w:rPr>
        <w:t>风险分析方法</w:t>
      </w:r>
    </w:p>
    <w:p w14:paraId="6EAFF762">
      <w:pPr>
        <w:spacing w:line="560" w:lineRule="exact"/>
        <w:ind w:firstLine="636" w:firstLineChars="200"/>
        <w:rPr>
          <w:rFonts w:eastAsia="仿宋_GB2312"/>
          <w:spacing w:val="-1"/>
          <w:sz w:val="32"/>
          <w:szCs w:val="32"/>
        </w:rPr>
      </w:pPr>
      <w:r>
        <w:rPr>
          <w:rFonts w:eastAsia="仿宋_GB2312"/>
          <w:spacing w:val="-1"/>
          <w:sz w:val="32"/>
          <w:szCs w:val="32"/>
        </w:rPr>
        <w:t>1.1.1</w:t>
      </w:r>
      <w:r>
        <w:rPr>
          <w:rFonts w:hint="eastAsia" w:eastAsia="仿宋_GB2312"/>
          <w:spacing w:val="-1"/>
          <w:sz w:val="32"/>
          <w:szCs w:val="32"/>
        </w:rPr>
        <w:t>在对风险的判定及分析中，要考虑合理的可预见的情况，包括：正常使用条件下和非正常使用条件下。</w:t>
      </w:r>
    </w:p>
    <w:p w14:paraId="6FB27032">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1.2风险判定及分析应包括：对于患者的危害、对于操作者的危害和对于环境的危害。</w:t>
      </w:r>
    </w:p>
    <w:p w14:paraId="2B872946">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1.3风险形成的初始原因应包括：人为因素，产品结构的危害，原材料危害，综合危害，环境条件。</w:t>
      </w:r>
    </w:p>
    <w:p w14:paraId="7B4726B0">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1.4风险判定及分析考虑的问题包括：生物相容性危害；机械危害；能量危害；操作信息，包括警示性语言、注意事项以及使用方法的准确性；使用过程可能存在的危害等。</w:t>
      </w:r>
    </w:p>
    <w:p w14:paraId="73A419FB">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2风险分析清单</w:t>
      </w:r>
    </w:p>
    <w:p w14:paraId="7985AFAF">
      <w:pPr>
        <w:spacing w:line="560" w:lineRule="exact"/>
        <w:ind w:firstLine="636" w:firstLineChars="200"/>
        <w:rPr>
          <w:rFonts w:eastAsia="仿宋_GB2312"/>
          <w:spacing w:val="-1"/>
          <w:sz w:val="32"/>
          <w:szCs w:val="32"/>
        </w:rPr>
      </w:pPr>
      <w:r>
        <w:rPr>
          <w:rFonts w:hint="eastAsia" w:eastAsia="仿宋_GB2312"/>
          <w:spacing w:val="-1"/>
          <w:sz w:val="32"/>
          <w:szCs w:val="32"/>
        </w:rPr>
        <w:t>手术显微镜产品的风险管理报告应符合GB/T 42062《医疗器械风险管理对医疗器械的应用》的有关要求，审查要点包括：</w:t>
      </w:r>
    </w:p>
    <w:p w14:paraId="18B1D65F">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2.1产品定性定量分析是否准确（依据YY/T 1437《医疗器械 GB/T 42062应用指南》）。</w:t>
      </w:r>
    </w:p>
    <w:p w14:paraId="7979AF7C">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2.2危害分析是否全面（依据GB/T 42062《医疗器械风险管理对医疗器械的应用》附录C基本风险概念）。</w:t>
      </w:r>
    </w:p>
    <w:p w14:paraId="4C4E11FF">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2.3风险可接收准则，降低风险的措施及采取措施后风险的可接收程度，是否有新的风险产生。</w:t>
      </w:r>
    </w:p>
    <w:p w14:paraId="6A15377B">
      <w:pPr>
        <w:spacing w:line="560" w:lineRule="exact"/>
        <w:ind w:firstLine="636" w:firstLineChars="200"/>
        <w:rPr>
          <w:rFonts w:eastAsia="仿宋_GB2312"/>
          <w:spacing w:val="-1"/>
          <w:sz w:val="32"/>
          <w:szCs w:val="32"/>
        </w:rPr>
      </w:pPr>
      <w:r>
        <w:rPr>
          <w:rFonts w:hint="eastAsia" w:eastAsia="仿宋_GB2312"/>
          <w:spacing w:val="-1"/>
          <w:sz w:val="32"/>
          <w:szCs w:val="32"/>
        </w:rPr>
        <w:t>根据GB/T 42062《医疗器械风险管理对医疗器械的应用》附录C基本风险概念对该产品已知或可预见的风险进行判定，手术显微镜产品在进行风险分析时至少应包括以下的主要危害，注册申请人还应根据自身产品特点确定其他危害。针对产品的各项风险，注册申请人应采取应对措施，确保风险降到可接受的程度。</w:t>
      </w:r>
    </w:p>
    <w:p w14:paraId="4AFE4D56">
      <w:pPr>
        <w:spacing w:line="560" w:lineRule="exact"/>
        <w:ind w:firstLine="636" w:firstLineChars="200"/>
        <w:rPr>
          <w:rFonts w:eastAsia="仿宋_GB2312"/>
          <w:spacing w:val="-1"/>
          <w:sz w:val="32"/>
          <w:szCs w:val="32"/>
        </w:rPr>
      </w:pPr>
      <w:r>
        <w:rPr>
          <w:rFonts w:eastAsia="仿宋_GB2312"/>
          <w:spacing w:val="-1"/>
          <w:sz w:val="32"/>
          <w:szCs w:val="32"/>
        </w:rPr>
        <w:t>1.</w:t>
      </w:r>
      <w:r>
        <w:rPr>
          <w:rFonts w:hint="eastAsia" w:eastAsia="仿宋_GB2312"/>
          <w:spacing w:val="-1"/>
          <w:sz w:val="32"/>
          <w:szCs w:val="32"/>
        </w:rPr>
        <w:t>3产品的主要危害</w:t>
      </w:r>
    </w:p>
    <w:p w14:paraId="18E9CC6A">
      <w:pPr>
        <w:spacing w:line="560" w:lineRule="exact"/>
        <w:ind w:firstLine="556" w:firstLineChars="200"/>
        <w:jc w:val="center"/>
        <w:rPr>
          <w:rFonts w:ascii="黑体" w:hAnsi="黑体" w:eastAsia="黑体"/>
          <w:spacing w:val="-1"/>
          <w:sz w:val="28"/>
          <w:szCs w:val="28"/>
        </w:rPr>
      </w:pPr>
      <w:r>
        <w:rPr>
          <w:rFonts w:hint="eastAsia" w:ascii="黑体" w:hAnsi="黑体" w:eastAsia="黑体"/>
          <w:spacing w:val="-1"/>
          <w:sz w:val="28"/>
          <w:szCs w:val="28"/>
        </w:rPr>
        <w:t>表2产品主要初始危害因素</w:t>
      </w:r>
    </w:p>
    <w:tbl>
      <w:tblPr>
        <w:tblStyle w:val="8"/>
        <w:tblW w:w="9498"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5"/>
        <w:gridCol w:w="7513"/>
      </w:tblGrid>
      <w:tr w14:paraId="4F228E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8" w:hRule="atLeast"/>
          <w:tblHeader/>
        </w:trPr>
        <w:tc>
          <w:tcPr>
            <w:tcW w:w="1985" w:type="dxa"/>
            <w:tcBorders>
              <w:top w:val="single" w:color="auto" w:sz="4" w:space="0"/>
              <w:left w:val="single" w:color="auto" w:sz="4" w:space="0"/>
              <w:bottom w:val="single" w:color="auto" w:sz="4" w:space="0"/>
              <w:right w:val="single" w:color="auto" w:sz="4" w:space="0"/>
            </w:tcBorders>
            <w:vAlign w:val="center"/>
          </w:tcPr>
          <w:p w14:paraId="5C53AEC3">
            <w:pPr>
              <w:autoSpaceDE w:val="0"/>
              <w:autoSpaceDN w:val="0"/>
              <w:adjustRightInd w:val="0"/>
              <w:spacing w:line="440" w:lineRule="exact"/>
              <w:ind w:right="-67" w:rightChars="-32"/>
              <w:jc w:val="center"/>
              <w:rPr>
                <w:rFonts w:ascii="黑体" w:hAnsi="黑体" w:eastAsia="黑体"/>
                <w:kern w:val="0"/>
                <w:sz w:val="28"/>
                <w:szCs w:val="28"/>
              </w:rPr>
            </w:pPr>
            <w:r>
              <w:rPr>
                <w:rFonts w:ascii="黑体" w:hAnsi="黑体" w:eastAsia="黑体"/>
                <w:kern w:val="0"/>
                <w:sz w:val="28"/>
                <w:szCs w:val="28"/>
              </w:rPr>
              <w:t>通用类别</w:t>
            </w:r>
          </w:p>
        </w:tc>
        <w:tc>
          <w:tcPr>
            <w:tcW w:w="7513" w:type="dxa"/>
            <w:tcBorders>
              <w:top w:val="single" w:color="auto" w:sz="4" w:space="0"/>
              <w:left w:val="single" w:color="auto" w:sz="4" w:space="0"/>
              <w:bottom w:val="single" w:color="auto" w:sz="4" w:space="0"/>
              <w:right w:val="single" w:color="auto" w:sz="4" w:space="0"/>
            </w:tcBorders>
            <w:vAlign w:val="center"/>
          </w:tcPr>
          <w:p w14:paraId="116447C8">
            <w:pPr>
              <w:autoSpaceDE w:val="0"/>
              <w:autoSpaceDN w:val="0"/>
              <w:adjustRightInd w:val="0"/>
              <w:spacing w:line="440" w:lineRule="exact"/>
              <w:ind w:right="-67" w:rightChars="-32"/>
              <w:jc w:val="center"/>
              <w:rPr>
                <w:rFonts w:ascii="黑体" w:hAnsi="黑体" w:eastAsia="黑体"/>
                <w:kern w:val="0"/>
                <w:sz w:val="28"/>
                <w:szCs w:val="28"/>
              </w:rPr>
            </w:pPr>
            <w:r>
              <w:rPr>
                <w:rFonts w:ascii="黑体" w:hAnsi="黑体" w:eastAsia="黑体"/>
                <w:kern w:val="0"/>
                <w:sz w:val="28"/>
                <w:szCs w:val="28"/>
              </w:rPr>
              <w:t>初始事件和环境示例</w:t>
            </w:r>
          </w:p>
        </w:tc>
      </w:tr>
      <w:tr w14:paraId="30CD9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985" w:type="dxa"/>
            <w:tcBorders>
              <w:top w:val="single" w:color="auto" w:sz="4" w:space="0"/>
              <w:left w:val="single" w:color="auto" w:sz="4" w:space="0"/>
              <w:bottom w:val="single" w:color="auto" w:sz="4" w:space="0"/>
              <w:right w:val="single" w:color="auto" w:sz="4" w:space="0"/>
            </w:tcBorders>
            <w:vAlign w:val="center"/>
          </w:tcPr>
          <w:p w14:paraId="7BBF1CCD">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不完整的要求</w:t>
            </w:r>
          </w:p>
        </w:tc>
        <w:tc>
          <w:tcPr>
            <w:tcW w:w="7513" w:type="dxa"/>
            <w:tcBorders>
              <w:top w:val="single" w:color="auto" w:sz="4" w:space="0"/>
              <w:left w:val="single" w:color="auto" w:sz="4" w:space="0"/>
              <w:bottom w:val="single" w:color="auto" w:sz="4" w:space="0"/>
              <w:right w:val="single" w:color="auto" w:sz="4" w:space="0"/>
            </w:tcBorders>
            <w:vAlign w:val="center"/>
          </w:tcPr>
          <w:p w14:paraId="71E141DF">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设计参数的不恰当规范：</w:t>
            </w:r>
          </w:p>
          <w:p w14:paraId="355BEC2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可触及金属部分、外壳、应用部分等与带电部分隔离/保护设计缺陷，导致电击危险防护能力较低，可能对使用者或患者造成电击危害；</w:t>
            </w:r>
          </w:p>
          <w:p w14:paraId="1F9E561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设备插头剩余电压过高；</w:t>
            </w:r>
          </w:p>
          <w:p w14:paraId="2F74B46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支撑装置载荷设计不合理，固定不牢固，机械调节支撑件强度不足，立式设备脚轮锁定不良，设备稳定性差，设备面、角、边粗糙，对使用者造成机械损伤；</w:t>
            </w:r>
          </w:p>
          <w:p w14:paraId="2FC3ED2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（4）</w:t>
            </w:r>
            <w:r>
              <w:rPr>
                <w:rFonts w:eastAsia="仿宋_GB2312"/>
                <w:kern w:val="0"/>
                <w:sz w:val="28"/>
                <w:szCs w:val="28"/>
              </w:rPr>
              <w:t>电磁兼容性不符合要求，导致设备基本性能降低或干扰其他设备的正常工作；</w:t>
            </w:r>
          </w:p>
          <w:p w14:paraId="6DC0D49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（5）</w:t>
            </w:r>
            <w:r>
              <w:rPr>
                <w:rFonts w:eastAsia="仿宋_GB2312"/>
                <w:kern w:val="0"/>
                <w:sz w:val="28"/>
                <w:szCs w:val="28"/>
              </w:rPr>
              <w:t>受潮防护能力不足，导致电击危害。</w:t>
            </w:r>
          </w:p>
          <w:p w14:paraId="19A78E5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光源部件产生大量的热能，防护罩未采用隔热措施导致可接触的外表面温度过高，且未张贴警示性符号，导致高温危害；光源部件未设计过滤措施，导致光斑直射患者敏感区域（如眼底黄斑等），造成光照危害。</w:t>
            </w:r>
          </w:p>
          <w:p w14:paraId="4C0BE34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与人体直接接触部件材料的生物相容性问题。</w:t>
            </w:r>
          </w:p>
          <w:p w14:paraId="24FE62A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4.</w:t>
            </w:r>
            <w:r>
              <w:rPr>
                <w:rFonts w:eastAsia="仿宋_GB2312"/>
                <w:kern w:val="0"/>
                <w:sz w:val="28"/>
                <w:szCs w:val="28"/>
              </w:rPr>
              <w:t>随机文件中要求不恰当不规范：</w:t>
            </w:r>
          </w:p>
          <w:p w14:paraId="7F1B5F4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使用说明书未对设备正确使用的内容和执行方式、设备的维护、保养方式、方法、频次进行说明，导致设备不能正常使用。</w:t>
            </w:r>
          </w:p>
          <w:p w14:paraId="5822247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元器件、附件或组件功能失效：光源输出异常（照度增加或减小）、图像采集异常导致设备无法获取准确的图像、控制组件（如脚控等）失灵导致操作失控和安全性能出现隐患。</w:t>
            </w:r>
          </w:p>
          <w:p w14:paraId="30DED48F">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5.</w:t>
            </w:r>
            <w:r>
              <w:rPr>
                <w:rFonts w:eastAsia="仿宋_GB2312"/>
                <w:kern w:val="0"/>
                <w:sz w:val="28"/>
                <w:szCs w:val="28"/>
              </w:rPr>
              <w:t>寿命的结束：设备/附件的使用寿命和贮藏寿命导致设备/附件超期非正常使用、器件松动，致使关键元器件，如光源，稳定性等性能指标降低，安全性能出现隐患。</w:t>
            </w:r>
          </w:p>
          <w:p w14:paraId="6F8D432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6.</w:t>
            </w:r>
            <w:r>
              <w:rPr>
                <w:rFonts w:eastAsia="仿宋_GB2312"/>
                <w:kern w:val="0"/>
                <w:sz w:val="28"/>
                <w:szCs w:val="28"/>
              </w:rPr>
              <w:t>重要的安全机构未张贴警示性符号，导致误操作后的机械损伤。</w:t>
            </w:r>
          </w:p>
          <w:p w14:paraId="1956C4E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7.</w:t>
            </w:r>
            <w:r>
              <w:rPr>
                <w:rFonts w:eastAsia="仿宋_GB2312"/>
                <w:kern w:val="0"/>
                <w:sz w:val="28"/>
                <w:szCs w:val="28"/>
              </w:rPr>
              <w:t>适应症的缺失和对医护人员的告诫不足导致被检查者受伤。</w:t>
            </w:r>
          </w:p>
        </w:tc>
      </w:tr>
      <w:tr w14:paraId="6A464F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8" w:hRule="atLeast"/>
        </w:trPr>
        <w:tc>
          <w:tcPr>
            <w:tcW w:w="1985" w:type="dxa"/>
            <w:tcBorders>
              <w:top w:val="single" w:color="auto" w:sz="4" w:space="0"/>
              <w:left w:val="single" w:color="auto" w:sz="4" w:space="0"/>
              <w:bottom w:val="single" w:color="auto" w:sz="4" w:space="0"/>
              <w:right w:val="single" w:color="auto" w:sz="4" w:space="0"/>
            </w:tcBorders>
            <w:vAlign w:val="center"/>
          </w:tcPr>
          <w:p w14:paraId="5B5E5F19">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制造过程</w:t>
            </w:r>
          </w:p>
        </w:tc>
        <w:tc>
          <w:tcPr>
            <w:tcW w:w="7513" w:type="dxa"/>
            <w:tcBorders>
              <w:top w:val="single" w:color="auto" w:sz="4" w:space="0"/>
              <w:left w:val="single" w:color="auto" w:sz="4" w:space="0"/>
              <w:bottom w:val="single" w:color="auto" w:sz="4" w:space="0"/>
              <w:right w:val="single" w:color="auto" w:sz="4" w:space="0"/>
            </w:tcBorders>
            <w:vAlign w:val="center"/>
          </w:tcPr>
          <w:p w14:paraId="4E731F1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制造过程更改的控制不充分：控制程序修改未经完整、充分验证，导致设备性能参数指标不符合标准要求。</w:t>
            </w:r>
          </w:p>
          <w:p w14:paraId="317BB8F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制造过程的控制不充分：生产过程关键工序控制点未进行监测，导致部件或整机不合格。</w:t>
            </w:r>
          </w:p>
          <w:p w14:paraId="7274149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供</w:t>
            </w:r>
            <w:r>
              <w:rPr>
                <w:rFonts w:eastAsia="仿宋_GB2312"/>
                <w:spacing w:val="-4"/>
                <w:kern w:val="0"/>
                <w:sz w:val="28"/>
                <w:szCs w:val="28"/>
              </w:rPr>
              <w:t>方的控制不充分：外购、外协件供方选择不当，外购、外协件未进行有效进货检验，导致不合格外购、外协件投入生产。</w:t>
            </w:r>
          </w:p>
        </w:tc>
      </w:tr>
      <w:tr w14:paraId="682A4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7" w:hRule="atLeast"/>
        </w:trPr>
        <w:tc>
          <w:tcPr>
            <w:tcW w:w="1985" w:type="dxa"/>
            <w:tcBorders>
              <w:top w:val="single" w:color="auto" w:sz="4" w:space="0"/>
              <w:left w:val="single" w:color="auto" w:sz="4" w:space="0"/>
              <w:bottom w:val="single" w:color="auto" w:sz="4" w:space="0"/>
              <w:right w:val="single" w:color="auto" w:sz="4" w:space="0"/>
            </w:tcBorders>
            <w:vAlign w:val="center"/>
          </w:tcPr>
          <w:p w14:paraId="266D6405">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运输和贮藏</w:t>
            </w:r>
          </w:p>
        </w:tc>
        <w:tc>
          <w:tcPr>
            <w:tcW w:w="7513" w:type="dxa"/>
            <w:tcBorders>
              <w:top w:val="single" w:color="auto" w:sz="4" w:space="0"/>
              <w:left w:val="single" w:color="auto" w:sz="4" w:space="0"/>
              <w:bottom w:val="single" w:color="auto" w:sz="4" w:space="0"/>
              <w:right w:val="single" w:color="auto" w:sz="4" w:space="0"/>
            </w:tcBorders>
            <w:vAlign w:val="center"/>
          </w:tcPr>
          <w:p w14:paraId="4DA2D84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不恰当的包装：产品防护不当导致设备运输过程中损坏。</w:t>
            </w:r>
          </w:p>
          <w:p w14:paraId="7B50DC8F">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不适当的环境条件：在超出设备规定的贮藏环境（温度、湿度、大气压力）贮藏设备，导致设备不能正常工作。</w:t>
            </w:r>
          </w:p>
        </w:tc>
      </w:tr>
      <w:tr w14:paraId="2B33E1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5" w:hRule="atLeast"/>
        </w:trPr>
        <w:tc>
          <w:tcPr>
            <w:tcW w:w="1985" w:type="dxa"/>
            <w:tcBorders>
              <w:top w:val="single" w:color="auto" w:sz="4" w:space="0"/>
              <w:left w:val="single" w:color="auto" w:sz="4" w:space="0"/>
              <w:bottom w:val="single" w:color="auto" w:sz="4" w:space="0"/>
              <w:right w:val="single" w:color="auto" w:sz="4" w:space="0"/>
            </w:tcBorders>
            <w:vAlign w:val="center"/>
          </w:tcPr>
          <w:p w14:paraId="3989D618">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环境因素</w:t>
            </w:r>
          </w:p>
        </w:tc>
        <w:tc>
          <w:tcPr>
            <w:tcW w:w="7513" w:type="dxa"/>
            <w:tcBorders>
              <w:top w:val="single" w:color="auto" w:sz="4" w:space="0"/>
              <w:left w:val="single" w:color="auto" w:sz="4" w:space="0"/>
              <w:bottom w:val="single" w:color="auto" w:sz="4" w:space="0"/>
              <w:right w:val="single" w:color="auto" w:sz="4" w:space="0"/>
            </w:tcBorders>
            <w:vAlign w:val="center"/>
          </w:tcPr>
          <w:p w14:paraId="77E728B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物理学（如热、压力、时间）：液体、过热/冷环境可能导致设备不能正常工作。</w:t>
            </w:r>
          </w:p>
          <w:p w14:paraId="4BF9E11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电磁场（如对电磁干扰的敏感度）：</w:t>
            </w:r>
          </w:p>
          <w:p w14:paraId="62C5CFB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抗电磁干扰能力差，特定环境设备工作不正常；</w:t>
            </w:r>
          </w:p>
          <w:p w14:paraId="7A10DD32">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A类设备在B类设备的环境中使用会对公共电网产生影响，干扰公共电网中其他用电设备的正常运行。</w:t>
            </w:r>
          </w:p>
          <w:p w14:paraId="7402D1B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不适当的能量供应：设备的供电电压不稳定，导致设备不能正常工作或损坏、光源光照强度不稳定。</w:t>
            </w:r>
          </w:p>
        </w:tc>
      </w:tr>
      <w:tr w14:paraId="3F48D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trPr>
        <w:tc>
          <w:tcPr>
            <w:tcW w:w="1985" w:type="dxa"/>
            <w:tcBorders>
              <w:top w:val="single" w:color="auto" w:sz="4" w:space="0"/>
              <w:left w:val="single" w:color="auto" w:sz="4" w:space="0"/>
              <w:bottom w:val="single" w:color="auto" w:sz="4" w:space="0"/>
              <w:right w:val="single" w:color="auto" w:sz="4" w:space="0"/>
            </w:tcBorders>
            <w:vAlign w:val="center"/>
          </w:tcPr>
          <w:p w14:paraId="004D708A">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清洁、消毒</w:t>
            </w:r>
          </w:p>
        </w:tc>
        <w:tc>
          <w:tcPr>
            <w:tcW w:w="7513" w:type="dxa"/>
            <w:tcBorders>
              <w:top w:val="single" w:color="auto" w:sz="4" w:space="0"/>
              <w:left w:val="single" w:color="auto" w:sz="4" w:space="0"/>
              <w:bottom w:val="single" w:color="auto" w:sz="4" w:space="0"/>
              <w:right w:val="single" w:color="auto" w:sz="4" w:space="0"/>
            </w:tcBorders>
            <w:vAlign w:val="center"/>
          </w:tcPr>
          <w:p w14:paraId="35E3162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使用说明书中推荐的清洗消毒方法未经确认。</w:t>
            </w:r>
          </w:p>
          <w:p w14:paraId="63D6B77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使用者未按要求进行防护、清洗和消毒（如：使用错误的消毒剂）</w:t>
            </w:r>
          </w:p>
        </w:tc>
      </w:tr>
      <w:tr w14:paraId="4F23E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1985" w:type="dxa"/>
            <w:tcBorders>
              <w:top w:val="single" w:color="auto" w:sz="4" w:space="0"/>
              <w:left w:val="single" w:color="auto" w:sz="4" w:space="0"/>
              <w:bottom w:val="single" w:color="auto" w:sz="4" w:space="0"/>
              <w:right w:val="single" w:color="auto" w:sz="4" w:space="0"/>
            </w:tcBorders>
            <w:vAlign w:val="center"/>
          </w:tcPr>
          <w:p w14:paraId="6849772F">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处置和废弃</w:t>
            </w:r>
          </w:p>
        </w:tc>
        <w:tc>
          <w:tcPr>
            <w:tcW w:w="7513" w:type="dxa"/>
            <w:tcBorders>
              <w:top w:val="single" w:color="auto" w:sz="4" w:space="0"/>
              <w:left w:val="single" w:color="auto" w:sz="4" w:space="0"/>
              <w:bottom w:val="single" w:color="auto" w:sz="4" w:space="0"/>
              <w:right w:val="single" w:color="auto" w:sz="4" w:space="0"/>
            </w:tcBorders>
            <w:vAlign w:val="center"/>
          </w:tcPr>
          <w:p w14:paraId="656E2F92">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未提供信息或提供信息不充分：未在使用说明书中对设备的废弃物处置进行提示性说明。</w:t>
            </w:r>
          </w:p>
        </w:tc>
      </w:tr>
      <w:tr w14:paraId="09A35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1985" w:type="dxa"/>
            <w:tcBorders>
              <w:top w:val="single" w:color="auto" w:sz="4" w:space="0"/>
              <w:left w:val="single" w:color="auto" w:sz="4" w:space="0"/>
              <w:bottom w:val="single" w:color="auto" w:sz="4" w:space="0"/>
              <w:right w:val="single" w:color="auto" w:sz="4" w:space="0"/>
            </w:tcBorders>
            <w:vAlign w:val="center"/>
          </w:tcPr>
          <w:p w14:paraId="2FEDD0C0">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材料</w:t>
            </w:r>
          </w:p>
        </w:tc>
        <w:tc>
          <w:tcPr>
            <w:tcW w:w="7513" w:type="dxa"/>
            <w:tcBorders>
              <w:top w:val="single" w:color="auto" w:sz="4" w:space="0"/>
              <w:left w:val="single" w:color="auto" w:sz="4" w:space="0"/>
              <w:bottom w:val="single" w:color="auto" w:sz="4" w:space="0"/>
              <w:right w:val="single" w:color="auto" w:sz="4" w:space="0"/>
            </w:tcBorders>
            <w:vAlign w:val="center"/>
          </w:tcPr>
          <w:p w14:paraId="516E258C">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生物相容性：与人体接触的部件材料选择不当可致过敏等反应。</w:t>
            </w:r>
          </w:p>
        </w:tc>
      </w:tr>
      <w:tr w14:paraId="0B14DE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7" w:hRule="atLeast"/>
        </w:trPr>
        <w:tc>
          <w:tcPr>
            <w:tcW w:w="1985" w:type="dxa"/>
            <w:tcBorders>
              <w:top w:val="single" w:color="auto" w:sz="4" w:space="0"/>
              <w:left w:val="single" w:color="auto" w:sz="4" w:space="0"/>
              <w:right w:val="single" w:color="auto" w:sz="4" w:space="0"/>
            </w:tcBorders>
            <w:vAlign w:val="center"/>
          </w:tcPr>
          <w:p w14:paraId="5A47F815">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人为因素</w:t>
            </w:r>
          </w:p>
        </w:tc>
        <w:tc>
          <w:tcPr>
            <w:tcW w:w="7513" w:type="dxa"/>
            <w:tcBorders>
              <w:top w:val="single" w:color="auto" w:sz="4" w:space="0"/>
              <w:left w:val="single" w:color="auto" w:sz="4" w:space="0"/>
              <w:right w:val="single" w:color="auto" w:sz="4" w:space="0"/>
            </w:tcBorders>
            <w:vAlign w:val="center"/>
          </w:tcPr>
          <w:p w14:paraId="16052662">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设计缺陷引发可能的使用错误。</w:t>
            </w:r>
          </w:p>
          <w:p w14:paraId="1F4384D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易混淆的或缺少使用说明书：</w:t>
            </w:r>
          </w:p>
          <w:p w14:paraId="4A8031B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如缺少详细的使用方法、缺少必要的技术参数、缺少必要的警告说明、缺少必要的电路图和元器件清单、缺少运输和贮存环境条件的限制；</w:t>
            </w:r>
          </w:p>
          <w:p w14:paraId="0970EAE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设备在故障状态（如断开保护接地线、设备的元器件出现故障）下运行可产生危险警示不足；</w:t>
            </w:r>
          </w:p>
          <w:p w14:paraId="23855B4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使用前未检查设备工作状态；操作说明过于复杂，不易懂；未说明如何正确维护、保养设备/附件；</w:t>
            </w:r>
          </w:p>
          <w:p w14:paraId="7A2FD56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（4）</w:t>
            </w:r>
            <w:r>
              <w:rPr>
                <w:rFonts w:eastAsia="仿宋_GB2312"/>
                <w:kern w:val="0"/>
                <w:sz w:val="28"/>
                <w:szCs w:val="28"/>
              </w:rPr>
              <w:t>若需客户自行安装未详细说明装配过程和注意事项；</w:t>
            </w:r>
          </w:p>
          <w:p w14:paraId="5E9E2E87">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（5）</w:t>
            </w:r>
            <w:r>
              <w:rPr>
                <w:rFonts w:eastAsia="仿宋_GB2312"/>
                <w:kern w:val="0"/>
                <w:sz w:val="28"/>
                <w:szCs w:val="28"/>
              </w:rPr>
              <w:t>未说明故障排除指南。</w:t>
            </w:r>
          </w:p>
          <w:p w14:paraId="756BE255">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（6）</w:t>
            </w:r>
            <w:r>
              <w:rPr>
                <w:rFonts w:eastAsia="仿宋_GB2312"/>
                <w:kern w:val="0"/>
                <w:sz w:val="28"/>
                <w:szCs w:val="28"/>
              </w:rPr>
              <w:t>机械结构如限位、锁紧等安全装置使用程序不明确或不清晰。</w:t>
            </w:r>
          </w:p>
          <w:p w14:paraId="46D6C94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（7）</w:t>
            </w:r>
            <w:r>
              <w:rPr>
                <w:rFonts w:eastAsia="仿宋_GB2312"/>
                <w:kern w:val="0"/>
                <w:sz w:val="28"/>
                <w:szCs w:val="28"/>
              </w:rPr>
              <w:t>悬挂额外重物，导致机器悬挂重量过载；</w:t>
            </w:r>
          </w:p>
          <w:p w14:paraId="38F52A2C">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（8）</w:t>
            </w:r>
            <w:r>
              <w:rPr>
                <w:rFonts w:eastAsia="仿宋_GB2312"/>
                <w:kern w:val="0"/>
                <w:sz w:val="28"/>
                <w:szCs w:val="28"/>
              </w:rPr>
              <w:t>清洗、消毒方法不明确。</w:t>
            </w:r>
          </w:p>
          <w:p w14:paraId="305FB15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（9）</w:t>
            </w:r>
            <w:r>
              <w:rPr>
                <w:rFonts w:eastAsia="仿宋_GB2312"/>
                <w:kern w:val="0"/>
                <w:sz w:val="28"/>
                <w:szCs w:val="28"/>
              </w:rPr>
              <w:t>光源过热的警告不明确或不清晰。</w:t>
            </w:r>
          </w:p>
          <w:p w14:paraId="62239B97">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（10）</w:t>
            </w:r>
            <w:r>
              <w:rPr>
                <w:rFonts w:eastAsia="仿宋_GB2312"/>
                <w:kern w:val="0"/>
                <w:sz w:val="28"/>
                <w:szCs w:val="28"/>
              </w:rPr>
              <w:t>由缺乏技术的/未经培训的人员使用：使用者/操作者未经培训或培训不足，不能正确使用和维护、保养设备。</w:t>
            </w:r>
          </w:p>
        </w:tc>
      </w:tr>
      <w:tr w14:paraId="61C5A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5" w:hRule="atLeast"/>
        </w:trPr>
        <w:tc>
          <w:tcPr>
            <w:tcW w:w="1985" w:type="dxa"/>
            <w:tcBorders>
              <w:top w:val="single" w:color="auto" w:sz="4" w:space="0"/>
              <w:left w:val="single" w:color="auto" w:sz="4" w:space="0"/>
              <w:bottom w:val="single" w:color="auto" w:sz="4" w:space="0"/>
              <w:right w:val="single" w:color="auto" w:sz="4" w:space="0"/>
            </w:tcBorders>
            <w:vAlign w:val="center"/>
          </w:tcPr>
          <w:p w14:paraId="3A9B4008">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失效模式</w:t>
            </w:r>
          </w:p>
        </w:tc>
        <w:tc>
          <w:tcPr>
            <w:tcW w:w="7513" w:type="dxa"/>
            <w:tcBorders>
              <w:top w:val="single" w:color="auto" w:sz="4" w:space="0"/>
              <w:left w:val="single" w:color="auto" w:sz="4" w:space="0"/>
              <w:bottom w:val="single" w:color="auto" w:sz="4" w:space="0"/>
              <w:right w:val="single" w:color="auto" w:sz="4" w:space="0"/>
            </w:tcBorders>
            <w:vAlign w:val="center"/>
          </w:tcPr>
          <w:p w14:paraId="70F43FC8">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1.</w:t>
            </w:r>
            <w:r>
              <w:rPr>
                <w:rFonts w:eastAsia="仿宋_GB2312"/>
                <w:kern w:val="0"/>
                <w:sz w:val="28"/>
                <w:szCs w:val="28"/>
              </w:rPr>
              <w:t>光路故障：光强度不受控、放大率不正确、成像模糊、光学元器件受潮。</w:t>
            </w:r>
          </w:p>
          <w:p w14:paraId="2BBFDAE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2.</w:t>
            </w:r>
            <w:r>
              <w:rPr>
                <w:rFonts w:eastAsia="仿宋_GB2312"/>
                <w:kern w:val="0"/>
                <w:sz w:val="28"/>
                <w:szCs w:val="28"/>
              </w:rPr>
              <w:t>软件故障：用户文档中提到的功能不可执行；</w:t>
            </w:r>
          </w:p>
          <w:p w14:paraId="653FC36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3.</w:t>
            </w:r>
            <w:r>
              <w:rPr>
                <w:rFonts w:eastAsia="仿宋_GB2312"/>
                <w:kern w:val="0"/>
                <w:sz w:val="28"/>
                <w:szCs w:val="28"/>
              </w:rPr>
              <w:t>无法显示图像或图像不清晰等；</w:t>
            </w:r>
          </w:p>
          <w:p w14:paraId="5A3942D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4.</w:t>
            </w:r>
            <w:r>
              <w:rPr>
                <w:rFonts w:eastAsia="仿宋_GB2312"/>
                <w:kern w:val="0"/>
                <w:sz w:val="28"/>
                <w:szCs w:val="28"/>
              </w:rPr>
              <w:t>机械故障：平衡、锁紧装置失效，导致机械的悬架臂突然下坠或转动关节无法锁紧</w:t>
            </w:r>
            <w:r>
              <w:rPr>
                <w:rFonts w:hint="eastAsia" w:eastAsia="仿宋_GB2312"/>
                <w:kern w:val="0"/>
                <w:sz w:val="28"/>
                <w:szCs w:val="28"/>
              </w:rPr>
              <w:t>。</w:t>
            </w:r>
          </w:p>
        </w:tc>
      </w:tr>
    </w:tbl>
    <w:p w14:paraId="759CAEAF">
      <w:pPr>
        <w:spacing w:line="520" w:lineRule="exact"/>
        <w:jc w:val="center"/>
        <w:rPr>
          <w:rFonts w:ascii="黑体" w:hAnsi="黑体" w:eastAsia="黑体"/>
          <w:sz w:val="28"/>
          <w:szCs w:val="32"/>
        </w:rPr>
      </w:pPr>
      <w:r>
        <w:rPr>
          <w:rFonts w:hint="eastAsia" w:ascii="黑体" w:hAnsi="黑体" w:eastAsia="黑体"/>
          <w:sz w:val="28"/>
          <w:szCs w:val="32"/>
        </w:rPr>
        <w:t>表3危害分类、危害形成的因素、可能的后果之间的关系</w:t>
      </w:r>
    </w:p>
    <w:tbl>
      <w:tblPr>
        <w:tblStyle w:val="8"/>
        <w:tblW w:w="94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1399"/>
        <w:gridCol w:w="4603"/>
        <w:gridCol w:w="2438"/>
      </w:tblGrid>
      <w:tr w14:paraId="48B17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blHeader/>
          <w:jc w:val="center"/>
        </w:trPr>
        <w:tc>
          <w:tcPr>
            <w:tcW w:w="2392" w:type="dxa"/>
            <w:gridSpan w:val="2"/>
            <w:vAlign w:val="center"/>
          </w:tcPr>
          <w:p w14:paraId="16E65F38">
            <w:pPr>
              <w:autoSpaceDE w:val="0"/>
              <w:autoSpaceDN w:val="0"/>
              <w:adjustRightInd w:val="0"/>
              <w:spacing w:line="420" w:lineRule="exact"/>
              <w:ind w:right="-67" w:rightChars="-32"/>
              <w:rPr>
                <w:rFonts w:ascii="黑体" w:hAnsi="黑体" w:eastAsia="黑体"/>
                <w:kern w:val="0"/>
                <w:sz w:val="28"/>
                <w:szCs w:val="28"/>
              </w:rPr>
            </w:pPr>
            <w:r>
              <w:rPr>
                <w:rFonts w:ascii="黑体" w:hAnsi="黑体" w:eastAsia="黑体"/>
                <w:kern w:val="0"/>
                <w:sz w:val="28"/>
                <w:szCs w:val="28"/>
              </w:rPr>
              <w:t>危害分类</w:t>
            </w:r>
          </w:p>
        </w:tc>
        <w:tc>
          <w:tcPr>
            <w:tcW w:w="4603" w:type="dxa"/>
            <w:vAlign w:val="center"/>
          </w:tcPr>
          <w:p w14:paraId="1EDFB3B3">
            <w:pPr>
              <w:autoSpaceDE w:val="0"/>
              <w:autoSpaceDN w:val="0"/>
              <w:adjustRightInd w:val="0"/>
              <w:spacing w:line="420" w:lineRule="exact"/>
              <w:ind w:right="-67" w:rightChars="-32"/>
              <w:rPr>
                <w:rFonts w:ascii="黑体" w:hAnsi="黑体" w:eastAsia="黑体"/>
                <w:kern w:val="0"/>
                <w:sz w:val="28"/>
                <w:szCs w:val="28"/>
              </w:rPr>
            </w:pPr>
            <w:r>
              <w:rPr>
                <w:rFonts w:ascii="黑体" w:hAnsi="黑体" w:eastAsia="黑体"/>
                <w:kern w:val="0"/>
                <w:sz w:val="28"/>
                <w:szCs w:val="28"/>
              </w:rPr>
              <w:t>危害形成的因素</w:t>
            </w:r>
          </w:p>
        </w:tc>
        <w:tc>
          <w:tcPr>
            <w:tcW w:w="2438" w:type="dxa"/>
            <w:vAlign w:val="center"/>
          </w:tcPr>
          <w:p w14:paraId="06FD9107">
            <w:pPr>
              <w:autoSpaceDE w:val="0"/>
              <w:autoSpaceDN w:val="0"/>
              <w:adjustRightInd w:val="0"/>
              <w:spacing w:line="420" w:lineRule="exact"/>
              <w:ind w:right="-67" w:rightChars="-32"/>
              <w:rPr>
                <w:rFonts w:ascii="黑体" w:hAnsi="黑体" w:eastAsia="黑体"/>
                <w:kern w:val="0"/>
                <w:sz w:val="28"/>
                <w:szCs w:val="28"/>
              </w:rPr>
            </w:pPr>
            <w:r>
              <w:rPr>
                <w:rFonts w:ascii="黑体" w:hAnsi="黑体" w:eastAsia="黑体"/>
                <w:kern w:val="0"/>
                <w:sz w:val="28"/>
                <w:szCs w:val="28"/>
              </w:rPr>
              <w:t>可能的后果</w:t>
            </w:r>
          </w:p>
        </w:tc>
      </w:tr>
      <w:tr w14:paraId="0CCCC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8" w:hRule="atLeast"/>
          <w:jc w:val="center"/>
        </w:trPr>
        <w:tc>
          <w:tcPr>
            <w:tcW w:w="993" w:type="dxa"/>
            <w:vMerge w:val="restart"/>
            <w:vAlign w:val="center"/>
          </w:tcPr>
          <w:p w14:paraId="5B8D5505">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能量</w:t>
            </w:r>
          </w:p>
          <w:p w14:paraId="580380A6">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危害</w:t>
            </w:r>
          </w:p>
          <w:p w14:paraId="196B465C">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4376FA0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电磁能</w:t>
            </w:r>
          </w:p>
        </w:tc>
        <w:tc>
          <w:tcPr>
            <w:tcW w:w="4603" w:type="dxa"/>
            <w:vAlign w:val="center"/>
          </w:tcPr>
          <w:p w14:paraId="4662F11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使用环境内其他设备（移动电话、高频手术设备、微波手术设备等）对手术显微镜产生电磁干扰导致以下问题：电气设备输出参数（如照度）非预期增加或减小；控制组件（如工控机控制的机械组件）和显微镜变倍调焦功能突然失灵。</w:t>
            </w:r>
          </w:p>
        </w:tc>
        <w:tc>
          <w:tcPr>
            <w:tcW w:w="2438" w:type="dxa"/>
            <w:vAlign w:val="center"/>
          </w:tcPr>
          <w:p w14:paraId="5CC8575F">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伤害患者眼睛，危害手术过程的安全进行。</w:t>
            </w:r>
          </w:p>
        </w:tc>
      </w:tr>
      <w:tr w14:paraId="6F49E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1" w:hRule="atLeast"/>
          <w:jc w:val="center"/>
        </w:trPr>
        <w:tc>
          <w:tcPr>
            <w:tcW w:w="993" w:type="dxa"/>
            <w:vMerge w:val="continue"/>
          </w:tcPr>
          <w:p w14:paraId="27968F03">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55F91F0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电能</w:t>
            </w:r>
          </w:p>
        </w:tc>
        <w:tc>
          <w:tcPr>
            <w:tcW w:w="4603" w:type="dxa"/>
            <w:vAlign w:val="center"/>
          </w:tcPr>
          <w:p w14:paraId="512877E8">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应用部分漏电流超过标准要求；绝缘失效；接地不良，对地阻抗大；应用部分与带电部分没有充分隔离；设备的电源插头剩余电压过高；机器外壳的防护罩封闭不良。</w:t>
            </w:r>
          </w:p>
        </w:tc>
        <w:tc>
          <w:tcPr>
            <w:tcW w:w="2438" w:type="dxa"/>
            <w:vAlign w:val="center"/>
          </w:tcPr>
          <w:p w14:paraId="188CDEBE">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使用者或患者电击损伤、死亡。</w:t>
            </w:r>
          </w:p>
        </w:tc>
      </w:tr>
      <w:tr w14:paraId="13E48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jc w:val="center"/>
        </w:trPr>
        <w:tc>
          <w:tcPr>
            <w:tcW w:w="993" w:type="dxa"/>
            <w:vMerge w:val="continue"/>
            <w:vAlign w:val="center"/>
          </w:tcPr>
          <w:p w14:paraId="0078EF05">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3A76306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热能</w:t>
            </w:r>
          </w:p>
        </w:tc>
        <w:tc>
          <w:tcPr>
            <w:tcW w:w="4603" w:type="dxa"/>
            <w:vAlign w:val="center"/>
          </w:tcPr>
          <w:p w14:paraId="632C22AE">
            <w:pPr>
              <w:autoSpaceDE w:val="0"/>
              <w:autoSpaceDN w:val="0"/>
              <w:adjustRightInd w:val="0"/>
              <w:spacing w:line="420" w:lineRule="exact"/>
              <w:ind w:right="-67" w:rightChars="-32"/>
              <w:textAlignment w:val="center"/>
              <w:rPr>
                <w:rFonts w:eastAsia="仿宋_GB2312"/>
                <w:kern w:val="0"/>
                <w:sz w:val="28"/>
                <w:szCs w:val="28"/>
              </w:rPr>
            </w:pPr>
            <w:r>
              <w:rPr>
                <w:rFonts w:eastAsia="仿宋_GB2312"/>
                <w:kern w:val="0"/>
                <w:sz w:val="28"/>
                <w:szCs w:val="28"/>
              </w:rPr>
              <w:t>散热风扇失灵，光源处散热条件变差，长时间使用造成局部温升过高，引起组件着火；误接触高温外部。</w:t>
            </w:r>
          </w:p>
        </w:tc>
        <w:tc>
          <w:tcPr>
            <w:tcW w:w="2438" w:type="dxa"/>
            <w:vAlign w:val="center"/>
          </w:tcPr>
          <w:p w14:paraId="2F3B6027">
            <w:pPr>
              <w:autoSpaceDE w:val="0"/>
              <w:autoSpaceDN w:val="0"/>
              <w:adjustRightInd w:val="0"/>
              <w:spacing w:line="420" w:lineRule="exact"/>
              <w:ind w:right="-67" w:rightChars="-32"/>
              <w:textAlignment w:val="center"/>
              <w:rPr>
                <w:rFonts w:eastAsia="仿宋_GB2312"/>
                <w:kern w:val="0"/>
                <w:sz w:val="28"/>
                <w:szCs w:val="28"/>
              </w:rPr>
            </w:pPr>
            <w:r>
              <w:rPr>
                <w:rFonts w:eastAsia="仿宋_GB2312"/>
                <w:kern w:val="0"/>
                <w:sz w:val="28"/>
                <w:szCs w:val="28"/>
              </w:rPr>
              <w:t>引起火灾；烫伤。</w:t>
            </w:r>
          </w:p>
        </w:tc>
      </w:tr>
      <w:tr w14:paraId="483FF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993" w:type="dxa"/>
            <w:vMerge w:val="continue"/>
          </w:tcPr>
          <w:p w14:paraId="40AB8074">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0E6BBAC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机械能</w:t>
            </w:r>
          </w:p>
        </w:tc>
        <w:tc>
          <w:tcPr>
            <w:tcW w:w="4603" w:type="dxa"/>
            <w:vAlign w:val="center"/>
          </w:tcPr>
          <w:p w14:paraId="55E95FEC">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机械调节装置松动造成悬挂臂突然下坠；平衡、锁紧装置失灵。</w:t>
            </w:r>
          </w:p>
        </w:tc>
        <w:tc>
          <w:tcPr>
            <w:tcW w:w="2438" w:type="dxa"/>
            <w:vAlign w:val="center"/>
          </w:tcPr>
          <w:p w14:paraId="7511D5B2">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患者机械损伤。</w:t>
            </w:r>
          </w:p>
        </w:tc>
      </w:tr>
      <w:tr w14:paraId="1FDC6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0" w:hRule="atLeast"/>
          <w:jc w:val="center"/>
        </w:trPr>
        <w:tc>
          <w:tcPr>
            <w:tcW w:w="993" w:type="dxa"/>
            <w:vMerge w:val="continue"/>
          </w:tcPr>
          <w:p w14:paraId="59BD4DB6">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4E5B21DF">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光能</w:t>
            </w:r>
          </w:p>
        </w:tc>
        <w:tc>
          <w:tcPr>
            <w:tcW w:w="4603" w:type="dxa"/>
            <w:vAlign w:val="center"/>
          </w:tcPr>
          <w:p w14:paraId="192F514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光斑太大或太小；光源含有紫外线成分；光源含有近红外线成分；光斑中心直射患者敏感区域。</w:t>
            </w:r>
          </w:p>
        </w:tc>
        <w:tc>
          <w:tcPr>
            <w:tcW w:w="2438" w:type="dxa"/>
            <w:vAlign w:val="center"/>
          </w:tcPr>
          <w:p w14:paraId="474E3F3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可能对眼睛造成不适甚至损伤。</w:t>
            </w:r>
          </w:p>
        </w:tc>
      </w:tr>
      <w:tr w14:paraId="3DC00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jc w:val="center"/>
        </w:trPr>
        <w:tc>
          <w:tcPr>
            <w:tcW w:w="993" w:type="dxa"/>
            <w:vMerge w:val="restart"/>
            <w:vAlign w:val="center"/>
          </w:tcPr>
          <w:p w14:paraId="65A25EA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生物学危害</w:t>
            </w:r>
          </w:p>
        </w:tc>
        <w:tc>
          <w:tcPr>
            <w:tcW w:w="1399" w:type="dxa"/>
            <w:vAlign w:val="center"/>
          </w:tcPr>
          <w:p w14:paraId="211515B1">
            <w:pPr>
              <w:autoSpaceDE w:val="0"/>
              <w:autoSpaceDN w:val="0"/>
              <w:adjustRightInd w:val="0"/>
              <w:spacing w:line="420" w:lineRule="exact"/>
              <w:ind w:right="-67" w:rightChars="-32"/>
              <w:jc w:val="left"/>
              <w:rPr>
                <w:rFonts w:eastAsia="仿宋_GB2312"/>
                <w:kern w:val="0"/>
                <w:sz w:val="28"/>
                <w:szCs w:val="28"/>
              </w:rPr>
            </w:pPr>
            <w:r>
              <w:rPr>
                <w:rFonts w:eastAsia="仿宋_GB2312"/>
                <w:kern w:val="0"/>
                <w:sz w:val="28"/>
                <w:szCs w:val="28"/>
              </w:rPr>
              <w:t>再次或交叉感染</w:t>
            </w:r>
          </w:p>
        </w:tc>
        <w:tc>
          <w:tcPr>
            <w:tcW w:w="4603" w:type="dxa"/>
            <w:vAlign w:val="center"/>
          </w:tcPr>
          <w:p w14:paraId="40EDDA8D">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公共场所未经清洗、消毒的与人体接触的部件引起的交叉感染。</w:t>
            </w:r>
          </w:p>
        </w:tc>
        <w:tc>
          <w:tcPr>
            <w:tcW w:w="2438" w:type="dxa"/>
            <w:vAlign w:val="center"/>
          </w:tcPr>
          <w:p w14:paraId="7FE6365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患者或操作者接触部位损伤</w:t>
            </w:r>
          </w:p>
        </w:tc>
      </w:tr>
      <w:tr w14:paraId="02893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5" w:hRule="atLeast"/>
          <w:jc w:val="center"/>
        </w:trPr>
        <w:tc>
          <w:tcPr>
            <w:tcW w:w="993" w:type="dxa"/>
            <w:vMerge w:val="continue"/>
            <w:vAlign w:val="center"/>
          </w:tcPr>
          <w:p w14:paraId="09DE0908">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260D35CD">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原材料</w:t>
            </w:r>
          </w:p>
        </w:tc>
        <w:tc>
          <w:tcPr>
            <w:tcW w:w="4603" w:type="dxa"/>
            <w:vAlign w:val="center"/>
          </w:tcPr>
          <w:p w14:paraId="63D5AE4C">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手术显微镜的原材料有毒有害对人体造成的危害。</w:t>
            </w:r>
          </w:p>
        </w:tc>
        <w:tc>
          <w:tcPr>
            <w:tcW w:w="2438" w:type="dxa"/>
            <w:vAlign w:val="center"/>
          </w:tcPr>
          <w:p w14:paraId="178C75A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对人体产生潜在的危害</w:t>
            </w:r>
          </w:p>
        </w:tc>
      </w:tr>
      <w:tr w14:paraId="28275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993" w:type="dxa"/>
            <w:vAlign w:val="center"/>
          </w:tcPr>
          <w:p w14:paraId="641E17FF">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化学</w:t>
            </w:r>
          </w:p>
          <w:p w14:paraId="718B6AB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危害</w:t>
            </w:r>
          </w:p>
        </w:tc>
        <w:tc>
          <w:tcPr>
            <w:tcW w:w="1399" w:type="dxa"/>
            <w:vAlign w:val="center"/>
          </w:tcPr>
          <w:p w14:paraId="0C8A514B">
            <w:pPr>
              <w:autoSpaceDE w:val="0"/>
              <w:autoSpaceDN w:val="0"/>
              <w:adjustRightInd w:val="0"/>
              <w:spacing w:line="420" w:lineRule="exact"/>
              <w:ind w:left="1" w:leftChars="-30" w:right="-67" w:rightChars="-32" w:hanging="64" w:hangingChars="23"/>
              <w:rPr>
                <w:rFonts w:eastAsia="仿宋_GB2312"/>
                <w:kern w:val="0"/>
                <w:sz w:val="28"/>
                <w:szCs w:val="28"/>
              </w:rPr>
            </w:pPr>
            <w:r>
              <w:rPr>
                <w:rFonts w:eastAsia="仿宋_GB2312"/>
                <w:kern w:val="0"/>
                <w:sz w:val="28"/>
                <w:szCs w:val="28"/>
              </w:rPr>
              <w:t>清洁剂或消毒剂</w:t>
            </w:r>
          </w:p>
        </w:tc>
        <w:tc>
          <w:tcPr>
            <w:tcW w:w="4603" w:type="dxa"/>
            <w:vAlign w:val="center"/>
          </w:tcPr>
          <w:p w14:paraId="315D5721">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使用的清洁剂、消毒剂残留引发的危害。</w:t>
            </w:r>
          </w:p>
        </w:tc>
        <w:tc>
          <w:tcPr>
            <w:tcW w:w="2438" w:type="dxa"/>
            <w:vAlign w:val="center"/>
          </w:tcPr>
          <w:p w14:paraId="64E45F42">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对人体或环境产生潜在的危害</w:t>
            </w:r>
          </w:p>
        </w:tc>
      </w:tr>
      <w:tr w14:paraId="5D3BA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1" w:hRule="atLeast"/>
          <w:jc w:val="center"/>
        </w:trPr>
        <w:tc>
          <w:tcPr>
            <w:tcW w:w="993" w:type="dxa"/>
            <w:vMerge w:val="restart"/>
            <w:vAlign w:val="center"/>
          </w:tcPr>
          <w:p w14:paraId="0778066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信息</w:t>
            </w:r>
          </w:p>
          <w:p w14:paraId="22993943">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危害</w:t>
            </w:r>
          </w:p>
        </w:tc>
        <w:tc>
          <w:tcPr>
            <w:tcW w:w="1399" w:type="dxa"/>
            <w:vAlign w:val="center"/>
          </w:tcPr>
          <w:p w14:paraId="6B369581">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标记</w:t>
            </w:r>
          </w:p>
        </w:tc>
        <w:tc>
          <w:tcPr>
            <w:tcW w:w="4603" w:type="dxa"/>
            <w:vAlign w:val="center"/>
          </w:tcPr>
          <w:p w14:paraId="281271B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包括标记缺少或不正确，标记的位置不正确，不能永久贴牢和清楚易认等，如可接触高温部件无警示标识；安全平衡装置无警示标识；挂接处无警示标识。</w:t>
            </w:r>
          </w:p>
        </w:tc>
        <w:tc>
          <w:tcPr>
            <w:tcW w:w="2438" w:type="dxa"/>
            <w:vAlign w:val="center"/>
          </w:tcPr>
          <w:p w14:paraId="66A1836C">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误接触或误操作引起烫伤或患者机械损伤。</w:t>
            </w:r>
          </w:p>
        </w:tc>
      </w:tr>
      <w:tr w14:paraId="10EAA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5" w:hRule="atLeast"/>
          <w:jc w:val="center"/>
        </w:trPr>
        <w:tc>
          <w:tcPr>
            <w:tcW w:w="993" w:type="dxa"/>
            <w:vMerge w:val="continue"/>
            <w:vAlign w:val="center"/>
          </w:tcPr>
          <w:p w14:paraId="55C61010">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2A630E61">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操作说明书</w:t>
            </w:r>
          </w:p>
        </w:tc>
        <w:tc>
          <w:tcPr>
            <w:tcW w:w="4603" w:type="dxa"/>
            <w:vAlign w:val="center"/>
          </w:tcPr>
          <w:p w14:paraId="352B6D8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说明书未对部件/附件安装和使用作出说明；说明书未对消毒、灭菌等维护信息作出详细说明；错误的附件安装说明；说明书对产品性能特征、适用范围、使用限制等描述不规范、不完整；说明书未对故障排查作详细说明；说明书未对合理可预见的误用进行警告。</w:t>
            </w:r>
          </w:p>
        </w:tc>
        <w:tc>
          <w:tcPr>
            <w:tcW w:w="2438" w:type="dxa"/>
            <w:vAlign w:val="center"/>
          </w:tcPr>
          <w:p w14:paraId="5E1619DA">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非预期或超范围使用；设备不能正常工作；操作结果出现偏差，严重时延误治疗；损坏设备；使用者受到电气伤害。</w:t>
            </w:r>
          </w:p>
        </w:tc>
      </w:tr>
      <w:tr w14:paraId="689C8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atLeast"/>
          <w:jc w:val="center"/>
        </w:trPr>
        <w:tc>
          <w:tcPr>
            <w:tcW w:w="993" w:type="dxa"/>
            <w:vMerge w:val="restart"/>
            <w:vAlign w:val="center"/>
          </w:tcPr>
          <w:p w14:paraId="1631F9C5">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操作</w:t>
            </w:r>
          </w:p>
          <w:p w14:paraId="1647A534">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危害</w:t>
            </w:r>
          </w:p>
        </w:tc>
        <w:tc>
          <w:tcPr>
            <w:tcW w:w="1399" w:type="dxa"/>
            <w:vAlign w:val="center"/>
          </w:tcPr>
          <w:p w14:paraId="55997CED">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非预期操作</w:t>
            </w:r>
          </w:p>
        </w:tc>
        <w:tc>
          <w:tcPr>
            <w:tcW w:w="4603" w:type="dxa"/>
            <w:vAlign w:val="center"/>
          </w:tcPr>
          <w:p w14:paraId="7C5A836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意外的踩踏或地板刹车锁定装置解锁引起设备非预期性移动。</w:t>
            </w:r>
          </w:p>
        </w:tc>
        <w:tc>
          <w:tcPr>
            <w:tcW w:w="2438" w:type="dxa"/>
            <w:vAlign w:val="center"/>
          </w:tcPr>
          <w:p w14:paraId="377041E4">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操作者操作失误导致被检查者损伤。</w:t>
            </w:r>
          </w:p>
        </w:tc>
      </w:tr>
      <w:tr w14:paraId="3FF7F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atLeast"/>
          <w:jc w:val="center"/>
        </w:trPr>
        <w:tc>
          <w:tcPr>
            <w:tcW w:w="993" w:type="dxa"/>
            <w:vMerge w:val="continue"/>
            <w:vAlign w:val="center"/>
          </w:tcPr>
          <w:p w14:paraId="58E511F8">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66EF38E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使用</w:t>
            </w:r>
          </w:p>
          <w:p w14:paraId="0265C4CB">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错误</w:t>
            </w:r>
          </w:p>
        </w:tc>
        <w:tc>
          <w:tcPr>
            <w:tcW w:w="4603" w:type="dxa"/>
            <w:vAlign w:val="center"/>
          </w:tcPr>
          <w:p w14:paraId="153B43F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在注册申请人规定的使用环境条件外使用产品，可能造成观察误差过大。</w:t>
            </w:r>
          </w:p>
          <w:p w14:paraId="1DAA1DC4">
            <w:pPr>
              <w:autoSpaceDE w:val="0"/>
              <w:autoSpaceDN w:val="0"/>
              <w:adjustRightInd w:val="0"/>
              <w:spacing w:line="420" w:lineRule="exact"/>
              <w:ind w:right="-67" w:rightChars="-32"/>
              <w:rPr>
                <w:rFonts w:eastAsia="仿宋_GB2312"/>
                <w:kern w:val="0"/>
                <w:sz w:val="28"/>
                <w:szCs w:val="28"/>
              </w:rPr>
            </w:pPr>
          </w:p>
        </w:tc>
        <w:tc>
          <w:tcPr>
            <w:tcW w:w="2438" w:type="dxa"/>
            <w:vAlign w:val="center"/>
          </w:tcPr>
          <w:p w14:paraId="2244AEF0">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损坏设备；手术无法正常进行，延误治疗；产品寿命降低，严重时导致使用者受到电气伤害。</w:t>
            </w:r>
          </w:p>
        </w:tc>
      </w:tr>
      <w:tr w14:paraId="5C3E8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5" w:hRule="atLeast"/>
          <w:jc w:val="center"/>
        </w:trPr>
        <w:tc>
          <w:tcPr>
            <w:tcW w:w="993" w:type="dxa"/>
            <w:vMerge w:val="restart"/>
            <w:vAlign w:val="center"/>
          </w:tcPr>
          <w:p w14:paraId="26248C65">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失效产生的危害</w:t>
            </w:r>
          </w:p>
        </w:tc>
        <w:tc>
          <w:tcPr>
            <w:tcW w:w="1399" w:type="dxa"/>
            <w:vAlign w:val="center"/>
          </w:tcPr>
          <w:p w14:paraId="632ABA1C">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贮存条件有误</w:t>
            </w:r>
          </w:p>
        </w:tc>
        <w:tc>
          <w:tcPr>
            <w:tcW w:w="4603" w:type="dxa"/>
            <w:vAlign w:val="center"/>
          </w:tcPr>
          <w:p w14:paraId="79329F95">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在注册申请人规定的贮存环境条件外贮存产品。</w:t>
            </w:r>
          </w:p>
        </w:tc>
        <w:tc>
          <w:tcPr>
            <w:tcW w:w="2438" w:type="dxa"/>
            <w:vAlign w:val="center"/>
          </w:tcPr>
          <w:p w14:paraId="2621080C">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可能造成产品的损坏或无法正常工作，产品寿命降低。</w:t>
            </w:r>
          </w:p>
        </w:tc>
      </w:tr>
      <w:tr w14:paraId="57098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jc w:val="center"/>
        </w:trPr>
        <w:tc>
          <w:tcPr>
            <w:tcW w:w="993" w:type="dxa"/>
            <w:vMerge w:val="continue"/>
            <w:vAlign w:val="center"/>
          </w:tcPr>
          <w:p w14:paraId="655B1DC9">
            <w:pPr>
              <w:autoSpaceDE w:val="0"/>
              <w:autoSpaceDN w:val="0"/>
              <w:adjustRightInd w:val="0"/>
              <w:spacing w:line="420" w:lineRule="exact"/>
              <w:ind w:right="-67" w:rightChars="-32"/>
              <w:rPr>
                <w:rFonts w:eastAsia="仿宋_GB2312"/>
                <w:kern w:val="0"/>
                <w:sz w:val="28"/>
                <w:szCs w:val="28"/>
              </w:rPr>
            </w:pPr>
          </w:p>
        </w:tc>
        <w:tc>
          <w:tcPr>
            <w:tcW w:w="1399" w:type="dxa"/>
            <w:vAlign w:val="center"/>
          </w:tcPr>
          <w:p w14:paraId="739298C9">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功能的丧失或损坏</w:t>
            </w:r>
          </w:p>
        </w:tc>
        <w:tc>
          <w:tcPr>
            <w:tcW w:w="4603" w:type="dxa"/>
            <w:vAlign w:val="center"/>
          </w:tcPr>
          <w:p w14:paraId="59FC3F05">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照明光源输出不稳定，或明或暗；光路控制失效，设备照度意外增加或突然失去照明；电气控制组件失效。</w:t>
            </w:r>
          </w:p>
        </w:tc>
        <w:tc>
          <w:tcPr>
            <w:tcW w:w="2438" w:type="dxa"/>
            <w:vAlign w:val="center"/>
          </w:tcPr>
          <w:p w14:paraId="3D0A8127">
            <w:pPr>
              <w:autoSpaceDE w:val="0"/>
              <w:autoSpaceDN w:val="0"/>
              <w:adjustRightInd w:val="0"/>
              <w:spacing w:line="420" w:lineRule="exact"/>
              <w:ind w:right="-67" w:rightChars="-32"/>
              <w:rPr>
                <w:rFonts w:eastAsia="仿宋_GB2312"/>
                <w:kern w:val="0"/>
                <w:sz w:val="28"/>
                <w:szCs w:val="28"/>
              </w:rPr>
            </w:pPr>
            <w:r>
              <w:rPr>
                <w:rFonts w:eastAsia="仿宋_GB2312"/>
                <w:kern w:val="0"/>
                <w:sz w:val="28"/>
                <w:szCs w:val="28"/>
              </w:rPr>
              <w:t>影响手术过程的安全进行</w:t>
            </w:r>
          </w:p>
        </w:tc>
      </w:tr>
    </w:tbl>
    <w:p w14:paraId="22F14639">
      <w:pPr>
        <w:spacing w:line="540" w:lineRule="exact"/>
        <w:ind w:firstLine="640" w:firstLineChars="200"/>
        <w:rPr>
          <w:rFonts w:eastAsia="仿宋_GB2312"/>
          <w:sz w:val="32"/>
          <w:szCs w:val="32"/>
        </w:rPr>
      </w:pPr>
      <w:r>
        <w:rPr>
          <w:rFonts w:hint="eastAsia" w:eastAsia="仿宋_GB2312"/>
          <w:sz w:val="32"/>
          <w:szCs w:val="32"/>
        </w:rPr>
        <w:t>表2、表3依据GB/T 42062《医疗器械风险管理对医疗器械的应用》附录C基本风险概念提示性列举了手术显微镜可能存在危害的初始事件和环境，示例性地给出了危害分类、危害形成的因素、可能的后果之间的关系，给审查人员予以提示、参考。</w:t>
      </w:r>
    </w:p>
    <w:p w14:paraId="1D1FB70D">
      <w:pPr>
        <w:spacing w:line="560" w:lineRule="exact"/>
        <w:ind w:firstLine="640" w:firstLineChars="200"/>
        <w:rPr>
          <w:rFonts w:eastAsia="仿宋_GB2312"/>
          <w:sz w:val="32"/>
          <w:szCs w:val="32"/>
        </w:rPr>
      </w:pPr>
      <w:r>
        <w:rPr>
          <w:rFonts w:hint="eastAsia" w:eastAsia="仿宋_GB2312"/>
          <w:sz w:val="32"/>
          <w:szCs w:val="32"/>
        </w:rPr>
        <w:t>由于手术显微镜的原理、功能和结构的差异，本章给出的风险要素及其示例是常见的而不是全部的。上述部分只是风险管理过程的组成部分，不是风险管理的全部。注册申请人应按照GB/T 42062《医疗器械风险管理对医疗器械的应用》中规定的过程和方法，在产品整个生命周期内建立、形成文件并保持一个持续的过程，用以判定与医疗器械有关的危害、估计和评价相关的风险、控制这些风险并监视上述控制的有效性，以充分保证产品的安全和有效。</w:t>
      </w:r>
    </w:p>
    <w:p w14:paraId="0AFF2E5E">
      <w:pPr>
        <w:spacing w:line="540" w:lineRule="exact"/>
        <w:ind w:right="-67" w:rightChars="-32" w:firstLine="640" w:firstLineChars="200"/>
        <w:outlineLvl w:val="1"/>
        <w:rPr>
          <w:rFonts w:eastAsia="楷体_GB2312"/>
          <w:sz w:val="32"/>
          <w:szCs w:val="32"/>
        </w:rPr>
      </w:pPr>
      <w:r>
        <w:rPr>
          <w:rFonts w:hint="eastAsia" w:eastAsia="楷体_GB2312"/>
          <w:sz w:val="32"/>
          <w:szCs w:val="32"/>
        </w:rPr>
        <w:t>2.安全和性能的基本原则</w:t>
      </w:r>
    </w:p>
    <w:p w14:paraId="39D34020">
      <w:pPr>
        <w:spacing w:line="560" w:lineRule="exact"/>
        <w:ind w:firstLine="640" w:firstLineChars="200"/>
        <w:rPr>
          <w:rFonts w:eastAsia="仿宋_GB2312"/>
          <w:sz w:val="32"/>
          <w:szCs w:val="32"/>
        </w:rPr>
      </w:pPr>
      <w:r>
        <w:rPr>
          <w:rFonts w:hint="eastAsia" w:eastAsia="仿宋_GB2312"/>
          <w:sz w:val="32"/>
          <w:szCs w:val="32"/>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关于证明各项要求符合性的文件，如果包含在产品注册申报资料中，应当说明其在申报资料中的具体位置。对于未包含在产品注册申报资料中的文件，应当注明该证明文件名称及其在质量管理体系文件中的编号。</w:t>
      </w:r>
    </w:p>
    <w:p w14:paraId="6DC46AEB">
      <w:pPr>
        <w:spacing w:line="540" w:lineRule="exact"/>
        <w:ind w:right="-67" w:rightChars="-32" w:firstLine="640" w:firstLineChars="200"/>
        <w:outlineLvl w:val="1"/>
        <w:rPr>
          <w:rFonts w:eastAsia="楷体_GB2312"/>
          <w:sz w:val="32"/>
          <w:szCs w:val="32"/>
        </w:rPr>
      </w:pPr>
      <w:r>
        <w:rPr>
          <w:rFonts w:hint="eastAsia" w:eastAsia="楷体_GB2312"/>
          <w:sz w:val="32"/>
          <w:szCs w:val="32"/>
        </w:rPr>
        <w:t>3.产品技术要求应包括的主要性能指标</w:t>
      </w:r>
    </w:p>
    <w:p w14:paraId="6BF0C6A5">
      <w:pPr>
        <w:spacing w:line="540" w:lineRule="exact"/>
        <w:ind w:firstLine="640" w:firstLineChars="200"/>
        <w:rPr>
          <w:rFonts w:eastAsia="仿宋_GB2312"/>
          <w:sz w:val="32"/>
          <w:szCs w:val="32"/>
        </w:rPr>
      </w:pPr>
      <w:r>
        <w:rPr>
          <w:rFonts w:hint="eastAsia" w:eastAsia="仿宋_GB2312"/>
          <w:sz w:val="32"/>
          <w:szCs w:val="32"/>
        </w:rPr>
        <w:t>本条款给出需要考虑的产品主要技术指标，其中部分指标给出定量要求。如有附加功能，注册申请人应采用相应的标准，具体可结合产品实际情况，参考相应的国家标准、行业标准。注册申请人如不采用以下条款（包括国家标准、行业标准要求），应当说明理由。</w:t>
      </w:r>
    </w:p>
    <w:p w14:paraId="0F01A5D3">
      <w:pPr>
        <w:spacing w:line="540" w:lineRule="exact"/>
        <w:ind w:firstLine="640" w:firstLineChars="200"/>
        <w:rPr>
          <w:rFonts w:eastAsia="仿宋_GB2312"/>
          <w:sz w:val="32"/>
          <w:szCs w:val="32"/>
        </w:rPr>
      </w:pPr>
      <w:r>
        <w:rPr>
          <w:rFonts w:hint="eastAsia" w:eastAsia="仿宋_GB2312"/>
          <w:sz w:val="32"/>
          <w:szCs w:val="32"/>
        </w:rPr>
        <w:t>手术显微镜应执行GB 11239.1《手术显微镜 第1部分：要求和试验方法》的要求。</w:t>
      </w:r>
    </w:p>
    <w:p w14:paraId="4D43491F">
      <w:pPr>
        <w:spacing w:line="560" w:lineRule="exact"/>
        <w:ind w:firstLine="636" w:firstLineChars="200"/>
        <w:rPr>
          <w:rFonts w:eastAsia="仿宋_GB2312"/>
          <w:spacing w:val="-1"/>
          <w:sz w:val="32"/>
          <w:szCs w:val="32"/>
        </w:rPr>
      </w:pPr>
      <w:r>
        <w:rPr>
          <w:rFonts w:hint="eastAsia" w:eastAsia="仿宋_GB2312"/>
          <w:spacing w:val="-1"/>
          <w:sz w:val="32"/>
          <w:szCs w:val="32"/>
        </w:rPr>
        <w:t>3.1.产品适用的相关标准</w:t>
      </w:r>
    </w:p>
    <w:p w14:paraId="29591051">
      <w:pPr>
        <w:spacing w:line="560" w:lineRule="exact"/>
        <w:ind w:firstLine="556" w:firstLineChars="200"/>
        <w:jc w:val="center"/>
        <w:rPr>
          <w:rFonts w:ascii="黑体" w:hAnsi="黑体" w:eastAsia="黑体"/>
          <w:spacing w:val="-1"/>
          <w:sz w:val="28"/>
          <w:szCs w:val="28"/>
        </w:rPr>
      </w:pPr>
      <w:r>
        <w:rPr>
          <w:rFonts w:hint="eastAsia" w:ascii="黑体" w:hAnsi="黑体" w:eastAsia="黑体"/>
          <w:spacing w:val="-1"/>
          <w:sz w:val="28"/>
          <w:szCs w:val="28"/>
        </w:rPr>
        <w:t>表1相关产品标准</w:t>
      </w:r>
    </w:p>
    <w:tbl>
      <w:tblPr>
        <w:tblStyle w:val="8"/>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3"/>
        <w:gridCol w:w="6666"/>
      </w:tblGrid>
      <w:tr w14:paraId="6323B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blHeader/>
          <w:jc w:val="center"/>
        </w:trPr>
        <w:tc>
          <w:tcPr>
            <w:tcW w:w="2643" w:type="dxa"/>
            <w:tcBorders>
              <w:top w:val="single" w:color="auto" w:sz="4" w:space="0"/>
              <w:left w:val="single" w:color="auto" w:sz="4" w:space="0"/>
              <w:bottom w:val="single" w:color="auto" w:sz="4" w:space="0"/>
              <w:right w:val="single" w:color="auto" w:sz="4" w:space="0"/>
            </w:tcBorders>
            <w:vAlign w:val="center"/>
          </w:tcPr>
          <w:p w14:paraId="58D3B609">
            <w:pPr>
              <w:autoSpaceDE w:val="0"/>
              <w:autoSpaceDN w:val="0"/>
              <w:adjustRightInd w:val="0"/>
              <w:spacing w:line="440" w:lineRule="exact"/>
              <w:ind w:right="-67" w:rightChars="-32"/>
              <w:jc w:val="center"/>
              <w:rPr>
                <w:rFonts w:ascii="黑体" w:hAnsi="黑体" w:eastAsia="黑体"/>
                <w:kern w:val="0"/>
                <w:sz w:val="28"/>
                <w:szCs w:val="28"/>
              </w:rPr>
            </w:pPr>
            <w:r>
              <w:rPr>
                <w:rFonts w:hint="eastAsia" w:ascii="黑体" w:hAnsi="黑体" w:eastAsia="黑体"/>
                <w:kern w:val="0"/>
                <w:sz w:val="28"/>
                <w:szCs w:val="28"/>
              </w:rPr>
              <w:t>标准编号</w:t>
            </w:r>
          </w:p>
        </w:tc>
        <w:tc>
          <w:tcPr>
            <w:tcW w:w="6666" w:type="dxa"/>
            <w:tcBorders>
              <w:top w:val="single" w:color="auto" w:sz="4" w:space="0"/>
              <w:left w:val="single" w:color="auto" w:sz="4" w:space="0"/>
              <w:bottom w:val="single" w:color="auto" w:sz="4" w:space="0"/>
              <w:right w:val="single" w:color="auto" w:sz="4" w:space="0"/>
            </w:tcBorders>
            <w:vAlign w:val="center"/>
          </w:tcPr>
          <w:p w14:paraId="4CFB6377">
            <w:pPr>
              <w:autoSpaceDE w:val="0"/>
              <w:autoSpaceDN w:val="0"/>
              <w:adjustRightInd w:val="0"/>
              <w:spacing w:line="440" w:lineRule="exact"/>
              <w:ind w:right="-67" w:rightChars="-32"/>
              <w:jc w:val="center"/>
              <w:rPr>
                <w:rFonts w:ascii="黑体" w:hAnsi="黑体" w:eastAsia="黑体"/>
                <w:kern w:val="0"/>
                <w:sz w:val="28"/>
                <w:szCs w:val="28"/>
              </w:rPr>
            </w:pPr>
            <w:r>
              <w:rPr>
                <w:rFonts w:hint="eastAsia" w:ascii="黑体" w:hAnsi="黑体" w:eastAsia="黑体"/>
                <w:kern w:val="0"/>
                <w:sz w:val="28"/>
                <w:szCs w:val="28"/>
              </w:rPr>
              <w:t>标准内容</w:t>
            </w:r>
          </w:p>
        </w:tc>
      </w:tr>
      <w:tr w14:paraId="7373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5A0C13B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 9706.1</w:t>
            </w:r>
          </w:p>
        </w:tc>
        <w:tc>
          <w:tcPr>
            <w:tcW w:w="6666" w:type="dxa"/>
            <w:tcBorders>
              <w:top w:val="single" w:color="auto" w:sz="4" w:space="0"/>
              <w:left w:val="single" w:color="auto" w:sz="4" w:space="0"/>
              <w:bottom w:val="single" w:color="auto" w:sz="4" w:space="0"/>
              <w:right w:val="single" w:color="auto" w:sz="4" w:space="0"/>
            </w:tcBorders>
            <w:vAlign w:val="center"/>
          </w:tcPr>
          <w:p w14:paraId="24F0838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医用电气设备 第1部分：基本安全和基本性能的通用要求</w:t>
            </w:r>
          </w:p>
        </w:tc>
      </w:tr>
      <w:tr w14:paraId="54628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0D8CCFDF">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 191</w:t>
            </w:r>
          </w:p>
        </w:tc>
        <w:tc>
          <w:tcPr>
            <w:tcW w:w="6666" w:type="dxa"/>
            <w:tcBorders>
              <w:top w:val="single" w:color="auto" w:sz="4" w:space="0"/>
              <w:left w:val="single" w:color="auto" w:sz="4" w:space="0"/>
              <w:bottom w:val="single" w:color="auto" w:sz="4" w:space="0"/>
              <w:right w:val="single" w:color="auto" w:sz="4" w:space="0"/>
            </w:tcBorders>
            <w:vAlign w:val="center"/>
          </w:tcPr>
          <w:p w14:paraId="6DB9D2A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包装储运图示标志</w:t>
            </w:r>
          </w:p>
        </w:tc>
      </w:tr>
      <w:tr w14:paraId="4091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6B503F1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 7247.1</w:t>
            </w:r>
          </w:p>
        </w:tc>
        <w:tc>
          <w:tcPr>
            <w:tcW w:w="6666" w:type="dxa"/>
            <w:tcBorders>
              <w:top w:val="single" w:color="auto" w:sz="4" w:space="0"/>
              <w:left w:val="single" w:color="auto" w:sz="4" w:space="0"/>
              <w:bottom w:val="single" w:color="auto" w:sz="4" w:space="0"/>
              <w:right w:val="single" w:color="auto" w:sz="4" w:space="0"/>
            </w:tcBorders>
            <w:vAlign w:val="center"/>
          </w:tcPr>
          <w:p w14:paraId="009072D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激光产品的安全 第1部分：设备分类和要求</w:t>
            </w:r>
          </w:p>
        </w:tc>
      </w:tr>
      <w:tr w14:paraId="1FAE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3AE27425">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 11239.1</w:t>
            </w:r>
          </w:p>
        </w:tc>
        <w:tc>
          <w:tcPr>
            <w:tcW w:w="6666" w:type="dxa"/>
            <w:tcBorders>
              <w:top w:val="single" w:color="auto" w:sz="4" w:space="0"/>
              <w:left w:val="single" w:color="auto" w:sz="4" w:space="0"/>
              <w:bottom w:val="single" w:color="auto" w:sz="4" w:space="0"/>
              <w:right w:val="single" w:color="auto" w:sz="4" w:space="0"/>
            </w:tcBorders>
            <w:vAlign w:val="center"/>
          </w:tcPr>
          <w:p w14:paraId="1C8E71C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手术显微镜 第1部分：要求和试验方法</w:t>
            </w:r>
          </w:p>
        </w:tc>
      </w:tr>
      <w:tr w14:paraId="48C4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43A3DC0A">
            <w:pPr>
              <w:autoSpaceDE w:val="0"/>
              <w:autoSpaceDN w:val="0"/>
              <w:adjustRightInd w:val="0"/>
              <w:spacing w:line="440" w:lineRule="exact"/>
              <w:ind w:right="-67" w:rightChars="-32"/>
              <w:rPr>
                <w:rFonts w:eastAsia="仿宋_GB2312"/>
                <w:kern w:val="0"/>
                <w:sz w:val="28"/>
                <w:szCs w:val="28"/>
              </w:rPr>
            </w:pPr>
            <w:r>
              <w:fldChar w:fldCharType="begin"/>
            </w:r>
            <w:r>
              <w:instrText xml:space="preserve"> HYPERLINK "http://www.csres.com/detail/196184.html" \t "_blank" </w:instrText>
            </w:r>
            <w:r>
              <w:fldChar w:fldCharType="separate"/>
            </w:r>
            <w:r>
              <w:rPr>
                <w:rFonts w:hint="eastAsia" w:eastAsia="仿宋_GB2312"/>
                <w:kern w:val="0"/>
                <w:sz w:val="28"/>
                <w:szCs w:val="28"/>
              </w:rPr>
              <w:t>GB/T 9969</w:t>
            </w:r>
            <w:r>
              <w:rPr>
                <w:rFonts w:hint="eastAsia" w:eastAsia="仿宋_GB2312"/>
                <w:kern w:val="0"/>
                <w:sz w:val="28"/>
                <w:szCs w:val="28"/>
              </w:rPr>
              <w:fldChar w:fldCharType="end"/>
            </w:r>
          </w:p>
        </w:tc>
        <w:tc>
          <w:tcPr>
            <w:tcW w:w="6666" w:type="dxa"/>
            <w:tcBorders>
              <w:top w:val="single" w:color="auto" w:sz="4" w:space="0"/>
              <w:left w:val="single" w:color="auto" w:sz="4" w:space="0"/>
              <w:bottom w:val="single" w:color="auto" w:sz="4" w:space="0"/>
              <w:right w:val="single" w:color="auto" w:sz="4" w:space="0"/>
            </w:tcBorders>
            <w:vAlign w:val="center"/>
          </w:tcPr>
          <w:p w14:paraId="003D3FC8">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工业产品使用说明书 总则</w:t>
            </w:r>
          </w:p>
        </w:tc>
      </w:tr>
      <w:tr w14:paraId="4755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3799FE3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GB/T10050</w:t>
            </w:r>
          </w:p>
        </w:tc>
        <w:tc>
          <w:tcPr>
            <w:tcW w:w="6666" w:type="dxa"/>
            <w:tcBorders>
              <w:top w:val="single" w:color="auto" w:sz="4" w:space="0"/>
              <w:left w:val="single" w:color="auto" w:sz="4" w:space="0"/>
              <w:bottom w:val="single" w:color="auto" w:sz="4" w:space="0"/>
              <w:right w:val="single" w:color="auto" w:sz="4" w:space="0"/>
            </w:tcBorders>
            <w:vAlign w:val="center"/>
          </w:tcPr>
          <w:p w14:paraId="29B95DF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光学和光学仪器 参考波长</w:t>
            </w:r>
          </w:p>
        </w:tc>
      </w:tr>
      <w:tr w14:paraId="14E1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3CCBB024">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 14710</w:t>
            </w:r>
          </w:p>
        </w:tc>
        <w:tc>
          <w:tcPr>
            <w:tcW w:w="6666" w:type="dxa"/>
            <w:tcBorders>
              <w:top w:val="single" w:color="auto" w:sz="4" w:space="0"/>
              <w:left w:val="single" w:color="auto" w:sz="4" w:space="0"/>
              <w:bottom w:val="single" w:color="auto" w:sz="4" w:space="0"/>
              <w:right w:val="single" w:color="auto" w:sz="4" w:space="0"/>
            </w:tcBorders>
            <w:vAlign w:val="center"/>
          </w:tcPr>
          <w:p w14:paraId="6D313C4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医用电器环境要求及试验方法</w:t>
            </w:r>
          </w:p>
        </w:tc>
      </w:tr>
      <w:tr w14:paraId="0611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266082ED">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 20145</w:t>
            </w:r>
          </w:p>
        </w:tc>
        <w:tc>
          <w:tcPr>
            <w:tcW w:w="6666" w:type="dxa"/>
            <w:tcBorders>
              <w:top w:val="single" w:color="auto" w:sz="4" w:space="0"/>
              <w:left w:val="single" w:color="auto" w:sz="4" w:space="0"/>
              <w:bottom w:val="single" w:color="auto" w:sz="4" w:space="0"/>
              <w:right w:val="single" w:color="auto" w:sz="4" w:space="0"/>
            </w:tcBorders>
            <w:vAlign w:val="center"/>
          </w:tcPr>
          <w:p w14:paraId="5F8B8248">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灯和灯系统的光生物安全性</w:t>
            </w:r>
          </w:p>
        </w:tc>
      </w:tr>
      <w:tr w14:paraId="06BE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21EDC88C">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GB/T 42062</w:t>
            </w:r>
          </w:p>
        </w:tc>
        <w:tc>
          <w:tcPr>
            <w:tcW w:w="6666" w:type="dxa"/>
            <w:tcBorders>
              <w:top w:val="single" w:color="auto" w:sz="4" w:space="0"/>
              <w:left w:val="single" w:color="auto" w:sz="4" w:space="0"/>
              <w:bottom w:val="single" w:color="auto" w:sz="4" w:space="0"/>
              <w:right w:val="single" w:color="auto" w:sz="4" w:space="0"/>
            </w:tcBorders>
            <w:vAlign w:val="center"/>
          </w:tcPr>
          <w:p w14:paraId="1534DFE9">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医疗器械 风险管理对医疗器械的应用</w:t>
            </w:r>
          </w:p>
        </w:tc>
      </w:tr>
      <w:tr w14:paraId="45D9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782D7DE8">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YY 9706.102</w:t>
            </w:r>
          </w:p>
        </w:tc>
        <w:tc>
          <w:tcPr>
            <w:tcW w:w="6666" w:type="dxa"/>
            <w:tcBorders>
              <w:top w:val="single" w:color="auto" w:sz="4" w:space="0"/>
              <w:left w:val="single" w:color="auto" w:sz="4" w:space="0"/>
              <w:bottom w:val="single" w:color="auto" w:sz="4" w:space="0"/>
              <w:right w:val="single" w:color="auto" w:sz="4" w:space="0"/>
            </w:tcBorders>
            <w:vAlign w:val="center"/>
          </w:tcPr>
          <w:p w14:paraId="044428B1">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医用电气设备 第1-2部分：基本安全和基本性能的通用要求 并列标准：电磁兼容 要求和试验</w:t>
            </w:r>
          </w:p>
        </w:tc>
      </w:tr>
      <w:tr w14:paraId="72E0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4EDD361A">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YY/T 1057</w:t>
            </w:r>
          </w:p>
        </w:tc>
        <w:tc>
          <w:tcPr>
            <w:tcW w:w="6666" w:type="dxa"/>
            <w:tcBorders>
              <w:top w:val="single" w:color="auto" w:sz="4" w:space="0"/>
              <w:left w:val="single" w:color="auto" w:sz="4" w:space="0"/>
              <w:bottom w:val="single" w:color="auto" w:sz="4" w:space="0"/>
              <w:right w:val="single" w:color="auto" w:sz="4" w:space="0"/>
            </w:tcBorders>
            <w:vAlign w:val="center"/>
          </w:tcPr>
          <w:p w14:paraId="17715BF0">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医用脚踏开关通用技术条件</w:t>
            </w:r>
          </w:p>
        </w:tc>
      </w:tr>
      <w:tr w14:paraId="7D79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0A72A13F">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YY/T 0664</w:t>
            </w:r>
          </w:p>
        </w:tc>
        <w:tc>
          <w:tcPr>
            <w:tcW w:w="6666" w:type="dxa"/>
            <w:tcBorders>
              <w:top w:val="single" w:color="auto" w:sz="4" w:space="0"/>
              <w:left w:val="single" w:color="auto" w:sz="4" w:space="0"/>
              <w:bottom w:val="single" w:color="auto" w:sz="4" w:space="0"/>
              <w:right w:val="single" w:color="auto" w:sz="4" w:space="0"/>
            </w:tcBorders>
            <w:vAlign w:val="center"/>
          </w:tcPr>
          <w:p w14:paraId="4074FE3C">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医疗器械软件 软件生存周期过程</w:t>
            </w:r>
          </w:p>
        </w:tc>
      </w:tr>
      <w:tr w14:paraId="422A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17F6A89E">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YY/T 0466.1</w:t>
            </w:r>
          </w:p>
        </w:tc>
        <w:tc>
          <w:tcPr>
            <w:tcW w:w="6666" w:type="dxa"/>
            <w:tcBorders>
              <w:top w:val="single" w:color="auto" w:sz="4" w:space="0"/>
              <w:left w:val="single" w:color="auto" w:sz="4" w:space="0"/>
              <w:bottom w:val="single" w:color="auto" w:sz="4" w:space="0"/>
              <w:right w:val="single" w:color="auto" w:sz="4" w:space="0"/>
            </w:tcBorders>
            <w:vAlign w:val="center"/>
          </w:tcPr>
          <w:p w14:paraId="56FB35BB">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医疗器械 用于制造商提供信息的符号 第1部分：通用要求</w:t>
            </w:r>
          </w:p>
        </w:tc>
      </w:tr>
      <w:tr w14:paraId="0EBD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43" w:type="dxa"/>
            <w:tcBorders>
              <w:top w:val="single" w:color="auto" w:sz="4" w:space="0"/>
              <w:left w:val="single" w:color="auto" w:sz="4" w:space="0"/>
              <w:bottom w:val="single" w:color="auto" w:sz="4" w:space="0"/>
              <w:right w:val="single" w:color="auto" w:sz="4" w:space="0"/>
            </w:tcBorders>
            <w:vAlign w:val="center"/>
          </w:tcPr>
          <w:p w14:paraId="35393E29">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YY 1296</w:t>
            </w:r>
          </w:p>
        </w:tc>
        <w:tc>
          <w:tcPr>
            <w:tcW w:w="6666" w:type="dxa"/>
            <w:tcBorders>
              <w:top w:val="single" w:color="auto" w:sz="4" w:space="0"/>
              <w:left w:val="single" w:color="auto" w:sz="4" w:space="0"/>
              <w:bottom w:val="single" w:color="auto" w:sz="4" w:space="0"/>
              <w:right w:val="single" w:color="auto" w:sz="4" w:space="0"/>
            </w:tcBorders>
            <w:vAlign w:val="center"/>
          </w:tcPr>
          <w:p w14:paraId="70127273">
            <w:pPr>
              <w:autoSpaceDE w:val="0"/>
              <w:autoSpaceDN w:val="0"/>
              <w:adjustRightInd w:val="0"/>
              <w:spacing w:line="440" w:lineRule="exact"/>
              <w:ind w:right="-67" w:rightChars="-32"/>
              <w:rPr>
                <w:rFonts w:eastAsia="仿宋_GB2312"/>
                <w:kern w:val="0"/>
                <w:sz w:val="28"/>
                <w:szCs w:val="28"/>
              </w:rPr>
            </w:pPr>
            <w:r>
              <w:rPr>
                <w:rFonts w:hint="eastAsia" w:eastAsia="仿宋_GB2312"/>
                <w:kern w:val="0"/>
                <w:sz w:val="28"/>
                <w:szCs w:val="28"/>
              </w:rPr>
              <w:t>光学和光子学 手术显微镜 眼科用手术显微镜的光危害 （适用眼科手术显微镜）</w:t>
            </w:r>
          </w:p>
        </w:tc>
      </w:tr>
    </w:tbl>
    <w:p w14:paraId="1AAA9B7C">
      <w:pPr>
        <w:spacing w:line="560" w:lineRule="exact"/>
        <w:ind w:firstLine="636" w:firstLineChars="200"/>
        <w:rPr>
          <w:rFonts w:eastAsia="仿宋_GB2312"/>
          <w:spacing w:val="-1"/>
          <w:sz w:val="32"/>
          <w:szCs w:val="32"/>
        </w:rPr>
      </w:pPr>
      <w:r>
        <w:rPr>
          <w:rFonts w:hint="eastAsia" w:eastAsia="仿宋_GB2312"/>
          <w:spacing w:val="-1"/>
          <w:sz w:val="32"/>
          <w:szCs w:val="32"/>
        </w:rPr>
        <w:t>注：以上标准适用最新版本。</w:t>
      </w:r>
    </w:p>
    <w:p w14:paraId="1E1BA217">
      <w:pPr>
        <w:spacing w:line="560" w:lineRule="exact"/>
        <w:ind w:firstLine="636" w:firstLineChars="200"/>
        <w:rPr>
          <w:rFonts w:eastAsia="仿宋_GB2312"/>
          <w:spacing w:val="-1"/>
          <w:sz w:val="32"/>
          <w:szCs w:val="32"/>
        </w:rPr>
      </w:pPr>
      <w:r>
        <w:rPr>
          <w:rFonts w:hint="eastAsia" w:eastAsia="仿宋_GB2312"/>
          <w:spacing w:val="-1"/>
          <w:sz w:val="32"/>
          <w:szCs w:val="32"/>
        </w:rPr>
        <w:t>上述标准包括了产品技术要求中经常涉及的通用标准和方法标准。可根据产品的特点增加相关要求。</w:t>
      </w:r>
    </w:p>
    <w:p w14:paraId="77920DCE">
      <w:pPr>
        <w:spacing w:line="540" w:lineRule="exact"/>
        <w:ind w:firstLine="636" w:firstLineChars="200"/>
        <w:outlineLvl w:val="2"/>
        <w:rPr>
          <w:rFonts w:eastAsia="仿宋_GB2312"/>
          <w:sz w:val="32"/>
          <w:szCs w:val="32"/>
        </w:rPr>
      </w:pPr>
      <w:r>
        <w:rPr>
          <w:rFonts w:hint="eastAsia" w:eastAsia="仿宋_GB2312"/>
          <w:spacing w:val="-1"/>
          <w:sz w:val="32"/>
          <w:szCs w:val="32"/>
        </w:rPr>
        <w:t>若有新版的强制性国家标准和行业标准发布实施，产品的性能指标要求应执行最新版本国家标准、行业标准的要求。</w:t>
      </w:r>
    </w:p>
    <w:p w14:paraId="2093B89B">
      <w:pPr>
        <w:spacing w:line="540" w:lineRule="exact"/>
        <w:ind w:firstLine="640" w:firstLineChars="200"/>
        <w:rPr>
          <w:rFonts w:eastAsia="仿宋_GB2312"/>
          <w:sz w:val="32"/>
          <w:szCs w:val="32"/>
        </w:rPr>
      </w:pPr>
      <w:r>
        <w:rPr>
          <w:rFonts w:hint="eastAsia" w:eastAsia="仿宋_GB2312"/>
          <w:sz w:val="32"/>
          <w:szCs w:val="32"/>
        </w:rPr>
        <w:t>3.2如手术显微镜配合脚踏开关使用，应符合YY 1057《医用脚踏开关通用技术条件》的标准要求。</w:t>
      </w:r>
    </w:p>
    <w:p w14:paraId="783FCF04">
      <w:pPr>
        <w:spacing w:line="520" w:lineRule="exact"/>
        <w:ind w:firstLine="640" w:firstLineChars="200"/>
        <w:rPr>
          <w:rFonts w:eastAsia="仿宋_GB2312"/>
          <w:sz w:val="32"/>
          <w:szCs w:val="32"/>
        </w:rPr>
      </w:pPr>
      <w:r>
        <w:rPr>
          <w:rFonts w:hint="eastAsia" w:eastAsia="仿宋_GB2312"/>
          <w:sz w:val="32"/>
          <w:szCs w:val="32"/>
        </w:rPr>
        <w:t>3.3如配有图像采集处理系统、助手镜或其他配件，应规定产品自身功能特性要求。</w:t>
      </w:r>
    </w:p>
    <w:p w14:paraId="42F5D3EC">
      <w:pPr>
        <w:spacing w:line="520" w:lineRule="exact"/>
        <w:ind w:firstLine="640" w:firstLineChars="200"/>
        <w:outlineLvl w:val="2"/>
        <w:rPr>
          <w:rFonts w:eastAsia="仿宋_GB2312"/>
          <w:sz w:val="32"/>
          <w:szCs w:val="32"/>
        </w:rPr>
      </w:pPr>
      <w:r>
        <w:rPr>
          <w:rFonts w:hint="eastAsia" w:eastAsia="仿宋_GB2312"/>
          <w:sz w:val="32"/>
          <w:szCs w:val="32"/>
        </w:rPr>
        <w:t>3.4安全指标要求</w:t>
      </w:r>
    </w:p>
    <w:p w14:paraId="6BCFEE28">
      <w:pPr>
        <w:spacing w:line="520" w:lineRule="exact"/>
        <w:ind w:firstLine="640" w:firstLineChars="200"/>
        <w:rPr>
          <w:rFonts w:eastAsia="仿宋_GB2312"/>
          <w:sz w:val="32"/>
          <w:szCs w:val="32"/>
        </w:rPr>
      </w:pPr>
      <w:r>
        <w:rPr>
          <w:rFonts w:hint="eastAsia" w:eastAsia="仿宋_GB2312"/>
          <w:sz w:val="32"/>
          <w:szCs w:val="32"/>
        </w:rPr>
        <w:t>3.4.1光辐射安全要求</w:t>
      </w:r>
    </w:p>
    <w:p w14:paraId="22F0642D">
      <w:pPr>
        <w:spacing w:line="520" w:lineRule="exact"/>
        <w:ind w:firstLine="640" w:firstLineChars="200"/>
        <w:rPr>
          <w:rFonts w:eastAsia="仿宋_GB2312"/>
          <w:sz w:val="32"/>
          <w:szCs w:val="32"/>
        </w:rPr>
      </w:pPr>
      <w:r>
        <w:rPr>
          <w:rFonts w:hint="eastAsia" w:eastAsia="仿宋_GB2312"/>
          <w:sz w:val="32"/>
          <w:szCs w:val="32"/>
        </w:rPr>
        <w:t>眼科手术显微镜应符合</w:t>
      </w:r>
      <w:r>
        <w:rPr>
          <w:rFonts w:eastAsia="仿宋_GB2312"/>
          <w:sz w:val="32"/>
          <w:szCs w:val="32"/>
        </w:rPr>
        <w:t>YY 1296</w:t>
      </w:r>
      <w:r>
        <w:rPr>
          <w:rFonts w:hint="eastAsia" w:eastAsia="仿宋_GB2312"/>
          <w:sz w:val="32"/>
          <w:szCs w:val="32"/>
        </w:rPr>
        <w:t>标准要求。</w:t>
      </w:r>
    </w:p>
    <w:p w14:paraId="7B3FDEB2">
      <w:pPr>
        <w:spacing w:line="52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w:t>
      </w:r>
      <w:r>
        <w:rPr>
          <w:rFonts w:hint="eastAsia" w:eastAsia="仿宋_GB2312"/>
          <w:sz w:val="32"/>
          <w:szCs w:val="32"/>
        </w:rPr>
        <w:t>4.1电气安全要求</w:t>
      </w:r>
    </w:p>
    <w:p w14:paraId="5C4F5663">
      <w:pPr>
        <w:spacing w:line="520" w:lineRule="exact"/>
        <w:ind w:firstLine="640" w:firstLineChars="200"/>
        <w:rPr>
          <w:rFonts w:eastAsia="仿宋_GB2312"/>
          <w:sz w:val="32"/>
          <w:szCs w:val="32"/>
        </w:rPr>
      </w:pPr>
      <w:r>
        <w:rPr>
          <w:rFonts w:hint="eastAsia" w:eastAsia="仿宋_GB2312"/>
          <w:sz w:val="32"/>
          <w:szCs w:val="32"/>
        </w:rPr>
        <w:t>手术显微镜应符合</w:t>
      </w:r>
      <w:r>
        <w:rPr>
          <w:rFonts w:eastAsia="仿宋_GB2312"/>
          <w:sz w:val="32"/>
          <w:szCs w:val="32"/>
        </w:rPr>
        <w:t>GB 9706.1</w:t>
      </w:r>
      <w:r>
        <w:rPr>
          <w:rFonts w:hint="eastAsia" w:eastAsia="仿宋_GB2312"/>
          <w:sz w:val="32"/>
          <w:szCs w:val="32"/>
        </w:rPr>
        <w:t>标准要求。</w:t>
      </w:r>
    </w:p>
    <w:p w14:paraId="6AB1FA64">
      <w:pPr>
        <w:spacing w:line="520" w:lineRule="exact"/>
        <w:ind w:firstLine="640" w:firstLineChars="200"/>
        <w:rPr>
          <w:rFonts w:eastAsia="仿宋_GB2312"/>
          <w:sz w:val="32"/>
          <w:szCs w:val="32"/>
        </w:rPr>
      </w:pPr>
      <w:r>
        <w:rPr>
          <w:rFonts w:hint="eastAsia" w:eastAsia="仿宋_GB2312"/>
          <w:sz w:val="32"/>
          <w:szCs w:val="32"/>
        </w:rPr>
        <w:t>3.4.3电磁兼容性要求</w:t>
      </w:r>
    </w:p>
    <w:p w14:paraId="48DFB3C8">
      <w:pPr>
        <w:spacing w:line="520" w:lineRule="exact"/>
        <w:ind w:firstLine="640" w:firstLineChars="200"/>
        <w:rPr>
          <w:rFonts w:eastAsia="仿宋_GB2312"/>
          <w:sz w:val="32"/>
          <w:szCs w:val="32"/>
        </w:rPr>
      </w:pPr>
      <w:r>
        <w:rPr>
          <w:rFonts w:hint="eastAsia" w:eastAsia="仿宋_GB2312"/>
          <w:sz w:val="32"/>
          <w:szCs w:val="32"/>
        </w:rPr>
        <w:t>应符合YY 9706.102中规定的要求。</w:t>
      </w:r>
    </w:p>
    <w:p w14:paraId="4900D73F">
      <w:pPr>
        <w:spacing w:line="560" w:lineRule="exact"/>
        <w:ind w:firstLine="640" w:firstLineChars="200"/>
        <w:rPr>
          <w:rFonts w:eastAsia="仿宋_GB2312"/>
          <w:sz w:val="32"/>
          <w:szCs w:val="32"/>
        </w:rPr>
      </w:pPr>
      <w:r>
        <w:rPr>
          <w:rFonts w:hint="eastAsia" w:eastAsia="仿宋_GB2312"/>
          <w:sz w:val="32"/>
          <w:szCs w:val="32"/>
        </w:rPr>
        <w:t>3.5</w:t>
      </w:r>
      <w:r>
        <w:rPr>
          <w:rFonts w:eastAsia="仿宋_GB2312"/>
          <w:sz w:val="32"/>
          <w:szCs w:val="32"/>
        </w:rPr>
        <w:t>检验报告</w:t>
      </w:r>
    </w:p>
    <w:p w14:paraId="404E72B0">
      <w:pPr>
        <w:spacing w:line="560" w:lineRule="exact"/>
        <w:ind w:firstLine="640" w:firstLineChars="200"/>
        <w:rPr>
          <w:rFonts w:eastAsia="仿宋_GB2312"/>
          <w:sz w:val="32"/>
          <w:szCs w:val="32"/>
        </w:rPr>
      </w:pPr>
      <w:r>
        <w:rPr>
          <w:rFonts w:eastAsia="仿宋_GB2312"/>
          <w:sz w:val="32"/>
          <w:szCs w:val="32"/>
        </w:rPr>
        <w:t>可提交以下任一形式的检验报告：</w:t>
      </w:r>
    </w:p>
    <w:p w14:paraId="1C92ABDF">
      <w:pPr>
        <w:spacing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申请人出具的</w:t>
      </w:r>
      <w:r>
        <w:rPr>
          <w:rFonts w:hint="eastAsia" w:eastAsia="仿宋_GB2312"/>
          <w:sz w:val="32"/>
          <w:szCs w:val="32"/>
        </w:rPr>
        <w:t>符合要求的</w:t>
      </w:r>
      <w:r>
        <w:rPr>
          <w:rFonts w:eastAsia="仿宋_GB2312"/>
          <w:sz w:val="32"/>
          <w:szCs w:val="32"/>
        </w:rPr>
        <w:t>自检报告</w:t>
      </w:r>
      <w:r>
        <w:rPr>
          <w:rFonts w:hint="eastAsia" w:eastAsia="仿宋_GB2312"/>
          <w:sz w:val="32"/>
          <w:szCs w:val="32"/>
        </w:rPr>
        <w:t>；</w:t>
      </w:r>
    </w:p>
    <w:p w14:paraId="41D84CFF">
      <w:pPr>
        <w:spacing w:line="560" w:lineRule="exact"/>
        <w:ind w:firstLine="640" w:firstLineChars="200"/>
        <w:outlineLvl w:val="1"/>
        <w:rPr>
          <w:rFonts w:eastAsia="仿宋_GB2312"/>
          <w:sz w:val="32"/>
          <w:szCs w:val="32"/>
        </w:rPr>
      </w:pPr>
      <w:r>
        <w:rPr>
          <w:rFonts w:hint="eastAsia" w:eastAsia="仿宋_GB2312"/>
          <w:sz w:val="32"/>
          <w:szCs w:val="32"/>
        </w:rPr>
        <w:t>（2）</w:t>
      </w:r>
      <w:r>
        <w:rPr>
          <w:rFonts w:eastAsia="仿宋_GB2312"/>
          <w:sz w:val="32"/>
          <w:szCs w:val="32"/>
        </w:rPr>
        <w:t>委托有资质的医疗器械检验机构出具的检验报告</w:t>
      </w:r>
      <w:r>
        <w:rPr>
          <w:rFonts w:hint="eastAsia" w:eastAsia="仿宋_GB2312"/>
          <w:sz w:val="32"/>
          <w:szCs w:val="32"/>
        </w:rPr>
        <w:t>。</w:t>
      </w:r>
    </w:p>
    <w:p w14:paraId="220EBB50">
      <w:pPr>
        <w:spacing w:line="560" w:lineRule="exact"/>
        <w:ind w:firstLine="636" w:firstLineChars="200"/>
        <w:rPr>
          <w:rFonts w:eastAsia="仿宋_GB2312"/>
          <w:spacing w:val="-1"/>
          <w:sz w:val="32"/>
          <w:szCs w:val="32"/>
        </w:rPr>
      </w:pPr>
      <w:r>
        <w:rPr>
          <w:rFonts w:hint="eastAsia" w:eastAsia="仿宋_GB2312"/>
          <w:spacing w:val="-1"/>
          <w:sz w:val="32"/>
          <w:szCs w:val="32"/>
        </w:rPr>
        <w:t>3.6同一注册单元内注册检验代表产品确定原则和实例</w:t>
      </w:r>
    </w:p>
    <w:p w14:paraId="2A34BC63">
      <w:pPr>
        <w:spacing w:line="560" w:lineRule="exact"/>
        <w:ind w:firstLine="636" w:firstLineChars="200"/>
        <w:rPr>
          <w:rFonts w:eastAsia="仿宋_GB2312"/>
          <w:spacing w:val="-1"/>
          <w:sz w:val="32"/>
          <w:szCs w:val="32"/>
        </w:rPr>
      </w:pPr>
      <w:r>
        <w:rPr>
          <w:rFonts w:hint="eastAsia" w:eastAsia="仿宋_GB2312"/>
          <w:spacing w:val="-1"/>
          <w:sz w:val="32"/>
          <w:szCs w:val="32"/>
        </w:rPr>
        <w:t>3.6.1典型产品应是同一注册单元内能够代表本单元内其他产品安全性和有效性的产品。</w:t>
      </w:r>
    </w:p>
    <w:p w14:paraId="442BF104">
      <w:pPr>
        <w:spacing w:line="560" w:lineRule="exact"/>
        <w:ind w:firstLine="636" w:firstLineChars="200"/>
        <w:rPr>
          <w:rFonts w:eastAsia="仿宋_GB2312"/>
          <w:spacing w:val="-1"/>
          <w:sz w:val="32"/>
          <w:szCs w:val="32"/>
        </w:rPr>
      </w:pPr>
      <w:r>
        <w:rPr>
          <w:rFonts w:hint="eastAsia" w:eastAsia="仿宋_GB2312"/>
          <w:spacing w:val="-1"/>
          <w:sz w:val="32"/>
          <w:szCs w:val="32"/>
        </w:rPr>
        <w:t>3.6.2应考虑功能最齐全、结构最复杂、风险最高的产品。</w:t>
      </w:r>
    </w:p>
    <w:p w14:paraId="64C9F221">
      <w:pPr>
        <w:spacing w:line="560" w:lineRule="exact"/>
        <w:ind w:firstLine="636" w:firstLineChars="200"/>
        <w:rPr>
          <w:rFonts w:eastAsia="仿宋_GB2312"/>
          <w:spacing w:val="-1"/>
          <w:sz w:val="32"/>
          <w:szCs w:val="32"/>
        </w:rPr>
      </w:pPr>
      <w:r>
        <w:rPr>
          <w:rFonts w:hint="eastAsia" w:eastAsia="仿宋_GB2312"/>
          <w:spacing w:val="-1"/>
          <w:sz w:val="32"/>
          <w:szCs w:val="32"/>
        </w:rPr>
        <w:t>3.6.3注册单元内各种产品的主要安全指标、性能指标不能被某一产品全部涵盖时，则应选择涵盖安全指标、性能指标最多的产品作为典型产品，同时还应考虑其他产品中未被典型产品所涵盖的安全指标及性能指标。</w:t>
      </w:r>
    </w:p>
    <w:p w14:paraId="325AC75D">
      <w:pPr>
        <w:spacing w:line="520" w:lineRule="exact"/>
        <w:ind w:firstLine="636" w:firstLineChars="200"/>
        <w:rPr>
          <w:rFonts w:eastAsia="仿宋_GB2312"/>
          <w:sz w:val="32"/>
          <w:szCs w:val="32"/>
        </w:rPr>
      </w:pPr>
      <w:r>
        <w:rPr>
          <w:rFonts w:hint="eastAsia" w:eastAsia="仿宋_GB2312"/>
          <w:spacing w:val="-1"/>
          <w:sz w:val="32"/>
          <w:szCs w:val="32"/>
        </w:rPr>
        <w:t>3.5.4当没有充足证据能够证明同一注册单元内不同型号规格产品之间电磁兼容性能可以覆盖时，应选取每一型号规格产品进行电磁兼容项目检测。</w:t>
      </w:r>
    </w:p>
    <w:p w14:paraId="5F9EF96C">
      <w:pPr>
        <w:spacing w:line="560" w:lineRule="exact"/>
        <w:ind w:firstLine="636" w:firstLineChars="200"/>
        <w:rPr>
          <w:rFonts w:ascii="楷体" w:hAnsi="楷体" w:eastAsia="楷体"/>
          <w:spacing w:val="-1"/>
          <w:sz w:val="32"/>
          <w:szCs w:val="32"/>
        </w:rPr>
      </w:pPr>
      <w:r>
        <w:rPr>
          <w:rFonts w:hint="eastAsia" w:ascii="楷体" w:hAnsi="楷体" w:eastAsia="楷体"/>
          <w:spacing w:val="-1"/>
          <w:sz w:val="32"/>
          <w:szCs w:val="32"/>
        </w:rPr>
        <w:t>4.研究资料</w:t>
      </w:r>
    </w:p>
    <w:p w14:paraId="70D39EBD">
      <w:pPr>
        <w:spacing w:line="560" w:lineRule="exact"/>
        <w:ind w:firstLine="636" w:firstLineChars="200"/>
        <w:rPr>
          <w:rFonts w:eastAsia="仿宋_GB2312"/>
          <w:spacing w:val="-1"/>
          <w:sz w:val="32"/>
          <w:szCs w:val="32"/>
        </w:rPr>
      </w:pPr>
      <w:r>
        <w:rPr>
          <w:rFonts w:hint="eastAsia" w:eastAsia="仿宋_GB2312"/>
          <w:spacing w:val="-1"/>
          <w:sz w:val="32"/>
          <w:szCs w:val="32"/>
        </w:rPr>
        <w:t>4</w:t>
      </w:r>
      <w:r>
        <w:rPr>
          <w:rFonts w:eastAsia="仿宋_GB2312"/>
          <w:spacing w:val="-1"/>
          <w:sz w:val="32"/>
          <w:szCs w:val="32"/>
        </w:rPr>
        <w:t>.</w:t>
      </w:r>
      <w:r>
        <w:rPr>
          <w:rFonts w:hint="eastAsia" w:eastAsia="仿宋_GB2312"/>
          <w:spacing w:val="-1"/>
          <w:sz w:val="32"/>
          <w:szCs w:val="32"/>
        </w:rPr>
        <w:t>1产品性能研究</w:t>
      </w:r>
    </w:p>
    <w:p w14:paraId="017DB831">
      <w:pPr>
        <w:spacing w:line="560" w:lineRule="exact"/>
        <w:ind w:firstLine="636" w:firstLineChars="200"/>
        <w:rPr>
          <w:rFonts w:eastAsia="仿宋_GB2312"/>
          <w:spacing w:val="-1"/>
          <w:sz w:val="32"/>
          <w:szCs w:val="32"/>
        </w:rPr>
      </w:pPr>
      <w:r>
        <w:rPr>
          <w:rFonts w:hint="eastAsia" w:eastAsia="仿宋_GB2312"/>
          <w:spacing w:val="-1"/>
          <w:sz w:val="32"/>
          <w:szCs w:val="32"/>
        </w:rPr>
        <w:t>应当提供产品性能研究资料以及产品技术要求的研究和编制说明，包括功能性、安全性指标（如电气安全、电磁兼容和光学安全）以及与质量控制相关的其他指标的确定依据，所采用的标准或方法、采用的原因及理论基础。对于产品的性能指标，如有不适应的条款或标准，应当在研究资料中说明。</w:t>
      </w:r>
    </w:p>
    <w:p w14:paraId="4F0FE945">
      <w:pPr>
        <w:spacing w:line="560" w:lineRule="exact"/>
        <w:ind w:firstLine="636" w:firstLineChars="200"/>
        <w:rPr>
          <w:rFonts w:eastAsia="仿宋_GB2312"/>
          <w:spacing w:val="-1"/>
          <w:sz w:val="32"/>
          <w:szCs w:val="32"/>
        </w:rPr>
      </w:pPr>
      <w:r>
        <w:rPr>
          <w:rFonts w:hint="eastAsia" w:eastAsia="仿宋_GB2312"/>
          <w:spacing w:val="-1"/>
          <w:sz w:val="32"/>
          <w:szCs w:val="32"/>
        </w:rPr>
        <w:t>4.2化学和物理性能研究</w:t>
      </w:r>
    </w:p>
    <w:p w14:paraId="3074E21F">
      <w:pPr>
        <w:spacing w:line="560" w:lineRule="exact"/>
        <w:ind w:firstLine="636" w:firstLineChars="200"/>
        <w:rPr>
          <w:rFonts w:eastAsia="仿宋_GB2312"/>
          <w:spacing w:val="-1"/>
          <w:sz w:val="32"/>
          <w:szCs w:val="32"/>
        </w:rPr>
      </w:pPr>
      <w:r>
        <w:rPr>
          <w:rFonts w:hint="eastAsia" w:eastAsia="仿宋_GB2312"/>
          <w:spacing w:val="-1"/>
          <w:sz w:val="32"/>
          <w:szCs w:val="32"/>
        </w:rPr>
        <w:t>应当提供产品物理和/或机械性能指标的确定依据、设计输入来源以及临床意义，所采用的标准或方法、采用的原因及理论基础。包含功能性、安全性指标以及与质量控制相关的其他指标。</w:t>
      </w:r>
    </w:p>
    <w:p w14:paraId="0F138D57">
      <w:pPr>
        <w:spacing w:line="560" w:lineRule="exact"/>
        <w:ind w:firstLine="636" w:firstLineChars="200"/>
        <w:rPr>
          <w:rFonts w:eastAsia="仿宋_GB2312"/>
          <w:spacing w:val="-1"/>
          <w:sz w:val="32"/>
          <w:szCs w:val="32"/>
        </w:rPr>
      </w:pPr>
      <w:r>
        <w:rPr>
          <w:rFonts w:hint="eastAsia" w:eastAsia="仿宋_GB2312"/>
          <w:spacing w:val="-1"/>
          <w:sz w:val="32"/>
          <w:szCs w:val="32"/>
        </w:rPr>
        <w:t>4.2.1联合使用</w:t>
      </w:r>
    </w:p>
    <w:p w14:paraId="7C22006B">
      <w:pPr>
        <w:spacing w:line="560" w:lineRule="exact"/>
        <w:ind w:firstLine="636" w:firstLineChars="200"/>
        <w:rPr>
          <w:rFonts w:eastAsia="仿宋_GB2312"/>
          <w:spacing w:val="-1"/>
          <w:sz w:val="32"/>
          <w:szCs w:val="32"/>
        </w:rPr>
      </w:pPr>
      <w:r>
        <w:rPr>
          <w:rFonts w:hint="eastAsia" w:eastAsia="仿宋_GB2312"/>
          <w:spacing w:val="-1"/>
          <w:sz w:val="32"/>
          <w:szCs w:val="32"/>
        </w:rPr>
        <w:t>如申报产品预期与其他医疗器械（如图像采集处理系统等）、药品、非医疗器械产品联合使用实现同一预期用途，应当提供证明联合使用安全有效的研究资料，包括互联基本信息（连接类型、接口、协议、最低性能）、联合使用风险及控制措施、联合使用上的限制，兼容性研究等。</w:t>
      </w:r>
    </w:p>
    <w:p w14:paraId="79E4C1C3">
      <w:pPr>
        <w:spacing w:line="560" w:lineRule="exact"/>
        <w:ind w:firstLine="636" w:firstLineChars="200"/>
        <w:rPr>
          <w:rFonts w:eastAsia="仿宋_GB2312"/>
          <w:spacing w:val="-1"/>
          <w:sz w:val="32"/>
          <w:szCs w:val="32"/>
        </w:rPr>
      </w:pPr>
      <w:r>
        <w:rPr>
          <w:rFonts w:hint="eastAsia" w:eastAsia="仿宋_GB2312"/>
          <w:spacing w:val="-1"/>
          <w:sz w:val="32"/>
          <w:szCs w:val="32"/>
        </w:rPr>
        <w:t>4.3电气系统安全性研究</w:t>
      </w:r>
    </w:p>
    <w:p w14:paraId="57EA4389">
      <w:pPr>
        <w:spacing w:line="560" w:lineRule="exact"/>
        <w:ind w:firstLine="636" w:firstLineChars="200"/>
        <w:rPr>
          <w:rFonts w:eastAsia="仿宋_GB2312"/>
          <w:spacing w:val="-1"/>
          <w:sz w:val="32"/>
          <w:szCs w:val="32"/>
        </w:rPr>
      </w:pPr>
      <w:r>
        <w:rPr>
          <w:rFonts w:hint="eastAsia" w:eastAsia="仿宋_GB2312"/>
          <w:spacing w:val="-1"/>
          <w:sz w:val="32"/>
          <w:szCs w:val="32"/>
        </w:rPr>
        <w:t>应当提供电气安全性、机械和环境保护以及电磁兼容性的研究资料，说明适用的标准以及开展的研究。</w:t>
      </w:r>
    </w:p>
    <w:p w14:paraId="512DB59C">
      <w:pPr>
        <w:spacing w:line="560" w:lineRule="exact"/>
        <w:ind w:firstLine="636" w:firstLineChars="200"/>
        <w:rPr>
          <w:rFonts w:eastAsia="仿宋_GB2312"/>
          <w:spacing w:val="-1"/>
          <w:sz w:val="32"/>
          <w:szCs w:val="32"/>
        </w:rPr>
      </w:pPr>
      <w:r>
        <w:rPr>
          <w:rFonts w:hint="eastAsia" w:eastAsia="仿宋_GB2312"/>
          <w:spacing w:val="-1"/>
          <w:sz w:val="32"/>
          <w:szCs w:val="32"/>
        </w:rPr>
        <w:t>4.4光辐射安全研究</w:t>
      </w:r>
    </w:p>
    <w:p w14:paraId="619D0F84">
      <w:pPr>
        <w:spacing w:line="560" w:lineRule="exact"/>
        <w:ind w:firstLine="636" w:firstLineChars="200"/>
        <w:rPr>
          <w:rFonts w:eastAsia="仿宋_GB2312"/>
          <w:spacing w:val="-1"/>
          <w:sz w:val="32"/>
          <w:szCs w:val="32"/>
        </w:rPr>
      </w:pPr>
      <w:r>
        <w:rPr>
          <w:rFonts w:hint="eastAsia" w:eastAsia="仿宋_GB2312"/>
          <w:spacing w:val="-1"/>
          <w:sz w:val="32"/>
          <w:szCs w:val="32"/>
        </w:rPr>
        <w:t>应对产品所用光源的光危害和光辐射安全进行评价，如LED光源推荐参考GB/T 20145《灯和灯系统的光生物安全性》对光源的光危害和光辐射安全进行评价。特别地，对于眼科用手术显微镜的所用光源，应按照YY 1296对产品的光危害性进行评价。如产品含有激光，应对激光的安全性进行评价。</w:t>
      </w:r>
    </w:p>
    <w:p w14:paraId="61691FBB">
      <w:pPr>
        <w:spacing w:line="560" w:lineRule="exact"/>
        <w:ind w:firstLine="636" w:firstLineChars="200"/>
        <w:rPr>
          <w:rFonts w:eastAsia="仿宋_GB2312"/>
          <w:spacing w:val="-1"/>
          <w:sz w:val="32"/>
          <w:szCs w:val="32"/>
        </w:rPr>
      </w:pPr>
      <w:r>
        <w:rPr>
          <w:rFonts w:hint="eastAsia" w:eastAsia="仿宋_GB2312"/>
          <w:spacing w:val="-1"/>
          <w:sz w:val="32"/>
          <w:szCs w:val="32"/>
        </w:rPr>
        <w:t>眼科仪器通常含有光源（非激光）用于照明、成像、测量等，应在研究资料中提交符合ISO 15004-2的证明资料。</w:t>
      </w:r>
    </w:p>
    <w:p w14:paraId="18F32E8A">
      <w:pPr>
        <w:spacing w:line="560" w:lineRule="exact"/>
        <w:ind w:firstLine="636" w:firstLineChars="200"/>
        <w:rPr>
          <w:rFonts w:eastAsia="仿宋_GB2312"/>
          <w:spacing w:val="-1"/>
          <w:sz w:val="32"/>
          <w:szCs w:val="32"/>
        </w:rPr>
      </w:pPr>
      <w:r>
        <w:rPr>
          <w:rFonts w:hint="eastAsia" w:eastAsia="仿宋_GB2312"/>
          <w:spacing w:val="-1"/>
          <w:sz w:val="32"/>
          <w:szCs w:val="32"/>
        </w:rPr>
        <w:t>同时，申请人应参考《医疗器械光辐射安全注册审查指导原则》相关规定提交光辐射安全研究资料。</w:t>
      </w:r>
    </w:p>
    <w:p w14:paraId="43086FB5">
      <w:pPr>
        <w:spacing w:line="560" w:lineRule="exact"/>
        <w:ind w:firstLine="636" w:firstLineChars="200"/>
        <w:rPr>
          <w:rFonts w:eastAsia="仿宋_GB2312"/>
          <w:spacing w:val="-1"/>
          <w:sz w:val="32"/>
          <w:szCs w:val="32"/>
        </w:rPr>
      </w:pPr>
      <w:r>
        <w:rPr>
          <w:rFonts w:hint="eastAsia" w:eastAsia="仿宋_GB2312"/>
          <w:spacing w:val="-1"/>
          <w:sz w:val="32"/>
          <w:szCs w:val="32"/>
        </w:rPr>
        <w:t>应提供光辐射安全的研究资料，包括：</w:t>
      </w:r>
    </w:p>
    <w:p w14:paraId="7EB55FF8">
      <w:pPr>
        <w:spacing w:line="560" w:lineRule="exact"/>
        <w:ind w:firstLine="636" w:firstLineChars="200"/>
        <w:rPr>
          <w:rFonts w:eastAsia="仿宋_GB2312"/>
          <w:spacing w:val="-1"/>
          <w:sz w:val="32"/>
          <w:szCs w:val="32"/>
        </w:rPr>
      </w:pPr>
      <w:r>
        <w:rPr>
          <w:rFonts w:hint="eastAsia" w:eastAsia="仿宋_GB2312"/>
          <w:spacing w:val="-1"/>
          <w:sz w:val="32"/>
          <w:szCs w:val="32"/>
        </w:rPr>
        <w:t>4.4.1说明符合的辐射安全通用及专用标准,对于标准中的不适用条款应详细说明理由；</w:t>
      </w:r>
    </w:p>
    <w:p w14:paraId="7A2502F3">
      <w:pPr>
        <w:spacing w:line="560" w:lineRule="exact"/>
        <w:ind w:firstLine="636" w:firstLineChars="200"/>
        <w:rPr>
          <w:rFonts w:eastAsia="仿宋_GB2312"/>
          <w:spacing w:val="-1"/>
          <w:sz w:val="32"/>
          <w:szCs w:val="32"/>
        </w:rPr>
      </w:pPr>
      <w:r>
        <w:rPr>
          <w:rFonts w:hint="eastAsia" w:eastAsia="仿宋_GB2312"/>
          <w:spacing w:val="-1"/>
          <w:sz w:val="32"/>
          <w:szCs w:val="32"/>
        </w:rPr>
        <w:t>4.4.2按照《医疗器械光辐射安全注册审查指导原则》的要求，说明辐射的类型并提供辐射安全验证资料，应确保辐射能量、辐射分布以及其他辐射关键特性能够得到合理的控制和调整，并可在使用过程中进行预估、监控（如适用）。</w:t>
      </w:r>
    </w:p>
    <w:p w14:paraId="7C66B8B8">
      <w:pPr>
        <w:spacing w:line="560" w:lineRule="exact"/>
        <w:ind w:firstLine="636" w:firstLineChars="200"/>
        <w:rPr>
          <w:rFonts w:eastAsia="仿宋_GB2312"/>
          <w:spacing w:val="-1"/>
          <w:sz w:val="32"/>
          <w:szCs w:val="32"/>
        </w:rPr>
      </w:pPr>
      <w:r>
        <w:rPr>
          <w:rFonts w:hint="eastAsia" w:eastAsia="仿宋_GB2312"/>
          <w:spacing w:val="-1"/>
          <w:sz w:val="32"/>
          <w:szCs w:val="32"/>
        </w:rPr>
        <w:t>产品技术要求已对适用的光辐射安全标准进行检测的，检测报告可视为辐射安全研究资料。</w:t>
      </w:r>
    </w:p>
    <w:p w14:paraId="444D234C">
      <w:pPr>
        <w:spacing w:line="560" w:lineRule="exact"/>
        <w:ind w:firstLine="636" w:firstLineChars="200"/>
        <w:rPr>
          <w:rFonts w:eastAsia="仿宋_GB2312"/>
          <w:spacing w:val="-1"/>
          <w:sz w:val="32"/>
          <w:szCs w:val="32"/>
        </w:rPr>
      </w:pPr>
      <w:r>
        <w:rPr>
          <w:rFonts w:hint="eastAsia" w:eastAsia="仿宋_GB2312"/>
          <w:spacing w:val="-1"/>
          <w:sz w:val="32"/>
          <w:szCs w:val="32"/>
        </w:rPr>
        <w:t>4</w:t>
      </w:r>
      <w:r>
        <w:rPr>
          <w:rFonts w:eastAsia="仿宋_GB2312"/>
          <w:spacing w:val="-1"/>
          <w:sz w:val="32"/>
          <w:szCs w:val="32"/>
        </w:rPr>
        <w:t>.</w:t>
      </w:r>
      <w:r>
        <w:rPr>
          <w:rFonts w:hint="eastAsia" w:eastAsia="仿宋_GB2312"/>
          <w:spacing w:val="-1"/>
          <w:sz w:val="32"/>
          <w:szCs w:val="32"/>
        </w:rPr>
        <w:t>5软件和网络安全研究（若适用）</w:t>
      </w:r>
    </w:p>
    <w:p w14:paraId="5E4FF92B">
      <w:pPr>
        <w:spacing w:line="560" w:lineRule="exact"/>
        <w:rPr>
          <w:rFonts w:eastAsia="仿宋_GB2312"/>
          <w:spacing w:val="-1"/>
          <w:sz w:val="32"/>
          <w:szCs w:val="32"/>
        </w:rPr>
      </w:pPr>
      <w:r>
        <w:rPr>
          <w:rFonts w:hint="eastAsia" w:eastAsia="仿宋_GB2312"/>
          <w:spacing w:val="-1"/>
          <w:sz w:val="32"/>
          <w:szCs w:val="32"/>
        </w:rPr>
        <w:t>除某些特殊情况外，手术显微镜设备通常都带有嵌入式软件组件，对于设备的软件，注册申请人应依据《医疗器械软件注册审查指导原则（2022年修订版）》、《医疗器械网络安全注册审查指导原则（2022年修订版）》（若适用）等要求，提交相应研究资料。</w:t>
      </w:r>
    </w:p>
    <w:p w14:paraId="3D16C94D">
      <w:pPr>
        <w:spacing w:line="560" w:lineRule="exact"/>
        <w:ind w:firstLine="636" w:firstLineChars="200"/>
        <w:rPr>
          <w:rFonts w:eastAsia="仿宋_GB2312"/>
          <w:spacing w:val="-1"/>
          <w:sz w:val="32"/>
          <w:szCs w:val="32"/>
        </w:rPr>
      </w:pPr>
      <w:r>
        <w:rPr>
          <w:rFonts w:hint="eastAsia" w:eastAsia="仿宋_GB2312"/>
          <w:spacing w:val="-1"/>
          <w:sz w:val="32"/>
          <w:szCs w:val="32"/>
        </w:rPr>
        <w:t>4.5.1软件</w:t>
      </w:r>
    </w:p>
    <w:p w14:paraId="2E357148">
      <w:pPr>
        <w:spacing w:line="560" w:lineRule="exact"/>
        <w:ind w:firstLine="636" w:firstLineChars="200"/>
        <w:rPr>
          <w:rFonts w:eastAsia="仿宋_GB2312"/>
          <w:spacing w:val="-1"/>
          <w:sz w:val="32"/>
          <w:szCs w:val="32"/>
        </w:rPr>
      </w:pPr>
      <w:r>
        <w:rPr>
          <w:rFonts w:hint="eastAsia" w:eastAsia="仿宋_GB2312"/>
          <w:spacing w:val="-1"/>
          <w:sz w:val="32"/>
          <w:szCs w:val="32"/>
        </w:rPr>
        <w:t>注册申请人在提交软件研究资料时应当提供自研软件研究报告、外部软件环境评估报告（若适用）以及GB/T 25000.51自测报告，亦可提交自检报告或检验报告代替自测报告。自研软件研究报告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p>
    <w:p w14:paraId="5347969F">
      <w:pPr>
        <w:spacing w:line="560" w:lineRule="exact"/>
        <w:ind w:firstLine="636" w:firstLineChars="200"/>
        <w:rPr>
          <w:rFonts w:eastAsia="仿宋_GB2312"/>
          <w:spacing w:val="-1"/>
          <w:sz w:val="32"/>
          <w:szCs w:val="32"/>
        </w:rPr>
      </w:pPr>
      <w:r>
        <w:rPr>
          <w:rFonts w:hint="eastAsia" w:eastAsia="仿宋_GB2312"/>
          <w:spacing w:val="-1"/>
          <w:sz w:val="32"/>
          <w:szCs w:val="32"/>
        </w:rPr>
        <w:t>4.5.2网络安全</w:t>
      </w:r>
    </w:p>
    <w:p w14:paraId="7C6A25D4">
      <w:pPr>
        <w:spacing w:line="560" w:lineRule="exact"/>
        <w:ind w:firstLine="636" w:firstLineChars="200"/>
        <w:rPr>
          <w:rFonts w:eastAsia="仿宋_GB2312"/>
          <w:spacing w:val="-1"/>
          <w:sz w:val="32"/>
          <w:szCs w:val="32"/>
        </w:rPr>
      </w:pPr>
      <w:r>
        <w:rPr>
          <w:rFonts w:hint="eastAsia" w:eastAsia="仿宋_GB2312"/>
          <w:spacing w:val="-1"/>
          <w:sz w:val="32"/>
          <w:szCs w:val="32"/>
        </w:rPr>
        <w:t xml:space="preserve">若申报产品具备电子数据交换、远程控制或用户访问功能，应当提供自研软件网络安全研究报告，包括基本信息、实现过程、漏洞评估、结论等内容，详尽程度取决于软件安全性级别。其中，基本信息包括软件信息、数据架构、网络安全能力、网络安全补丁、安全软件，实现过程包括风险管理、需求规范、验证与确认、可追溯性分析、更新维护计划，漏洞评估明确已知漏洞相关信息。 </w:t>
      </w:r>
    </w:p>
    <w:p w14:paraId="0F3A2E94">
      <w:pPr>
        <w:spacing w:line="560" w:lineRule="exact"/>
        <w:ind w:firstLine="636" w:firstLineChars="200"/>
        <w:rPr>
          <w:rFonts w:eastAsia="仿宋_GB2312"/>
          <w:spacing w:val="-1"/>
          <w:sz w:val="32"/>
          <w:szCs w:val="32"/>
        </w:rPr>
      </w:pPr>
      <w:r>
        <w:rPr>
          <w:rFonts w:hint="eastAsia" w:eastAsia="仿宋_GB2312"/>
          <w:spacing w:val="-1"/>
          <w:sz w:val="32"/>
          <w:szCs w:val="32"/>
        </w:rPr>
        <w:t>4</w:t>
      </w:r>
      <w:r>
        <w:rPr>
          <w:rFonts w:eastAsia="仿宋_GB2312"/>
          <w:spacing w:val="-1"/>
          <w:sz w:val="32"/>
          <w:szCs w:val="32"/>
        </w:rPr>
        <w:t>.</w:t>
      </w:r>
      <w:r>
        <w:rPr>
          <w:rFonts w:hint="eastAsia" w:eastAsia="仿宋_GB2312"/>
          <w:spacing w:val="-1"/>
          <w:sz w:val="32"/>
          <w:szCs w:val="32"/>
        </w:rPr>
        <w:t>6生物相容性评价研究</w:t>
      </w:r>
    </w:p>
    <w:p w14:paraId="4619A148">
      <w:pPr>
        <w:spacing w:line="560" w:lineRule="exact"/>
        <w:ind w:firstLine="636" w:firstLineChars="200"/>
        <w:rPr>
          <w:rFonts w:eastAsia="仿宋_GB2312"/>
          <w:spacing w:val="-1"/>
          <w:sz w:val="32"/>
          <w:szCs w:val="32"/>
        </w:rPr>
      </w:pPr>
      <w:r>
        <w:rPr>
          <w:rFonts w:hint="eastAsia" w:eastAsia="仿宋_GB2312"/>
          <w:spacing w:val="-1"/>
          <w:sz w:val="32"/>
          <w:szCs w:val="32"/>
        </w:rPr>
        <w:t>生物相容性评价根据GB/T 16886.1《医疗器械生物学评价 第1部分：风险管理过程中的评价与试验》的标准进行。生物学评价过程中应当注重运用已有信息（包括材料、文献资料、体外和体内试验数据、临床经验）。当需要进行生物学试验时，应当由国家药品监督管理局认可的、并具有相应生物学试验资质的医疗器械检测机构进行。</w:t>
      </w:r>
    </w:p>
    <w:p w14:paraId="604D25DD">
      <w:pPr>
        <w:spacing w:line="560" w:lineRule="exact"/>
        <w:ind w:firstLine="636" w:firstLineChars="200"/>
        <w:rPr>
          <w:rFonts w:eastAsia="仿宋_GB2312"/>
          <w:spacing w:val="-1"/>
          <w:sz w:val="32"/>
          <w:szCs w:val="32"/>
        </w:rPr>
      </w:pPr>
      <w:r>
        <w:rPr>
          <w:rFonts w:hint="eastAsia" w:eastAsia="仿宋_GB2312"/>
          <w:spacing w:val="-1"/>
          <w:sz w:val="32"/>
          <w:szCs w:val="32"/>
        </w:rPr>
        <w:t>生物相容性评价研究资料应当包括：</w:t>
      </w:r>
    </w:p>
    <w:p w14:paraId="0AB27FE8">
      <w:pPr>
        <w:spacing w:line="560" w:lineRule="exact"/>
        <w:ind w:firstLine="636" w:firstLineChars="200"/>
        <w:rPr>
          <w:rFonts w:eastAsia="仿宋_GB2312"/>
          <w:spacing w:val="-1"/>
          <w:sz w:val="32"/>
          <w:szCs w:val="32"/>
        </w:rPr>
      </w:pPr>
      <w:r>
        <w:rPr>
          <w:rFonts w:hint="eastAsia" w:eastAsia="仿宋_GB2312"/>
          <w:spacing w:val="-1"/>
          <w:sz w:val="32"/>
          <w:szCs w:val="32"/>
        </w:rPr>
        <w:t>（1）生物相容性评价的依据和方法。</w:t>
      </w:r>
    </w:p>
    <w:p w14:paraId="7CE19AFA">
      <w:pPr>
        <w:spacing w:line="560" w:lineRule="exact"/>
        <w:ind w:firstLine="636" w:firstLineChars="200"/>
        <w:rPr>
          <w:rFonts w:eastAsia="仿宋_GB2312"/>
          <w:spacing w:val="-1"/>
          <w:sz w:val="32"/>
          <w:szCs w:val="32"/>
        </w:rPr>
      </w:pPr>
      <w:r>
        <w:rPr>
          <w:rFonts w:hint="eastAsia" w:eastAsia="仿宋_GB2312"/>
          <w:spacing w:val="-1"/>
          <w:sz w:val="32"/>
          <w:szCs w:val="32"/>
        </w:rPr>
        <w:t>（2）产品所用材料的描述及与人体接触的性质。</w:t>
      </w:r>
    </w:p>
    <w:p w14:paraId="760375C2">
      <w:pPr>
        <w:spacing w:line="560" w:lineRule="exact"/>
        <w:ind w:firstLine="636" w:firstLineChars="200"/>
        <w:rPr>
          <w:rFonts w:eastAsia="仿宋_GB2312"/>
          <w:spacing w:val="-1"/>
          <w:sz w:val="32"/>
          <w:szCs w:val="32"/>
        </w:rPr>
      </w:pPr>
      <w:r>
        <w:rPr>
          <w:rFonts w:hint="eastAsia" w:eastAsia="仿宋_GB2312"/>
          <w:spacing w:val="-1"/>
          <w:sz w:val="32"/>
          <w:szCs w:val="32"/>
        </w:rPr>
        <w:t>（3）实施或豁免生物学试验的理由和论证。</w:t>
      </w:r>
    </w:p>
    <w:p w14:paraId="7DC986F0">
      <w:pPr>
        <w:spacing w:line="560" w:lineRule="exact"/>
        <w:ind w:firstLine="636" w:firstLineChars="200"/>
        <w:rPr>
          <w:rFonts w:eastAsia="仿宋_GB2312"/>
          <w:spacing w:val="-1"/>
          <w:sz w:val="32"/>
          <w:szCs w:val="32"/>
        </w:rPr>
      </w:pPr>
      <w:r>
        <w:rPr>
          <w:rFonts w:hint="eastAsia" w:eastAsia="仿宋_GB2312"/>
          <w:spacing w:val="-1"/>
          <w:sz w:val="32"/>
          <w:szCs w:val="32"/>
        </w:rPr>
        <w:t>（4）对于现有数据或试验结果的评价。</w:t>
      </w:r>
    </w:p>
    <w:p w14:paraId="374AA1F2">
      <w:pPr>
        <w:spacing w:line="560" w:lineRule="exact"/>
        <w:ind w:firstLine="636" w:firstLineChars="200"/>
        <w:rPr>
          <w:rFonts w:eastAsia="仿宋_GB2312"/>
          <w:spacing w:val="-1"/>
          <w:sz w:val="32"/>
          <w:szCs w:val="32"/>
        </w:rPr>
      </w:pPr>
      <w:r>
        <w:rPr>
          <w:rFonts w:hint="eastAsia" w:eastAsia="仿宋_GB2312"/>
          <w:spacing w:val="-1"/>
          <w:sz w:val="32"/>
          <w:szCs w:val="32"/>
        </w:rPr>
        <w:t>4.7消毒工艺研究</w:t>
      </w:r>
    </w:p>
    <w:p w14:paraId="45338506">
      <w:pPr>
        <w:spacing w:line="560" w:lineRule="exact"/>
        <w:ind w:firstLine="636" w:firstLineChars="200"/>
        <w:rPr>
          <w:rFonts w:eastAsia="仿宋_GB2312"/>
          <w:spacing w:val="-1"/>
          <w:sz w:val="32"/>
          <w:szCs w:val="32"/>
        </w:rPr>
      </w:pPr>
      <w:r>
        <w:rPr>
          <w:rFonts w:hint="eastAsia" w:eastAsia="仿宋_GB2312"/>
          <w:spacing w:val="-1"/>
          <w:sz w:val="32"/>
          <w:szCs w:val="32"/>
        </w:rPr>
        <w:t>终端用户消毒：应当明确推荐的消毒工艺（方法和参数）以及所推荐消毒方法确定的依据。</w:t>
      </w:r>
    </w:p>
    <w:p w14:paraId="6483154A">
      <w:pPr>
        <w:spacing w:line="560" w:lineRule="exact"/>
        <w:ind w:firstLine="636" w:firstLineChars="200"/>
        <w:rPr>
          <w:rFonts w:eastAsia="仿宋_GB2312"/>
          <w:spacing w:val="-1"/>
          <w:sz w:val="32"/>
          <w:szCs w:val="32"/>
        </w:rPr>
      </w:pPr>
      <w:r>
        <w:rPr>
          <w:rFonts w:hint="eastAsia" w:eastAsia="仿宋_GB2312"/>
          <w:spacing w:val="-1"/>
          <w:sz w:val="32"/>
          <w:szCs w:val="32"/>
        </w:rPr>
        <w:t>4</w:t>
      </w:r>
      <w:r>
        <w:rPr>
          <w:rFonts w:eastAsia="仿宋_GB2312"/>
          <w:spacing w:val="-1"/>
          <w:sz w:val="32"/>
          <w:szCs w:val="32"/>
        </w:rPr>
        <w:t>.</w:t>
      </w:r>
      <w:r>
        <w:rPr>
          <w:rFonts w:hint="eastAsia" w:eastAsia="仿宋_GB2312"/>
          <w:spacing w:val="-1"/>
          <w:sz w:val="32"/>
          <w:szCs w:val="32"/>
        </w:rPr>
        <w:t>8稳定性研究</w:t>
      </w:r>
    </w:p>
    <w:p w14:paraId="13D4971F">
      <w:pPr>
        <w:spacing w:line="560" w:lineRule="exact"/>
        <w:ind w:firstLine="636" w:firstLineChars="200"/>
        <w:rPr>
          <w:rFonts w:eastAsia="仿宋_GB2312"/>
          <w:spacing w:val="-1"/>
          <w:sz w:val="32"/>
          <w:szCs w:val="32"/>
        </w:rPr>
      </w:pPr>
      <w:r>
        <w:rPr>
          <w:rFonts w:hint="eastAsia" w:eastAsia="仿宋_GB2312"/>
          <w:spacing w:val="-1"/>
          <w:sz w:val="32"/>
          <w:szCs w:val="32"/>
        </w:rPr>
        <w:t>医用电器环境要求是评价产品在各种工作环境和模拟贮存、运输环境下的适应性，可以制定不同的气候环境条件和机械环境条件来进行试验，或通过对关键部件的试验来评价整机的情况，也可以通过已上市同类产品比对方式进行判断。</w:t>
      </w:r>
    </w:p>
    <w:p w14:paraId="5DB62E91">
      <w:pPr>
        <w:spacing w:line="560" w:lineRule="exact"/>
        <w:ind w:firstLine="636" w:firstLineChars="200"/>
        <w:rPr>
          <w:rFonts w:eastAsia="仿宋_GB2312"/>
          <w:spacing w:val="-1"/>
          <w:sz w:val="32"/>
          <w:szCs w:val="32"/>
        </w:rPr>
      </w:pPr>
      <w:r>
        <w:rPr>
          <w:rFonts w:hint="eastAsia" w:eastAsia="仿宋_GB2312"/>
          <w:spacing w:val="-1"/>
          <w:sz w:val="32"/>
          <w:szCs w:val="32"/>
        </w:rPr>
        <w:t>4.8.1使用稳定性</w:t>
      </w:r>
    </w:p>
    <w:p w14:paraId="31255442">
      <w:pPr>
        <w:spacing w:line="520" w:lineRule="exact"/>
        <w:ind w:firstLine="640" w:firstLineChars="200"/>
        <w:rPr>
          <w:rFonts w:eastAsia="仿宋_GB2312"/>
          <w:spacing w:val="-1"/>
          <w:sz w:val="32"/>
          <w:szCs w:val="32"/>
        </w:rPr>
      </w:pPr>
      <w:r>
        <w:rPr>
          <w:rFonts w:eastAsia="仿宋_GB2312"/>
          <w:sz w:val="32"/>
          <w:szCs w:val="32"/>
        </w:rPr>
        <w:t>应当提供产品寿命信息及确定依据。需参照《有源医疗器械使用期限注册技术审查指导原则》提供产品使用稳定性的验证资料。</w:t>
      </w:r>
    </w:p>
    <w:p w14:paraId="001E2AD1">
      <w:pPr>
        <w:spacing w:line="560" w:lineRule="exact"/>
        <w:ind w:firstLine="636" w:firstLineChars="200"/>
        <w:rPr>
          <w:rFonts w:eastAsia="仿宋_GB2312"/>
          <w:spacing w:val="-1"/>
          <w:sz w:val="32"/>
          <w:szCs w:val="32"/>
        </w:rPr>
      </w:pPr>
      <w:r>
        <w:rPr>
          <w:rFonts w:hint="eastAsia" w:eastAsia="仿宋_GB2312"/>
          <w:spacing w:val="-1"/>
          <w:sz w:val="32"/>
          <w:szCs w:val="32"/>
        </w:rPr>
        <w:t>注册申请人应提供产品使用期限和验证报告。应基于风险分析重点考虑元器件本身的老化、使用环境如温湿度等对产品风险、收益的影响。对光源等有限次使用部件或与主机使用期限不一致的部件（如适用），应提供使用次数或使用期限的验证资料，需要制定，建议通过加速老化验证，并在说明书中明确。</w:t>
      </w:r>
    </w:p>
    <w:p w14:paraId="205D484E">
      <w:pPr>
        <w:pStyle w:val="14"/>
        <w:spacing w:line="520" w:lineRule="exact"/>
        <w:ind w:firstLine="600"/>
        <w:rPr>
          <w:rFonts w:ascii="Times New Roman" w:hAnsi="Times New Roman" w:eastAsia="仿宋_GB2312"/>
          <w:sz w:val="30"/>
          <w:szCs w:val="30"/>
        </w:rPr>
      </w:pPr>
      <w:r>
        <w:rPr>
          <w:rFonts w:hint="eastAsia" w:ascii="Times New Roman" w:hAnsi="Times New Roman" w:eastAsia="仿宋_GB2312"/>
          <w:sz w:val="30"/>
          <w:szCs w:val="30"/>
        </w:rPr>
        <w:t>4</w:t>
      </w:r>
      <w:r>
        <w:rPr>
          <w:rFonts w:ascii="Times New Roman" w:hAnsi="Times New Roman" w:eastAsia="仿宋_GB2312"/>
          <w:sz w:val="30"/>
          <w:szCs w:val="30"/>
        </w:rPr>
        <w:t>.</w:t>
      </w:r>
      <w:r>
        <w:rPr>
          <w:rFonts w:hint="eastAsia" w:ascii="Times New Roman" w:hAnsi="Times New Roman" w:eastAsia="仿宋_GB2312"/>
          <w:sz w:val="30"/>
          <w:szCs w:val="30"/>
        </w:rPr>
        <w:t>8</w:t>
      </w:r>
      <w:r>
        <w:rPr>
          <w:rFonts w:ascii="Times New Roman" w:hAnsi="Times New Roman" w:eastAsia="仿宋_GB2312"/>
          <w:sz w:val="30"/>
          <w:szCs w:val="30"/>
        </w:rPr>
        <w:t>.2运输稳定性</w:t>
      </w:r>
    </w:p>
    <w:p w14:paraId="35AB8A8A">
      <w:pPr>
        <w:spacing w:line="520" w:lineRule="exact"/>
        <w:ind w:firstLine="600" w:firstLineChars="200"/>
        <w:rPr>
          <w:rFonts w:eastAsia="仿宋_GB2312"/>
          <w:sz w:val="32"/>
          <w:szCs w:val="32"/>
        </w:rPr>
      </w:pPr>
      <w:r>
        <w:rPr>
          <w:rFonts w:eastAsia="仿宋_GB2312"/>
          <w:sz w:val="30"/>
          <w:szCs w:val="30"/>
        </w:rPr>
        <w:t>需提交运输稳定性验证资料，证明在规定的运输条件下，运输过程中环境条件（例如：震动、振动、温度和湿度的波动）不会对医疗器械的特性和性能，包括完整性和清洁度，造成不利影响。</w:t>
      </w:r>
      <w:r>
        <w:rPr>
          <w:rFonts w:hint="eastAsia" w:eastAsia="仿宋_GB2312"/>
          <w:sz w:val="32"/>
          <w:szCs w:val="32"/>
        </w:rPr>
        <w:t>环境试验项目、试验要求和检验项目按</w:t>
      </w:r>
      <w:r>
        <w:rPr>
          <w:rFonts w:eastAsia="仿宋_GB2312"/>
          <w:sz w:val="32"/>
          <w:szCs w:val="32"/>
        </w:rPr>
        <w:t>GB 11239.1</w:t>
      </w:r>
      <w:r>
        <w:rPr>
          <w:rFonts w:hint="eastAsia" w:eastAsia="仿宋_GB2312"/>
          <w:sz w:val="32"/>
          <w:szCs w:val="32"/>
        </w:rPr>
        <w:t>中表</w:t>
      </w:r>
      <w:r>
        <w:rPr>
          <w:rFonts w:eastAsia="仿宋_GB2312"/>
          <w:sz w:val="32"/>
          <w:szCs w:val="32"/>
        </w:rPr>
        <w:t>4</w:t>
      </w:r>
      <w:r>
        <w:rPr>
          <w:rFonts w:hint="eastAsia" w:eastAsia="仿宋_GB2312"/>
          <w:sz w:val="32"/>
          <w:szCs w:val="32"/>
        </w:rPr>
        <w:t>规定进行。</w:t>
      </w:r>
    </w:p>
    <w:p w14:paraId="10EEACD3">
      <w:pPr>
        <w:pStyle w:val="14"/>
        <w:spacing w:line="520" w:lineRule="exact"/>
        <w:ind w:firstLine="960" w:firstLineChars="300"/>
        <w:rPr>
          <w:rFonts w:eastAsia="仿宋_GB2312"/>
          <w:spacing w:val="-1"/>
          <w:sz w:val="32"/>
          <w:szCs w:val="32"/>
        </w:rPr>
      </w:pPr>
      <w:r>
        <w:rPr>
          <w:rFonts w:ascii="Times New Roman" w:hAnsi="Times New Roman" w:eastAsia="仿宋_GB2312"/>
          <w:sz w:val="32"/>
          <w:szCs w:val="32"/>
        </w:rPr>
        <w:t>如产品声称具有无菌提供的部件，应提供在宣称的有效期内以及运输条件下，保持包装完整性的依据。</w:t>
      </w:r>
    </w:p>
    <w:p w14:paraId="2F68C237">
      <w:pPr>
        <w:spacing w:line="560" w:lineRule="exact"/>
        <w:ind w:firstLine="636" w:firstLineChars="200"/>
        <w:rPr>
          <w:rFonts w:eastAsia="仿宋_GB2312"/>
          <w:spacing w:val="-1"/>
          <w:sz w:val="32"/>
          <w:szCs w:val="32"/>
        </w:rPr>
      </w:pPr>
      <w:r>
        <w:rPr>
          <w:rFonts w:hint="eastAsia" w:eastAsia="仿宋_GB2312"/>
          <w:spacing w:val="-1"/>
          <w:sz w:val="32"/>
          <w:szCs w:val="32"/>
        </w:rPr>
        <w:t>应对产品的包装及包装完整性提供研究资料，评价试验的有效性是对产品进行运输试验与跌落试验后都能保持工作正常且产品包装完整。</w:t>
      </w:r>
    </w:p>
    <w:p w14:paraId="60EF8E39">
      <w:pPr>
        <w:spacing w:line="560" w:lineRule="exact"/>
        <w:ind w:firstLine="636" w:firstLineChars="200"/>
        <w:rPr>
          <w:rFonts w:eastAsia="仿宋_GB2312"/>
          <w:spacing w:val="-1"/>
          <w:sz w:val="32"/>
          <w:szCs w:val="32"/>
        </w:rPr>
      </w:pPr>
      <w:r>
        <w:rPr>
          <w:rFonts w:hint="eastAsia" w:eastAsia="仿宋_GB2312"/>
          <w:spacing w:val="-1"/>
          <w:sz w:val="32"/>
          <w:szCs w:val="32"/>
        </w:rPr>
        <w:t>产品包装标记应符合GB/T 191、YY/T 0466.1的要求，并提供符合证据和使用期限内完整性的依据。</w:t>
      </w:r>
    </w:p>
    <w:p w14:paraId="612FFD2B">
      <w:pPr>
        <w:spacing w:line="560" w:lineRule="exact"/>
        <w:ind w:firstLine="636" w:firstLineChars="200"/>
        <w:rPr>
          <w:rFonts w:eastAsia="仿宋_GB2312"/>
          <w:spacing w:val="-1"/>
          <w:sz w:val="32"/>
          <w:szCs w:val="32"/>
        </w:rPr>
      </w:pPr>
      <w:r>
        <w:rPr>
          <w:rFonts w:hint="eastAsia" w:eastAsia="仿宋_GB2312"/>
          <w:spacing w:val="-1"/>
          <w:sz w:val="32"/>
          <w:szCs w:val="32"/>
        </w:rPr>
        <w:t>4.9可用性工程研究</w:t>
      </w:r>
    </w:p>
    <w:p w14:paraId="09103A02">
      <w:pPr>
        <w:spacing w:line="560" w:lineRule="exact"/>
        <w:ind w:firstLine="636" w:firstLineChars="200"/>
        <w:rPr>
          <w:rFonts w:eastAsia="仿宋_GB2312"/>
          <w:spacing w:val="-1"/>
          <w:sz w:val="32"/>
          <w:szCs w:val="32"/>
        </w:rPr>
      </w:pPr>
      <w:r>
        <w:rPr>
          <w:rFonts w:hint="eastAsia" w:eastAsia="仿宋_GB2312"/>
          <w:spacing w:val="-1"/>
          <w:sz w:val="32"/>
          <w:szCs w:val="32"/>
        </w:rPr>
        <w:t>依据申报产品具体特性和风险程度，参考《医疗器械可用性工程注册审查指导原则》相关规定提交可用性工程研究资料。</w:t>
      </w:r>
    </w:p>
    <w:p w14:paraId="4E8E1AF8">
      <w:pPr>
        <w:spacing w:line="560" w:lineRule="exact"/>
        <w:ind w:firstLine="636" w:firstLineChars="200"/>
        <w:rPr>
          <w:rFonts w:eastAsia="仿宋_GB2312"/>
          <w:spacing w:val="-1"/>
          <w:sz w:val="32"/>
          <w:szCs w:val="32"/>
        </w:rPr>
      </w:pPr>
      <w:r>
        <w:rPr>
          <w:rFonts w:hint="eastAsia" w:eastAsia="仿宋_GB2312"/>
          <w:spacing w:val="-1"/>
          <w:sz w:val="32"/>
          <w:szCs w:val="32"/>
        </w:rPr>
        <w:t>4.10其他资料</w:t>
      </w:r>
    </w:p>
    <w:p w14:paraId="3CAD776F">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依据《医疗器械监督管理条例》、《医疗器械注册与备案管理办法》和《免于进行临床评价医疗器械目录（2025年）》（以下简称《目录》），手术显微镜免于进行临床评价，但需按照《列入免于临床评价医疗器械目录产品对比说明技术指导原则》规定提供临床评价资料，具体如下：</w:t>
      </w:r>
    </w:p>
    <w:p w14:paraId="65CBA0E8">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4.10.1提交申报产品相关信息与《目录》所述内容的比对资料，对比的内容应能说明属于《目录》中的产品。</w:t>
      </w:r>
    </w:p>
    <w:p w14:paraId="4FE8DE57">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4.10.2提交申报产品与《目录》中境内已上市同品种医疗器械的比对说明，比对说明应当包括《申报产品与目录内境内已上市同品种医疗器械比对表》和相应支持性资料。</w:t>
      </w:r>
    </w:p>
    <w:p w14:paraId="33A68553">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提交的资料应能证明申报产品与《目录》所述的产品具有等同性。</w:t>
      </w:r>
    </w:p>
    <w:p w14:paraId="16559334">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若申请注册的产品在结构组成、性能要求、制造材料、适用范围等方面与对比产品有一定的差异，则注册申请人应详细说明这些差异，并提交证明资料说明这些差异不影响等同性，同时说明差异是否会形成新的产品安全性和有效性的风险，若这种差异可能形成新的影响产品安全性和有效性的风险，则注册申请人应视风险严重程度补充临床评价资料或临床试验资料。</w:t>
      </w:r>
    </w:p>
    <w:p w14:paraId="6BFCE165">
      <w:pPr>
        <w:spacing w:line="480" w:lineRule="exact"/>
        <w:ind w:right="-67" w:rightChars="-32" w:firstLine="636" w:firstLineChars="200"/>
        <w:rPr>
          <w:rFonts w:eastAsia="仿宋_GB2312"/>
          <w:spacing w:val="-1"/>
          <w:sz w:val="32"/>
          <w:szCs w:val="32"/>
        </w:rPr>
      </w:pPr>
      <w:r>
        <w:rPr>
          <w:rFonts w:hint="eastAsia" w:eastAsia="仿宋_GB2312"/>
          <w:color w:val="auto"/>
          <w:spacing w:val="-1"/>
          <w:sz w:val="32"/>
          <w:szCs w:val="32"/>
          <w:highlight w:val="none"/>
        </w:rPr>
        <w:t>手术显微镜属于免于临床评价的医疗器械，</w:t>
      </w:r>
      <w:r>
        <w:rPr>
          <w:rFonts w:hint="eastAsia" w:eastAsia="仿宋_GB2312"/>
          <w:color w:val="auto"/>
          <w:spacing w:val="-1"/>
          <w:sz w:val="32"/>
          <w:szCs w:val="32"/>
          <w:highlight w:val="none"/>
          <w:lang w:eastAsia="zh-CN"/>
        </w:rPr>
        <w:t>对于符合《免于进行医疗器械临床评价目录》（</w:t>
      </w:r>
      <w:r>
        <w:rPr>
          <w:rFonts w:hint="eastAsia" w:eastAsia="仿宋_GB2312"/>
          <w:color w:val="auto"/>
          <w:spacing w:val="-1"/>
          <w:sz w:val="32"/>
          <w:szCs w:val="32"/>
          <w:highlight w:val="none"/>
          <w:lang w:val="en-US" w:eastAsia="zh-CN"/>
        </w:rPr>
        <w:t>2025年修订</w:t>
      </w:r>
      <w:r>
        <w:rPr>
          <w:rFonts w:hint="eastAsia" w:eastAsia="仿宋_GB2312"/>
          <w:color w:val="auto"/>
          <w:spacing w:val="-1"/>
          <w:sz w:val="32"/>
          <w:szCs w:val="32"/>
          <w:highlight w:val="none"/>
          <w:lang w:eastAsia="zh-CN"/>
        </w:rPr>
        <w:t>）第</w:t>
      </w:r>
      <w:r>
        <w:rPr>
          <w:rFonts w:hint="eastAsia" w:eastAsia="仿宋_GB2312"/>
          <w:color w:val="auto"/>
          <w:spacing w:val="-1"/>
          <w:sz w:val="32"/>
          <w:szCs w:val="32"/>
          <w:highlight w:val="none"/>
          <w:lang w:val="en-US" w:eastAsia="zh-CN"/>
        </w:rPr>
        <w:t>304、761项内容的产品，</w:t>
      </w:r>
      <w:r>
        <w:rPr>
          <w:rFonts w:hint="eastAsia" w:eastAsia="仿宋_GB2312"/>
          <w:color w:val="auto"/>
          <w:spacing w:val="-1"/>
          <w:sz w:val="32"/>
          <w:szCs w:val="32"/>
          <w:highlight w:val="none"/>
        </w:rPr>
        <w:t>申请</w:t>
      </w:r>
      <w:r>
        <w:rPr>
          <w:rFonts w:hint="eastAsia" w:eastAsia="仿宋_GB2312"/>
          <w:spacing w:val="-1"/>
          <w:sz w:val="32"/>
          <w:szCs w:val="32"/>
        </w:rPr>
        <w:t>人应按照《列入免于临床评价医疗器械目录产品对比说明技术指导原则》的要求，从基本原理、结构组成、性能、安全性、适用范围等方面，证明产品的安全有效性。</w:t>
      </w:r>
    </w:p>
    <w:p w14:paraId="5F5FBFAC">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临床评价资料</w:t>
      </w:r>
    </w:p>
    <w:p w14:paraId="77491D8C">
      <w:pPr>
        <w:overflowPunct w:val="0"/>
        <w:snapToGrid w:val="0"/>
        <w:spacing w:line="520" w:lineRule="exact"/>
        <w:ind w:firstLine="640" w:firstLineChars="200"/>
        <w:jc w:val="left"/>
        <w:rPr>
          <w:rFonts w:eastAsia="仿宋_GB2312"/>
          <w:sz w:val="32"/>
          <w:szCs w:val="32"/>
        </w:rPr>
      </w:pPr>
      <w:r>
        <w:rPr>
          <w:rFonts w:hint="eastAsia" w:eastAsia="仿宋_GB2312"/>
          <w:sz w:val="32"/>
          <w:szCs w:val="32"/>
        </w:rPr>
        <w:t>若无法证明申报产品与《目录》产品具有等同性，则应按照《医疗器械临床评价技术指导原则》提交临床评价资料。</w:t>
      </w:r>
    </w:p>
    <w:p w14:paraId="4AFF6B8F">
      <w:pPr>
        <w:spacing w:line="480" w:lineRule="exact"/>
        <w:ind w:right="-67" w:rightChars="-32" w:firstLine="636" w:firstLineChars="200"/>
        <w:rPr>
          <w:rFonts w:eastAsia="楷体_GB2312"/>
          <w:sz w:val="32"/>
          <w:szCs w:val="32"/>
        </w:rPr>
      </w:pPr>
      <w:r>
        <w:rPr>
          <w:rFonts w:hint="eastAsia" w:eastAsia="仿宋_GB2312"/>
          <w:spacing w:val="-1"/>
          <w:sz w:val="32"/>
          <w:szCs w:val="32"/>
        </w:rPr>
        <w:t>提交的资料应能证明申报产品与《目录》所述的产品具有基本等同性。若无法证明申报产品与《目录》所述的产品具有基本等同性，则应开展临床评价。</w:t>
      </w:r>
    </w:p>
    <w:p w14:paraId="43CE35C6">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产品说明书和标签样稿</w:t>
      </w:r>
    </w:p>
    <w:p w14:paraId="58F1CB30">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产品说明书和标签的编写应符合《医疗器械说明书和标签管理规定》《医疗器械光辐射安全注册审查指导原则》、《医疗器械软件注册审查指导原则（2022年修订版）》、GB 9706.1、YY 9706.102、GB</w:t>
      </w:r>
      <w:r>
        <w:rPr>
          <w:rFonts w:eastAsia="仿宋_GB2312"/>
          <w:spacing w:val="-1"/>
          <w:sz w:val="32"/>
          <w:szCs w:val="32"/>
        </w:rPr>
        <w:t xml:space="preserve"> </w:t>
      </w:r>
      <w:r>
        <w:rPr>
          <w:rFonts w:hint="eastAsia" w:eastAsia="仿宋_GB2312"/>
          <w:spacing w:val="-1"/>
          <w:sz w:val="32"/>
          <w:szCs w:val="32"/>
        </w:rPr>
        <w:t>11239.1及相关标准的规定，一般应包括以下要求。</w:t>
      </w:r>
    </w:p>
    <w:p w14:paraId="4F0CDD9C">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1.说明书</w:t>
      </w:r>
    </w:p>
    <w:p w14:paraId="3B9E7619">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说明书应该清晰、简洁，应使用中文且易于被非专业人员理解的简单词语，结构严整，易于阅读，尽量使用符号或图示。</w:t>
      </w:r>
    </w:p>
    <w:p w14:paraId="49258169">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每台设备都应附带说明书，说明书应符合《医疗器械说明书和标签管理规定》及相关标准规定，一般应包括以下内容：</w:t>
      </w:r>
    </w:p>
    <w:p w14:paraId="3EE27B4D">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1.1产品名称：参照“（一）监管信息-1产品名称要求”审查；明确产品型号、规格及其代表的意义。</w:t>
      </w:r>
    </w:p>
    <w:p w14:paraId="11A110DE">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1.2给出注册人的名称、住所、联系方式及售后服务单位。</w:t>
      </w:r>
    </w:p>
    <w:p w14:paraId="6B10CA98">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1.3给出生产企业的名称、住所、生产地址、联系方式及生产许可证书编号，委托生产的还应当标注受托企业的名称、住所、生产地址、生产许可证编号。</w:t>
      </w:r>
    </w:p>
    <w:p w14:paraId="7E392107">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1.4给出医疗器械注册证编号及产品技术要求编号。</w:t>
      </w:r>
    </w:p>
    <w:p w14:paraId="70B4F477">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1.5产品性能：参照“（三）非临床资料-2.产品技术要求应包括的主要性能指标”审查。</w:t>
      </w:r>
    </w:p>
    <w:p w14:paraId="69135ADC">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1.6主要结构组成：注册申请人应规定出产品的结构组成，可参照（二）综述资料-1.产品描述中的内容。所有配件、附件，特别是光学配件和附件的名称和型号应准确、完整（如适用）。</w:t>
      </w:r>
    </w:p>
    <w:p w14:paraId="26919DD6">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1.7产品适用范围及禁忌证：参照（二）综述资料-2.适用范围和禁忌证审查。</w:t>
      </w:r>
    </w:p>
    <w:p w14:paraId="3B60F482">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1.8注意事项、警示及提示内容：应按照《医疗器械说明书和标签管理规定》中第十一条的要求进行审查；应提醒注意由于电气安装不合适而造成的危险；应给出手术显微镜与其他设备间潜在的电磁干扰或其他干扰的相关信息，以及有关避免这些干扰的建议；应给出特殊情况下（停电、意外移动等）的注意事项。</w:t>
      </w:r>
    </w:p>
    <w:p w14:paraId="1190E9EF">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1.9安装和使用说明：注册申请人应明确产品的使用方法、明确产品安装及调试的负责方（即是否上门安装调试）；应明确需要用户自行安装部分（如可拆卸配件）的安装、调试方法及其注意事项；应明确长期停用后的使用前检查和检修程序。</w:t>
      </w:r>
    </w:p>
    <w:p w14:paraId="7F6B2CF8">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1.10保养及维护方法：注册申请人应给出产品维护和保养及定期检查的方法；若有可由用户自行排除的故障，则应说明故障的种类和产生的原因及排除方法等。</w:t>
      </w:r>
    </w:p>
    <w:p w14:paraId="4DA91A4F">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1.11运输条件：注册申请人应根据产品环境试验情况，明确运输方法及条件。</w:t>
      </w:r>
    </w:p>
    <w:p w14:paraId="6B63180C">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1.12储存条件：注册申请人应根据产品环境试验情况，明确储存环境要求。</w:t>
      </w:r>
    </w:p>
    <w:p w14:paraId="539E6BE9">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1.13应明确生产日期、使用期限及在预期使用及维护条件下的定期检查时间。如光源的使用期限与主机不一致，应给出光源的使用期限。</w:t>
      </w:r>
    </w:p>
    <w:p w14:paraId="7F9EA4AE">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1.14应明确产品配件清单，包括配件、附属品、损耗品更换周期及更换方法的说明，如提供光源的规格信息以及更换方法等。</w:t>
      </w:r>
    </w:p>
    <w:p w14:paraId="04209BA7">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1.15应参照相关国家标准及行业标准中的规定，给出产品标签所用的图形、符号、缩写等内容的解释。特别是操作及控制部件附近特殊符号和可触及高温部件警告标记，应提供解释说明。</w:t>
      </w:r>
    </w:p>
    <w:p w14:paraId="720013A2">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1.16清洁消毒方法：注册申请人应根据其产品情况列出产品的清洁消毒方法。</w:t>
      </w:r>
    </w:p>
    <w:p w14:paraId="07FE1003">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1.17明确说明书的编制和修订日期及版本号。</w:t>
      </w:r>
    </w:p>
    <w:p w14:paraId="38B8F4C5">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1.18按照GB 9706.1《医用电气设备 第1部分：基本安全和基本性能的通用要求》的要求提供相应信息。</w:t>
      </w:r>
    </w:p>
    <w:p w14:paraId="2A92ED74">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1.19按照YY 9706.102《医用电气设备 第1-2部分：基本安全和基本性能的通用要求 并列标准：电磁兼容 要求和试验》的要求给出符合电磁兼容性方面要求的声明。</w:t>
      </w:r>
    </w:p>
    <w:p w14:paraId="61AC4458">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 xml:space="preserve">产品说明书的内容均应有明确的来源，与综述资料、研究资料等注册申报资料的内容保持一致。说明书中涉及技术内容且前述注册申报资料中未包含的，建议提交相应验证资料。 </w:t>
      </w:r>
    </w:p>
    <w:p w14:paraId="28C6CF91">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2.标签</w:t>
      </w:r>
    </w:p>
    <w:p w14:paraId="6E15C138">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手术显微镜的标签应符合《医疗器械说明书和标签管理规定》和YY/T 0466.1《医疗器械 用于制造商提供信息的符号 第1部分：通用要求》及相关标准的要求。</w:t>
      </w:r>
    </w:p>
    <w:p w14:paraId="53A26F7D">
      <w:pPr>
        <w:spacing w:line="480" w:lineRule="exact"/>
        <w:ind w:right="-67" w:rightChars="-32" w:firstLine="636" w:firstLineChars="200"/>
        <w:rPr>
          <w:rFonts w:eastAsia="仿宋_GB2312"/>
          <w:spacing w:val="-1"/>
          <w:sz w:val="32"/>
          <w:szCs w:val="32"/>
        </w:rPr>
      </w:pPr>
      <w:r>
        <w:rPr>
          <w:rFonts w:hint="eastAsia" w:eastAsia="仿宋_GB2312"/>
          <w:spacing w:val="-1"/>
          <w:sz w:val="32"/>
          <w:szCs w:val="32"/>
        </w:rPr>
        <w:t>手术显微镜的标签因位置或者大小受限而无法全部标明上述内容的，至少应当标注产品名称、型号、规格、生产日期和使用期限，并在标签中明确“其他内容详见说明书”。如使用的符号没有现有的标准，应该在手术显微镜的相关文件中对这些符号进行说明。</w:t>
      </w:r>
    </w:p>
    <w:p w14:paraId="199BE8DA">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质量管理体系文件</w:t>
      </w:r>
    </w:p>
    <w:p w14:paraId="2D4E13C5">
      <w:pPr>
        <w:spacing w:line="480" w:lineRule="exact"/>
        <w:ind w:right="-67" w:rightChars="-32" w:firstLine="640" w:firstLineChars="200"/>
        <w:rPr>
          <w:rFonts w:eastAsia="仿宋_GB2312"/>
          <w:sz w:val="32"/>
          <w:szCs w:val="32"/>
        </w:rPr>
      </w:pPr>
      <w:r>
        <w:rPr>
          <w:rFonts w:hint="eastAsia" w:eastAsia="仿宋_GB2312"/>
          <w:sz w:val="32"/>
          <w:szCs w:val="32"/>
        </w:rPr>
        <w:t>1.生产工艺过程及过程控制点</w:t>
      </w:r>
    </w:p>
    <w:p w14:paraId="71699D6C">
      <w:pPr>
        <w:spacing w:line="480" w:lineRule="exact"/>
        <w:ind w:right="-67" w:rightChars="-32" w:firstLine="640" w:firstLineChars="200"/>
        <w:rPr>
          <w:rFonts w:eastAsia="仿宋_GB2312"/>
          <w:sz w:val="32"/>
          <w:szCs w:val="32"/>
        </w:rPr>
      </w:pPr>
      <w:r>
        <w:rPr>
          <w:rFonts w:hint="eastAsia" w:eastAsia="仿宋_GB2312"/>
          <w:sz w:val="32"/>
          <w:szCs w:val="32"/>
        </w:rPr>
        <w:t>应当根据手术显微镜的实际情况，可以流程图的形式对生产工艺过程进行详细描述，明确产品生产的工艺过程，以及各关键工艺的控制点。注明关键工艺和特殊过程，说明过程控制点及控制标准。</w:t>
      </w:r>
    </w:p>
    <w:p w14:paraId="2E65F62A">
      <w:pPr>
        <w:spacing w:line="480" w:lineRule="exact"/>
        <w:ind w:right="-67" w:rightChars="-32" w:firstLine="640" w:firstLineChars="200"/>
        <w:rPr>
          <w:rFonts w:eastAsia="仿宋_GB2312"/>
          <w:sz w:val="32"/>
          <w:szCs w:val="32"/>
        </w:rPr>
      </w:pPr>
      <w:r>
        <w:rPr>
          <w:rFonts w:hint="eastAsia" w:eastAsia="仿宋_GB2312"/>
          <w:sz w:val="32"/>
          <w:szCs w:val="32"/>
        </w:rPr>
        <w:t>2.研发和生产场地</w:t>
      </w:r>
    </w:p>
    <w:p w14:paraId="6340A081">
      <w:pPr>
        <w:spacing w:line="480" w:lineRule="exact"/>
        <w:ind w:right="-67" w:rightChars="-32" w:firstLine="640" w:firstLineChars="200"/>
        <w:rPr>
          <w:rFonts w:eastAsia="仿宋_GB2312"/>
          <w:sz w:val="32"/>
          <w:szCs w:val="32"/>
        </w:rPr>
      </w:pPr>
      <w:r>
        <w:rPr>
          <w:rFonts w:hint="eastAsia" w:eastAsia="仿宋_GB2312"/>
          <w:sz w:val="32"/>
          <w:szCs w:val="32"/>
        </w:rPr>
        <w:t>注册申请人应当对与手术显微镜有关的研制场地和生产场地情况进行概述，如地址、位置、面积、生产环境条件、生产设备、工艺装备、监视和测量装置、人员等。</w:t>
      </w:r>
    </w:p>
    <w:p w14:paraId="3DF16557">
      <w:pPr>
        <w:overflowPunct w:val="0"/>
        <w:autoSpaceDE w:val="0"/>
        <w:autoSpaceDN w:val="0"/>
        <w:spacing w:line="520" w:lineRule="exact"/>
        <w:ind w:firstLine="567"/>
        <w:outlineLvl w:val="0"/>
        <w:rPr>
          <w:rFonts w:eastAsia="黑体" w:cs="仿宋_GB2312"/>
          <w:snapToGrid w:val="0"/>
          <w:kern w:val="0"/>
          <w:sz w:val="32"/>
          <w:szCs w:val="32"/>
        </w:rPr>
      </w:pPr>
      <w:r>
        <w:rPr>
          <w:rFonts w:hint="eastAsia" w:eastAsia="黑体" w:cs="仿宋_GB2312"/>
          <w:snapToGrid w:val="0"/>
          <w:kern w:val="0"/>
          <w:sz w:val="32"/>
          <w:szCs w:val="32"/>
        </w:rPr>
        <w:t>三</w:t>
      </w:r>
      <w:r>
        <w:rPr>
          <w:rFonts w:eastAsia="黑体" w:cs="仿宋_GB2312"/>
          <w:snapToGrid w:val="0"/>
          <w:kern w:val="0"/>
          <w:sz w:val="32"/>
          <w:szCs w:val="32"/>
        </w:rPr>
        <w:t>、参考文献</w:t>
      </w:r>
    </w:p>
    <w:p w14:paraId="70C98681">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中华人民共和国国务院</w:t>
      </w:r>
      <w:r>
        <w:rPr>
          <w:rFonts w:eastAsia="仿宋_GB2312"/>
          <w:sz w:val="32"/>
          <w:szCs w:val="32"/>
        </w:rPr>
        <w:t>.</w:t>
      </w:r>
      <w:r>
        <w:rPr>
          <w:rFonts w:hint="eastAsia" w:eastAsia="仿宋_GB2312"/>
          <w:sz w:val="32"/>
          <w:szCs w:val="32"/>
        </w:rPr>
        <w:t>医疗器械监督管理条例</w:t>
      </w:r>
      <w:r>
        <w:rPr>
          <w:rFonts w:eastAsia="仿宋_GB2312"/>
          <w:sz w:val="32"/>
          <w:szCs w:val="32"/>
        </w:rPr>
        <w:t>:</w:t>
      </w:r>
      <w:r>
        <w:rPr>
          <w:rFonts w:hint="eastAsia" w:eastAsia="仿宋_GB2312"/>
          <w:sz w:val="32"/>
          <w:szCs w:val="32"/>
        </w:rPr>
        <w:t>中华人民共和国国务院令第</w:t>
      </w:r>
      <w:r>
        <w:rPr>
          <w:rFonts w:eastAsia="仿宋_GB2312"/>
          <w:sz w:val="32"/>
          <w:szCs w:val="32"/>
        </w:rPr>
        <w:t>739</w:t>
      </w:r>
      <w:r>
        <w:rPr>
          <w:rFonts w:hint="eastAsia" w:eastAsia="仿宋_GB2312"/>
          <w:sz w:val="32"/>
          <w:szCs w:val="32"/>
        </w:rPr>
        <w:t>号</w:t>
      </w:r>
      <w:r>
        <w:rPr>
          <w:rFonts w:eastAsia="仿宋_GB2312"/>
          <w:sz w:val="32"/>
          <w:szCs w:val="32"/>
        </w:rPr>
        <w:t>[Z].</w:t>
      </w:r>
    </w:p>
    <w:p w14:paraId="7E3A0323">
      <w:pPr>
        <w:spacing w:line="520" w:lineRule="exact"/>
        <w:ind w:right="-67" w:rightChars="-32" w:firstLine="640" w:firstLineChars="200"/>
        <w:rPr>
          <w:rFonts w:eastAsia="仿宋_GB2312"/>
          <w:sz w:val="32"/>
          <w:szCs w:val="32"/>
        </w:rPr>
      </w:pPr>
      <w:r>
        <w:rPr>
          <w:rFonts w:eastAsia="仿宋_GB2312"/>
          <w:sz w:val="32"/>
          <w:szCs w:val="32"/>
        </w:rPr>
        <w:t>[2]</w:t>
      </w:r>
      <w:r>
        <w:rPr>
          <w:rFonts w:hint="eastAsia" w:eastAsia="仿宋_GB2312"/>
          <w:sz w:val="32"/>
          <w:szCs w:val="32"/>
        </w:rPr>
        <w:t>国家市场监督管理总局</w:t>
      </w:r>
      <w:r>
        <w:rPr>
          <w:rFonts w:eastAsia="仿宋_GB2312"/>
          <w:sz w:val="32"/>
          <w:szCs w:val="32"/>
        </w:rPr>
        <w:t>.</w:t>
      </w:r>
      <w:r>
        <w:rPr>
          <w:rFonts w:hint="eastAsia" w:eastAsia="仿宋_GB2312"/>
          <w:sz w:val="32"/>
          <w:szCs w:val="32"/>
        </w:rPr>
        <w:t>医疗器械注册与备案管理办法</w:t>
      </w:r>
      <w:r>
        <w:rPr>
          <w:rFonts w:eastAsia="仿宋_GB2312"/>
          <w:sz w:val="32"/>
          <w:szCs w:val="32"/>
        </w:rPr>
        <w:t>:</w:t>
      </w:r>
      <w:r>
        <w:rPr>
          <w:rFonts w:hint="eastAsia" w:eastAsia="仿宋_GB2312"/>
          <w:sz w:val="32"/>
          <w:szCs w:val="32"/>
        </w:rPr>
        <w:t>国家市场监督管理总局令第</w:t>
      </w:r>
      <w:r>
        <w:rPr>
          <w:rFonts w:eastAsia="仿宋_GB2312"/>
          <w:sz w:val="32"/>
          <w:szCs w:val="32"/>
        </w:rPr>
        <w:t>47</w:t>
      </w:r>
      <w:r>
        <w:rPr>
          <w:rFonts w:hint="eastAsia" w:eastAsia="仿宋_GB2312"/>
          <w:sz w:val="32"/>
          <w:szCs w:val="32"/>
        </w:rPr>
        <w:t>号</w:t>
      </w:r>
      <w:r>
        <w:rPr>
          <w:rFonts w:eastAsia="仿宋_GB2312"/>
          <w:sz w:val="32"/>
          <w:szCs w:val="32"/>
        </w:rPr>
        <w:t>[Z].</w:t>
      </w:r>
    </w:p>
    <w:p w14:paraId="129754B9">
      <w:pPr>
        <w:spacing w:line="520" w:lineRule="exact"/>
        <w:ind w:right="-67" w:rightChars="-32" w:firstLine="640" w:firstLineChars="200"/>
        <w:rPr>
          <w:rFonts w:eastAsia="仿宋_GB2312"/>
          <w:sz w:val="32"/>
          <w:szCs w:val="32"/>
        </w:rPr>
      </w:pPr>
      <w:r>
        <w:rPr>
          <w:rFonts w:eastAsia="仿宋_GB2312"/>
          <w:sz w:val="32"/>
          <w:szCs w:val="32"/>
        </w:rPr>
        <w:t>[3]</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医疗器械说明书和标签管理规定</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6</w:t>
      </w:r>
      <w:r>
        <w:rPr>
          <w:rFonts w:hint="eastAsia" w:eastAsia="仿宋_GB2312"/>
          <w:sz w:val="32"/>
          <w:szCs w:val="32"/>
        </w:rPr>
        <w:t>号</w:t>
      </w:r>
      <w:r>
        <w:rPr>
          <w:rFonts w:eastAsia="仿宋_GB2312"/>
          <w:sz w:val="32"/>
          <w:szCs w:val="32"/>
        </w:rPr>
        <w:t>[Z].</w:t>
      </w:r>
    </w:p>
    <w:p w14:paraId="5299EC30">
      <w:pPr>
        <w:spacing w:line="52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医疗器械分类规则</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15</w:t>
      </w:r>
      <w:r>
        <w:rPr>
          <w:rFonts w:hint="eastAsia" w:eastAsia="仿宋_GB2312"/>
          <w:sz w:val="32"/>
          <w:szCs w:val="32"/>
        </w:rPr>
        <w:t>号</w:t>
      </w:r>
      <w:r>
        <w:rPr>
          <w:rFonts w:eastAsia="仿宋_GB2312"/>
          <w:sz w:val="32"/>
          <w:szCs w:val="32"/>
        </w:rPr>
        <w:t>[Z].</w:t>
      </w:r>
    </w:p>
    <w:p w14:paraId="7606C301">
      <w:pPr>
        <w:spacing w:line="520" w:lineRule="exact"/>
        <w:ind w:right="-67" w:rightChars="-32" w:firstLine="640" w:firstLineChars="200"/>
        <w:rPr>
          <w:rFonts w:eastAsia="仿宋_GB2312"/>
          <w:sz w:val="32"/>
          <w:szCs w:val="32"/>
        </w:rPr>
      </w:pPr>
      <w:r>
        <w:rPr>
          <w:rFonts w:eastAsia="仿宋_GB2312"/>
          <w:sz w:val="32"/>
          <w:szCs w:val="32"/>
        </w:rPr>
        <w:t>[5]</w:t>
      </w:r>
      <w:r>
        <w:rPr>
          <w:rFonts w:hint="eastAsia" w:eastAsia="仿宋_GB2312"/>
          <w:sz w:val="32"/>
          <w:szCs w:val="28"/>
        </w:rPr>
        <w:t>国家食品药品监督管理局</w:t>
      </w:r>
      <w:r>
        <w:rPr>
          <w:rFonts w:eastAsia="仿宋_GB2312"/>
          <w:sz w:val="32"/>
          <w:szCs w:val="32"/>
        </w:rPr>
        <w:t>.</w:t>
      </w:r>
      <w:r>
        <w:rPr>
          <w:rFonts w:hint="eastAsia" w:eastAsia="仿宋_GB2312"/>
          <w:sz w:val="32"/>
          <w:szCs w:val="32"/>
        </w:rPr>
        <w:t>医疗器械通用名称命名规则</w:t>
      </w:r>
      <w:r>
        <w:rPr>
          <w:rFonts w:eastAsia="仿宋_GB2312"/>
          <w:sz w:val="32"/>
          <w:szCs w:val="32"/>
        </w:rPr>
        <w:t>:</w:t>
      </w:r>
      <w:r>
        <w:rPr>
          <w:rFonts w:hint="eastAsia" w:eastAsia="仿宋_GB2312"/>
          <w:sz w:val="32"/>
          <w:szCs w:val="28"/>
        </w:rPr>
        <w:t>国家食品药品监督管理总局令第</w:t>
      </w:r>
      <w:r>
        <w:rPr>
          <w:rFonts w:eastAsia="仿宋_GB2312"/>
          <w:sz w:val="32"/>
          <w:szCs w:val="28"/>
        </w:rPr>
        <w:t>19</w:t>
      </w:r>
      <w:r>
        <w:rPr>
          <w:rFonts w:hint="eastAsia" w:eastAsia="仿宋_GB2312"/>
          <w:sz w:val="32"/>
          <w:szCs w:val="28"/>
        </w:rPr>
        <w:t>号</w:t>
      </w:r>
      <w:r>
        <w:rPr>
          <w:rFonts w:eastAsia="仿宋_GB2312"/>
          <w:sz w:val="32"/>
          <w:szCs w:val="32"/>
        </w:rPr>
        <w:t>[Z].</w:t>
      </w:r>
    </w:p>
    <w:p w14:paraId="7C73E7D5">
      <w:pPr>
        <w:spacing w:line="520" w:lineRule="exact"/>
        <w:ind w:right="-67" w:rightChars="-32" w:firstLine="640" w:firstLineChars="200"/>
        <w:rPr>
          <w:rFonts w:eastAsia="仿宋_GB2312"/>
          <w:sz w:val="32"/>
          <w:szCs w:val="32"/>
        </w:rPr>
      </w:pPr>
      <w:r>
        <w:rPr>
          <w:rFonts w:eastAsia="仿宋_GB2312"/>
          <w:sz w:val="32"/>
          <w:szCs w:val="32"/>
        </w:rPr>
        <w:t>[6]</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医疗器械分类目录</w:t>
      </w:r>
      <w:r>
        <w:rPr>
          <w:rFonts w:eastAsia="仿宋_GB2312"/>
          <w:sz w:val="32"/>
          <w:szCs w:val="32"/>
        </w:rPr>
        <w:t>:</w:t>
      </w:r>
      <w:r>
        <w:rPr>
          <w:rFonts w:hint="eastAsia" w:eastAsia="仿宋_GB2312"/>
          <w:sz w:val="32"/>
          <w:szCs w:val="32"/>
        </w:rPr>
        <w:t>国家食品药品监督管理总局公告</w:t>
      </w:r>
      <w:r>
        <w:rPr>
          <w:rFonts w:eastAsia="仿宋_GB2312"/>
          <w:sz w:val="32"/>
          <w:szCs w:val="32"/>
        </w:rPr>
        <w:t>2017</w:t>
      </w:r>
      <w:r>
        <w:rPr>
          <w:rFonts w:hint="eastAsia" w:eastAsia="仿宋_GB2312"/>
          <w:sz w:val="32"/>
          <w:szCs w:val="32"/>
        </w:rPr>
        <w:t>年第</w:t>
      </w:r>
      <w:r>
        <w:rPr>
          <w:rFonts w:eastAsia="仿宋_GB2312"/>
          <w:sz w:val="32"/>
          <w:szCs w:val="32"/>
        </w:rPr>
        <w:t>104</w:t>
      </w:r>
      <w:r>
        <w:rPr>
          <w:rFonts w:hint="eastAsia" w:eastAsia="仿宋_GB2312"/>
          <w:sz w:val="32"/>
          <w:szCs w:val="32"/>
        </w:rPr>
        <w:t>号</w:t>
      </w:r>
      <w:r>
        <w:rPr>
          <w:rFonts w:eastAsia="仿宋_GB2312"/>
          <w:sz w:val="32"/>
          <w:szCs w:val="32"/>
        </w:rPr>
        <w:t>[Z].</w:t>
      </w:r>
    </w:p>
    <w:p w14:paraId="0591DAEE">
      <w:pPr>
        <w:spacing w:line="520" w:lineRule="exact"/>
        <w:ind w:right="-67" w:rightChars="-32" w:firstLine="640" w:firstLineChars="200"/>
        <w:rPr>
          <w:rFonts w:eastAsia="仿宋_GB2312"/>
          <w:sz w:val="32"/>
          <w:szCs w:val="32"/>
        </w:rPr>
      </w:pPr>
      <w:r>
        <w:rPr>
          <w:rFonts w:eastAsia="仿宋_GB2312"/>
          <w:sz w:val="32"/>
          <w:szCs w:val="32"/>
        </w:rPr>
        <w:t>[7]</w:t>
      </w:r>
      <w:r>
        <w:rPr>
          <w:rFonts w:hint="eastAsia" w:eastAsia="仿宋_GB2312"/>
          <w:sz w:val="32"/>
          <w:szCs w:val="32"/>
        </w:rPr>
        <w:t>国家药品监督管理局</w:t>
      </w:r>
      <w:r>
        <w:rPr>
          <w:rFonts w:eastAsia="仿宋_GB2312"/>
          <w:sz w:val="32"/>
          <w:szCs w:val="32"/>
        </w:rPr>
        <w:t>.</w:t>
      </w:r>
      <w:r>
        <w:rPr>
          <w:rFonts w:hint="eastAsia" w:eastAsia="微软雅黑"/>
          <w:shd w:val="clear" w:color="auto" w:fill="FFFFFF"/>
        </w:rPr>
        <w:t xml:space="preserve"> </w:t>
      </w:r>
      <w:r>
        <w:rPr>
          <w:rFonts w:hint="eastAsia" w:eastAsia="仿宋_GB2312"/>
          <w:sz w:val="32"/>
          <w:szCs w:val="32"/>
        </w:rPr>
        <w:t>医用成像器械通用名称命名指导原则国家药品监督管理局通告2020年 第41号</w:t>
      </w:r>
      <w:r>
        <w:rPr>
          <w:rFonts w:eastAsia="仿宋_GB2312"/>
          <w:sz w:val="32"/>
          <w:szCs w:val="32"/>
        </w:rPr>
        <w:t>[Z].</w:t>
      </w:r>
    </w:p>
    <w:p w14:paraId="47889C60">
      <w:pPr>
        <w:spacing w:line="520" w:lineRule="exact"/>
        <w:ind w:right="-67" w:rightChars="-32" w:firstLine="640" w:firstLineChars="200"/>
        <w:rPr>
          <w:rFonts w:eastAsia="仿宋_GB2312"/>
          <w:sz w:val="32"/>
          <w:szCs w:val="32"/>
        </w:rPr>
      </w:pPr>
      <w:r>
        <w:rPr>
          <w:rFonts w:hint="eastAsia" w:eastAsia="仿宋_GB2312"/>
          <w:sz w:val="32"/>
          <w:szCs w:val="32"/>
        </w:rPr>
        <w:t>[8]国家药品监督管理局. 眼科器械通用名称命名指导原则国家药品监督管理局通告2022年 第26号[Z].</w:t>
      </w:r>
    </w:p>
    <w:p w14:paraId="5EE3E664">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医疗器械注册申报资料要求及说明</w:t>
      </w:r>
      <w:r>
        <w:rPr>
          <w:rFonts w:eastAsia="仿宋_GB2312"/>
          <w:sz w:val="32"/>
          <w:szCs w:val="32"/>
        </w:rPr>
        <w:t>:</w:t>
      </w:r>
      <w:r>
        <w:rPr>
          <w:rFonts w:hint="eastAsia" w:eastAsia="仿宋_GB2312"/>
          <w:sz w:val="32"/>
          <w:szCs w:val="32"/>
        </w:rPr>
        <w:t>国家药监局公告</w:t>
      </w:r>
      <w:r>
        <w:rPr>
          <w:rFonts w:eastAsia="仿宋_GB2312"/>
          <w:sz w:val="32"/>
          <w:szCs w:val="32"/>
        </w:rPr>
        <w:t>2021</w:t>
      </w:r>
      <w:r>
        <w:rPr>
          <w:rFonts w:hint="eastAsia" w:eastAsia="仿宋_GB2312"/>
          <w:sz w:val="32"/>
          <w:szCs w:val="32"/>
        </w:rPr>
        <w:t>年第</w:t>
      </w:r>
      <w:r>
        <w:rPr>
          <w:rFonts w:eastAsia="仿宋_GB2312"/>
          <w:sz w:val="32"/>
          <w:szCs w:val="32"/>
        </w:rPr>
        <w:t>121</w:t>
      </w:r>
      <w:r>
        <w:rPr>
          <w:rFonts w:hint="eastAsia" w:eastAsia="仿宋_GB2312"/>
          <w:sz w:val="32"/>
          <w:szCs w:val="32"/>
        </w:rPr>
        <w:t>号</w:t>
      </w:r>
      <w:r>
        <w:rPr>
          <w:rFonts w:eastAsia="仿宋_GB2312"/>
          <w:sz w:val="32"/>
          <w:szCs w:val="32"/>
        </w:rPr>
        <w:t>[Z].</w:t>
      </w:r>
    </w:p>
    <w:p w14:paraId="680A6A29">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10</w:t>
      </w:r>
      <w:r>
        <w:rPr>
          <w:rFonts w:eastAsia="仿宋_GB2312"/>
          <w:sz w:val="32"/>
          <w:szCs w:val="32"/>
        </w:rPr>
        <w:t>]</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医疗器械注册单元划分指导原则</w:t>
      </w:r>
      <w:r>
        <w:rPr>
          <w:rFonts w:eastAsia="仿宋_GB2312"/>
          <w:sz w:val="32"/>
          <w:szCs w:val="32"/>
        </w:rPr>
        <w:t>:</w:t>
      </w:r>
      <w:r>
        <w:rPr>
          <w:rFonts w:hint="eastAsia" w:eastAsia="仿宋_GB2312"/>
          <w:sz w:val="32"/>
          <w:szCs w:val="32"/>
        </w:rPr>
        <w:t>总局通告</w:t>
      </w:r>
      <w:r>
        <w:rPr>
          <w:rFonts w:eastAsia="仿宋_GB2312"/>
          <w:sz w:val="32"/>
          <w:szCs w:val="32"/>
        </w:rPr>
        <w:t>2017</w:t>
      </w:r>
      <w:r>
        <w:rPr>
          <w:rFonts w:hint="eastAsia" w:eastAsia="仿宋_GB2312"/>
          <w:sz w:val="32"/>
          <w:szCs w:val="32"/>
        </w:rPr>
        <w:t>年第</w:t>
      </w:r>
      <w:r>
        <w:rPr>
          <w:rFonts w:eastAsia="仿宋_GB2312"/>
          <w:sz w:val="32"/>
          <w:szCs w:val="32"/>
        </w:rPr>
        <w:t>187</w:t>
      </w:r>
      <w:r>
        <w:rPr>
          <w:rFonts w:hint="eastAsia" w:eastAsia="仿宋_GB2312"/>
          <w:sz w:val="32"/>
          <w:szCs w:val="32"/>
        </w:rPr>
        <w:t>号</w:t>
      </w:r>
      <w:r>
        <w:rPr>
          <w:rFonts w:eastAsia="仿宋_GB2312"/>
          <w:sz w:val="32"/>
          <w:szCs w:val="32"/>
        </w:rPr>
        <w:t>[Z].</w:t>
      </w:r>
    </w:p>
    <w:p w14:paraId="72978CF2">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1</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有源医疗器械使用期限注册技术审查指导原则</w:t>
      </w:r>
      <w:r>
        <w:rPr>
          <w:rFonts w:eastAsia="仿宋_GB2312"/>
          <w:sz w:val="32"/>
          <w:szCs w:val="32"/>
        </w:rPr>
        <w:t>:</w:t>
      </w:r>
      <w:r>
        <w:rPr>
          <w:rFonts w:hint="eastAsia" w:eastAsia="仿宋_GB2312"/>
          <w:sz w:val="32"/>
          <w:szCs w:val="32"/>
        </w:rPr>
        <w:t>国家药品监督管理局通告</w:t>
      </w:r>
      <w:r>
        <w:rPr>
          <w:rFonts w:eastAsia="仿宋_GB2312"/>
          <w:sz w:val="32"/>
          <w:szCs w:val="32"/>
        </w:rPr>
        <w:t>2019</w:t>
      </w:r>
      <w:r>
        <w:rPr>
          <w:rFonts w:hint="eastAsia" w:eastAsia="仿宋_GB2312"/>
          <w:sz w:val="32"/>
          <w:szCs w:val="32"/>
        </w:rPr>
        <w:t>年第</w:t>
      </w:r>
      <w:r>
        <w:rPr>
          <w:rFonts w:eastAsia="仿宋_GB2312"/>
          <w:sz w:val="32"/>
          <w:szCs w:val="32"/>
        </w:rPr>
        <w:t>23</w:t>
      </w:r>
      <w:r>
        <w:rPr>
          <w:rFonts w:hint="eastAsia" w:eastAsia="仿宋_GB2312"/>
          <w:sz w:val="32"/>
          <w:szCs w:val="32"/>
        </w:rPr>
        <w:t>号</w:t>
      </w:r>
      <w:r>
        <w:rPr>
          <w:rFonts w:eastAsia="仿宋_GB2312"/>
          <w:sz w:val="32"/>
          <w:szCs w:val="32"/>
        </w:rPr>
        <w:t>[Z].</w:t>
      </w:r>
    </w:p>
    <w:p w14:paraId="3B0708E4">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2</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医疗器械软件注册审查指导原则</w:t>
      </w:r>
      <w:r>
        <w:rPr>
          <w:rFonts w:eastAsia="仿宋_GB2312"/>
          <w:kern w:val="0"/>
          <w:sz w:val="32"/>
          <w:szCs w:val="32"/>
        </w:rPr>
        <w:t>(2022</w:t>
      </w:r>
      <w:r>
        <w:rPr>
          <w:rFonts w:hint="eastAsia" w:eastAsia="仿宋_GB2312"/>
          <w:kern w:val="0"/>
          <w:sz w:val="32"/>
          <w:szCs w:val="32"/>
        </w:rPr>
        <w:t>年修订版</w:t>
      </w:r>
      <w:r>
        <w:rPr>
          <w:rFonts w:eastAsia="仿宋_GB2312"/>
          <w:kern w:val="0"/>
          <w:sz w:val="32"/>
          <w:szCs w:val="32"/>
        </w:rPr>
        <w:t>):</w:t>
      </w:r>
      <w:r>
        <w:rPr>
          <w:rFonts w:hint="eastAsia" w:eastAsia="仿宋_GB2312"/>
          <w:kern w:val="0"/>
          <w:sz w:val="32"/>
          <w:szCs w:val="32"/>
        </w:rPr>
        <w:t>国家药监局器审中心通告</w:t>
      </w:r>
      <w:r>
        <w:rPr>
          <w:rFonts w:eastAsia="仿宋_GB2312"/>
          <w:kern w:val="0"/>
          <w:sz w:val="32"/>
          <w:szCs w:val="32"/>
        </w:rPr>
        <w:t>2022</w:t>
      </w:r>
      <w:r>
        <w:rPr>
          <w:rFonts w:hint="eastAsia" w:eastAsia="仿宋_GB2312"/>
          <w:kern w:val="0"/>
          <w:sz w:val="32"/>
          <w:szCs w:val="32"/>
        </w:rPr>
        <w:t>年第</w:t>
      </w:r>
      <w:r>
        <w:rPr>
          <w:rFonts w:eastAsia="仿宋_GB2312"/>
          <w:kern w:val="0"/>
          <w:sz w:val="32"/>
          <w:szCs w:val="32"/>
        </w:rPr>
        <w:t>9</w:t>
      </w:r>
      <w:r>
        <w:rPr>
          <w:rFonts w:hint="eastAsia" w:eastAsia="仿宋_GB2312"/>
          <w:kern w:val="0"/>
          <w:sz w:val="32"/>
          <w:szCs w:val="32"/>
        </w:rPr>
        <w:t>号</w:t>
      </w:r>
      <w:r>
        <w:rPr>
          <w:rFonts w:eastAsia="仿宋_GB2312"/>
          <w:sz w:val="32"/>
          <w:szCs w:val="32"/>
        </w:rPr>
        <w:t>[Z].</w:t>
      </w:r>
    </w:p>
    <w:p w14:paraId="17ECD8BD">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医疗器械网络安全注册审查指导原则（2022年修订版）</w:t>
      </w:r>
      <w:r>
        <w:rPr>
          <w:rFonts w:eastAsia="仿宋_GB2312"/>
          <w:kern w:val="0"/>
          <w:sz w:val="32"/>
          <w:szCs w:val="32"/>
        </w:rPr>
        <w:t>:</w:t>
      </w:r>
      <w:r>
        <w:rPr>
          <w:rFonts w:hint="eastAsia" w:eastAsia="仿宋_GB2312"/>
          <w:kern w:val="0"/>
          <w:sz w:val="32"/>
          <w:szCs w:val="32"/>
        </w:rPr>
        <w:t>国家药监局器审中心通告2022年第7号</w:t>
      </w:r>
      <w:r>
        <w:rPr>
          <w:rFonts w:eastAsia="仿宋_GB2312"/>
          <w:sz w:val="32"/>
          <w:szCs w:val="32"/>
        </w:rPr>
        <w:t>[Z].</w:t>
      </w:r>
    </w:p>
    <w:p w14:paraId="74439031">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4</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列入免于临床评价医疗器械目录产品对比说明技术指导原则</w:t>
      </w:r>
      <w:r>
        <w:rPr>
          <w:rFonts w:eastAsia="仿宋_GB2312"/>
          <w:sz w:val="32"/>
          <w:szCs w:val="32"/>
        </w:rPr>
        <w:t>:</w:t>
      </w:r>
      <w:r>
        <w:rPr>
          <w:rFonts w:hint="eastAsia" w:eastAsia="仿宋_GB2312"/>
          <w:sz w:val="32"/>
          <w:szCs w:val="32"/>
        </w:rPr>
        <w:t>国家药监局通告</w:t>
      </w:r>
      <w:r>
        <w:rPr>
          <w:rFonts w:eastAsia="仿宋_GB2312"/>
          <w:sz w:val="32"/>
          <w:szCs w:val="32"/>
        </w:rPr>
        <w:t>2021</w:t>
      </w:r>
      <w:r>
        <w:rPr>
          <w:rFonts w:hint="eastAsia" w:eastAsia="仿宋_GB2312"/>
          <w:sz w:val="32"/>
          <w:szCs w:val="32"/>
        </w:rPr>
        <w:t>年第</w:t>
      </w:r>
      <w:r>
        <w:rPr>
          <w:rFonts w:eastAsia="仿宋_GB2312"/>
          <w:sz w:val="32"/>
          <w:szCs w:val="32"/>
        </w:rPr>
        <w:t>73</w:t>
      </w:r>
      <w:r>
        <w:rPr>
          <w:rFonts w:hint="eastAsia" w:eastAsia="仿宋_GB2312"/>
          <w:sz w:val="32"/>
          <w:szCs w:val="32"/>
        </w:rPr>
        <w:t>号</w:t>
      </w:r>
      <w:r>
        <w:rPr>
          <w:rFonts w:eastAsia="仿宋_GB2312"/>
          <w:sz w:val="32"/>
          <w:szCs w:val="32"/>
        </w:rPr>
        <w:t>[Z].</w:t>
      </w:r>
    </w:p>
    <w:p w14:paraId="5EFF9738">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5</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免于临床评价医疗器械目录：国家药监局通告2025年第19号</w:t>
      </w:r>
      <w:r>
        <w:rPr>
          <w:rFonts w:eastAsia="仿宋_GB2312"/>
          <w:sz w:val="32"/>
          <w:szCs w:val="32"/>
        </w:rPr>
        <w:t>[Z].</w:t>
      </w:r>
    </w:p>
    <w:p w14:paraId="0E591D15">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6</w:t>
      </w:r>
      <w:r>
        <w:rPr>
          <w:rFonts w:eastAsia="仿宋_GB2312"/>
          <w:sz w:val="32"/>
          <w:szCs w:val="32"/>
        </w:rPr>
        <w:t>]</w:t>
      </w:r>
      <w:r>
        <w:rPr>
          <w:rFonts w:hint="eastAsia" w:eastAsia="仿宋_GB2312"/>
          <w:sz w:val="32"/>
          <w:szCs w:val="32"/>
        </w:rPr>
        <w:t>国家食品药品监督管理局.医疗器械临床评价技术指导原则：国家食品药品监督管理总局通告2021年第73号[Z].</w:t>
      </w:r>
    </w:p>
    <w:p w14:paraId="0BBD6B06">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7</w:t>
      </w:r>
      <w:r>
        <w:rPr>
          <w:rFonts w:eastAsia="仿宋_GB2312"/>
          <w:sz w:val="32"/>
          <w:szCs w:val="32"/>
        </w:rPr>
        <w:t>]</w:t>
      </w:r>
      <w:r>
        <w:rPr>
          <w:rFonts w:hint="eastAsia" w:eastAsia="仿宋_GB2312"/>
          <w:sz w:val="32"/>
          <w:szCs w:val="32"/>
        </w:rPr>
        <w:t>国家食品药品监督管理局.医疗器械生物学评价和审查指南:国家食品药品监督管理局通知2007年345号[Z]</w:t>
      </w:r>
      <w:r>
        <w:rPr>
          <w:rFonts w:eastAsia="仿宋_GB2312"/>
          <w:sz w:val="32"/>
          <w:szCs w:val="32"/>
        </w:rPr>
        <w:t>.</w:t>
      </w:r>
    </w:p>
    <w:p w14:paraId="7CBF8816">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8</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医疗器械产品技术要求编写指导原则</w:t>
      </w:r>
      <w:r>
        <w:rPr>
          <w:rFonts w:eastAsia="仿宋_GB2312"/>
          <w:sz w:val="32"/>
          <w:szCs w:val="32"/>
        </w:rPr>
        <w:t>:</w:t>
      </w:r>
      <w:r>
        <w:rPr>
          <w:rFonts w:hint="eastAsia" w:eastAsia="仿宋_GB2312"/>
          <w:sz w:val="32"/>
          <w:szCs w:val="32"/>
        </w:rPr>
        <w:t>国家药监局公告</w:t>
      </w:r>
      <w:r>
        <w:rPr>
          <w:rFonts w:eastAsia="仿宋_GB2312"/>
          <w:sz w:val="32"/>
          <w:szCs w:val="32"/>
        </w:rPr>
        <w:t>2022</w:t>
      </w:r>
      <w:r>
        <w:rPr>
          <w:rFonts w:hint="eastAsia" w:eastAsia="仿宋_GB2312"/>
          <w:sz w:val="32"/>
          <w:szCs w:val="32"/>
        </w:rPr>
        <w:t>年第</w:t>
      </w:r>
      <w:r>
        <w:rPr>
          <w:rFonts w:eastAsia="仿宋_GB2312"/>
          <w:sz w:val="32"/>
          <w:szCs w:val="32"/>
        </w:rPr>
        <w:t>8</w:t>
      </w:r>
      <w:r>
        <w:rPr>
          <w:rFonts w:hint="eastAsia" w:eastAsia="仿宋_GB2312"/>
          <w:sz w:val="32"/>
          <w:szCs w:val="32"/>
        </w:rPr>
        <w:t>号</w:t>
      </w:r>
      <w:r>
        <w:rPr>
          <w:rFonts w:eastAsia="仿宋_GB2312"/>
          <w:sz w:val="32"/>
          <w:szCs w:val="32"/>
        </w:rPr>
        <w:t>[Z].</w:t>
      </w:r>
    </w:p>
    <w:p w14:paraId="5AD4BC10">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9</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医疗器械光辐射安全注册审查指导原则（2024年第12号）</w:t>
      </w:r>
      <w:r>
        <w:rPr>
          <w:rFonts w:eastAsia="仿宋_GB2312"/>
          <w:sz w:val="32"/>
          <w:szCs w:val="32"/>
        </w:rPr>
        <w:t>[Z].</w:t>
      </w:r>
    </w:p>
    <w:p w14:paraId="2E3F8642">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20</w:t>
      </w:r>
      <w:r>
        <w:rPr>
          <w:rFonts w:eastAsia="仿宋_GB2312"/>
          <w:sz w:val="32"/>
          <w:szCs w:val="32"/>
        </w:rPr>
        <w:t>]</w:t>
      </w:r>
      <w:r>
        <w:rPr>
          <w:rFonts w:hint="eastAsia" w:eastAsia="仿宋_GB2312"/>
          <w:sz w:val="32"/>
          <w:szCs w:val="32"/>
        </w:rPr>
        <w:t>国家药监局器审中心医疗器械可用性工程注册审查指导原则：</w:t>
      </w:r>
      <w:r>
        <w:rPr>
          <w:rFonts w:hint="eastAsia" w:eastAsia="仿宋_GB2312"/>
          <w:kern w:val="0"/>
          <w:sz w:val="32"/>
          <w:szCs w:val="32"/>
        </w:rPr>
        <w:t>国家药监局器审中心</w:t>
      </w:r>
      <w:r>
        <w:rPr>
          <w:rFonts w:hint="eastAsia" w:eastAsia="仿宋_GB2312"/>
          <w:sz w:val="32"/>
          <w:szCs w:val="32"/>
        </w:rPr>
        <w:t>通告2024年第13号</w:t>
      </w:r>
      <w:r>
        <w:rPr>
          <w:rFonts w:eastAsia="仿宋_GB2312"/>
          <w:sz w:val="32"/>
          <w:szCs w:val="32"/>
        </w:rPr>
        <w:t>[Z].</w:t>
      </w:r>
    </w:p>
    <w:p w14:paraId="560E60A6">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21</w:t>
      </w:r>
      <w:r>
        <w:rPr>
          <w:rFonts w:eastAsia="仿宋_GB2312"/>
          <w:sz w:val="32"/>
          <w:szCs w:val="32"/>
        </w:rPr>
        <w:t>]GB/T 16886.1</w:t>
      </w:r>
      <w:r>
        <w:rPr>
          <w:rFonts w:hint="eastAsia" w:eastAsia="仿宋_GB2312"/>
          <w:sz w:val="32"/>
          <w:szCs w:val="32"/>
        </w:rPr>
        <w:t>-2022</w:t>
      </w:r>
      <w:r>
        <w:rPr>
          <w:rFonts w:eastAsia="仿宋_GB2312"/>
          <w:sz w:val="32"/>
          <w:szCs w:val="32"/>
        </w:rPr>
        <w:t>,</w:t>
      </w:r>
      <w:r>
        <w:rPr>
          <w:rFonts w:hint="eastAsia" w:eastAsia="仿宋_GB2312"/>
          <w:sz w:val="32"/>
          <w:szCs w:val="32"/>
        </w:rPr>
        <w:t>医疗器械生物学评价第</w:t>
      </w:r>
      <w:r>
        <w:rPr>
          <w:rFonts w:eastAsia="仿宋_GB2312"/>
          <w:sz w:val="32"/>
          <w:szCs w:val="32"/>
        </w:rPr>
        <w:t>1</w:t>
      </w:r>
      <w:r>
        <w:rPr>
          <w:rFonts w:hint="eastAsia" w:eastAsia="仿宋_GB2312"/>
          <w:sz w:val="32"/>
          <w:szCs w:val="32"/>
        </w:rPr>
        <w:t>部分：风险管理过程中的评价与试验</w:t>
      </w:r>
      <w:r>
        <w:rPr>
          <w:rFonts w:eastAsia="仿宋_GB2312"/>
          <w:sz w:val="32"/>
          <w:szCs w:val="32"/>
        </w:rPr>
        <w:t>[S].</w:t>
      </w:r>
    </w:p>
    <w:p w14:paraId="009EB5DF">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22</w:t>
      </w:r>
      <w:r>
        <w:rPr>
          <w:rFonts w:eastAsia="仿宋_GB2312"/>
          <w:sz w:val="32"/>
          <w:szCs w:val="32"/>
        </w:rPr>
        <w:t>]GB/T 42062</w:t>
      </w:r>
      <w:r>
        <w:rPr>
          <w:rFonts w:hint="eastAsia" w:eastAsia="仿宋_GB2312"/>
          <w:sz w:val="32"/>
          <w:szCs w:val="32"/>
        </w:rPr>
        <w:t>-2022</w:t>
      </w:r>
      <w:r>
        <w:rPr>
          <w:rFonts w:eastAsia="仿宋_GB2312"/>
          <w:sz w:val="32"/>
          <w:szCs w:val="32"/>
        </w:rPr>
        <w:t>,</w:t>
      </w:r>
      <w:r>
        <w:rPr>
          <w:rFonts w:hint="eastAsia" w:eastAsia="仿宋_GB2312"/>
          <w:sz w:val="32"/>
          <w:szCs w:val="32"/>
        </w:rPr>
        <w:t>医疗器械风险管理对医疗器械的应用</w:t>
      </w:r>
      <w:r>
        <w:rPr>
          <w:rFonts w:eastAsia="仿宋_GB2312"/>
          <w:sz w:val="32"/>
          <w:szCs w:val="32"/>
        </w:rPr>
        <w:t>[S].</w:t>
      </w:r>
    </w:p>
    <w:p w14:paraId="63B3DF43">
      <w:pPr>
        <w:pStyle w:val="13"/>
      </w:pPr>
    </w:p>
    <w:p w14:paraId="0688F07A">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23</w:t>
      </w:r>
      <w:r>
        <w:rPr>
          <w:rFonts w:eastAsia="仿宋_GB2312"/>
          <w:sz w:val="32"/>
          <w:szCs w:val="32"/>
        </w:rPr>
        <w:t>]GB 9706.1</w:t>
      </w:r>
      <w:r>
        <w:rPr>
          <w:rFonts w:hint="eastAsia" w:eastAsia="仿宋_GB2312"/>
          <w:sz w:val="32"/>
          <w:szCs w:val="32"/>
        </w:rPr>
        <w:t>-2020</w:t>
      </w:r>
      <w:r>
        <w:rPr>
          <w:rFonts w:eastAsia="仿宋_GB2312"/>
          <w:sz w:val="32"/>
          <w:szCs w:val="32"/>
        </w:rPr>
        <w:t>,</w:t>
      </w:r>
      <w:r>
        <w:rPr>
          <w:rFonts w:hint="eastAsia" w:eastAsia="仿宋_GB2312"/>
          <w:sz w:val="32"/>
          <w:szCs w:val="32"/>
        </w:rPr>
        <w:t>医用电气设备</w:t>
      </w:r>
      <w:r>
        <w:rPr>
          <w:rFonts w:eastAsia="仿宋_GB2312"/>
          <w:sz w:val="32"/>
          <w:szCs w:val="32"/>
        </w:rPr>
        <w:t xml:space="preserve"> </w:t>
      </w:r>
      <w:r>
        <w:rPr>
          <w:rFonts w:hint="eastAsia" w:eastAsia="仿宋_GB2312"/>
          <w:sz w:val="32"/>
          <w:szCs w:val="32"/>
        </w:rPr>
        <w:t>第</w:t>
      </w:r>
      <w:r>
        <w:rPr>
          <w:rFonts w:eastAsia="仿宋_GB2312"/>
          <w:sz w:val="32"/>
          <w:szCs w:val="32"/>
        </w:rPr>
        <w:t>1</w:t>
      </w:r>
      <w:r>
        <w:rPr>
          <w:rFonts w:hint="eastAsia" w:eastAsia="仿宋_GB2312"/>
          <w:sz w:val="32"/>
          <w:szCs w:val="32"/>
        </w:rPr>
        <w:t>部分：基本安全和基本性能的通用要求</w:t>
      </w:r>
      <w:r>
        <w:rPr>
          <w:rFonts w:eastAsia="仿宋_GB2312"/>
          <w:sz w:val="32"/>
          <w:szCs w:val="32"/>
        </w:rPr>
        <w:t>[S].</w:t>
      </w:r>
    </w:p>
    <w:p w14:paraId="4E7E1CCF">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24</w:t>
      </w:r>
      <w:r>
        <w:rPr>
          <w:rFonts w:eastAsia="仿宋_GB2312"/>
          <w:sz w:val="32"/>
          <w:szCs w:val="32"/>
        </w:rPr>
        <w:t>]</w:t>
      </w:r>
      <w:r>
        <w:rPr>
          <w:rFonts w:hint="eastAsia" w:eastAsia="仿宋_GB2312"/>
          <w:sz w:val="32"/>
          <w:szCs w:val="32"/>
        </w:rPr>
        <w:t>YY 9706.102,用电气设备 第1-2部分：基本安全和基本性能的通用要求 并列标准：电磁兼容 要求和试验[S].</w:t>
      </w:r>
    </w:p>
    <w:p w14:paraId="57241CA5">
      <w:pPr>
        <w:spacing w:line="52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5</w:t>
      </w:r>
      <w:r>
        <w:rPr>
          <w:rFonts w:eastAsia="仿宋_GB2312"/>
          <w:sz w:val="32"/>
          <w:szCs w:val="32"/>
        </w:rPr>
        <w:t>]GB/T 14710</w:t>
      </w:r>
      <w:r>
        <w:rPr>
          <w:rFonts w:hint="eastAsia" w:eastAsia="仿宋_GB2312"/>
          <w:sz w:val="32"/>
          <w:szCs w:val="32"/>
        </w:rPr>
        <w:t>-2009</w:t>
      </w:r>
      <w:r>
        <w:rPr>
          <w:rFonts w:eastAsia="仿宋_GB2312"/>
          <w:sz w:val="32"/>
          <w:szCs w:val="32"/>
        </w:rPr>
        <w:t>,</w:t>
      </w:r>
      <w:r>
        <w:rPr>
          <w:rFonts w:hint="eastAsia" w:eastAsia="仿宋_GB2312"/>
          <w:sz w:val="32"/>
          <w:szCs w:val="32"/>
        </w:rPr>
        <w:t>医用电器环境要求及试验方法</w:t>
      </w:r>
      <w:r>
        <w:rPr>
          <w:rFonts w:eastAsia="仿宋_GB2312"/>
          <w:sz w:val="32"/>
          <w:szCs w:val="32"/>
        </w:rPr>
        <w:t>[S].</w:t>
      </w:r>
    </w:p>
    <w:p w14:paraId="1F6BD1EA">
      <w:pPr>
        <w:spacing w:line="520" w:lineRule="exact"/>
        <w:ind w:firstLine="640" w:firstLineChars="200"/>
        <w:rPr>
          <w:rFonts w:eastAsia="仿宋_GB2312"/>
          <w:sz w:val="32"/>
          <w:szCs w:val="32"/>
        </w:rPr>
      </w:pPr>
      <w:r>
        <w:rPr>
          <w:rFonts w:hint="eastAsia" w:eastAsia="仿宋_GB2312"/>
          <w:sz w:val="32"/>
          <w:szCs w:val="32"/>
        </w:rPr>
        <w:t>[26]GB/T 16886.5,医疗器械生物学评价 第5部分：体外细胞毒性试验[S].</w:t>
      </w:r>
    </w:p>
    <w:p w14:paraId="0660CE09">
      <w:pPr>
        <w:spacing w:line="520" w:lineRule="exact"/>
        <w:ind w:firstLine="640" w:firstLineChars="200"/>
        <w:rPr>
          <w:rFonts w:eastAsia="仿宋_GB2312"/>
          <w:sz w:val="32"/>
          <w:szCs w:val="32"/>
        </w:rPr>
      </w:pPr>
      <w:r>
        <w:rPr>
          <w:rFonts w:hint="eastAsia" w:eastAsia="仿宋_GB2312"/>
          <w:sz w:val="32"/>
          <w:szCs w:val="32"/>
        </w:rPr>
        <w:t>[27]GB/T 16886.10,医疗器械生物学评价 第10部分：刺激与皮肤致敏试验[S].</w:t>
      </w:r>
    </w:p>
    <w:p w14:paraId="4ACCE272">
      <w:pPr>
        <w:spacing w:line="520" w:lineRule="exact"/>
        <w:ind w:firstLine="640" w:firstLineChars="200"/>
        <w:rPr>
          <w:rFonts w:eastAsia="仿宋_GB2312"/>
          <w:sz w:val="32"/>
          <w:szCs w:val="32"/>
        </w:rPr>
      </w:pPr>
      <w:r>
        <w:rPr>
          <w:rFonts w:hint="eastAsia" w:eastAsia="仿宋_GB2312"/>
          <w:sz w:val="32"/>
          <w:szCs w:val="32"/>
        </w:rPr>
        <w:t>[28]GB/T 7247.1-2024,激光产品的安全 第1部分：设备分类和要求[S].</w:t>
      </w:r>
    </w:p>
    <w:p w14:paraId="31180B94">
      <w:pPr>
        <w:spacing w:line="520" w:lineRule="exact"/>
        <w:ind w:firstLine="640" w:firstLineChars="200"/>
        <w:rPr>
          <w:rFonts w:eastAsia="仿宋_GB2312"/>
          <w:sz w:val="32"/>
          <w:szCs w:val="32"/>
        </w:rPr>
      </w:pPr>
      <w:r>
        <w:rPr>
          <w:rFonts w:hint="eastAsia" w:eastAsia="仿宋_GB2312"/>
          <w:sz w:val="32"/>
          <w:szCs w:val="32"/>
        </w:rPr>
        <w:t>[29]GB 11239.1—2005,手术显微镜 第1部分：要求和试验方法[S].</w:t>
      </w:r>
    </w:p>
    <w:p w14:paraId="0280F048">
      <w:pPr>
        <w:spacing w:line="520" w:lineRule="exact"/>
        <w:ind w:firstLine="640" w:firstLineChars="200"/>
        <w:rPr>
          <w:rFonts w:eastAsia="仿宋_GB2312"/>
          <w:sz w:val="32"/>
          <w:szCs w:val="32"/>
        </w:rPr>
      </w:pPr>
      <w:r>
        <w:rPr>
          <w:rFonts w:hint="eastAsia" w:eastAsia="仿宋_GB2312"/>
          <w:sz w:val="32"/>
          <w:szCs w:val="32"/>
        </w:rPr>
        <w:t>[30]GB/T 191—2008,包装储运图示标志[S].</w:t>
      </w:r>
    </w:p>
    <w:p w14:paraId="278EA085">
      <w:pPr>
        <w:spacing w:line="520" w:lineRule="exact"/>
        <w:ind w:firstLine="640" w:firstLineChars="200"/>
        <w:rPr>
          <w:rFonts w:eastAsia="仿宋_GB2312"/>
          <w:sz w:val="32"/>
          <w:szCs w:val="32"/>
        </w:rPr>
      </w:pPr>
      <w:r>
        <w:rPr>
          <w:rFonts w:hint="eastAsia" w:eastAsia="仿宋_GB2312"/>
          <w:sz w:val="32"/>
          <w:szCs w:val="32"/>
        </w:rPr>
        <w:t>[31]GB/T 9969—2008,工业产品使用说明书 总则[S].</w:t>
      </w:r>
    </w:p>
    <w:p w14:paraId="25B0E829">
      <w:pPr>
        <w:spacing w:line="520" w:lineRule="exact"/>
        <w:ind w:firstLine="640" w:firstLineChars="200"/>
        <w:rPr>
          <w:rFonts w:eastAsia="仿宋_GB2312"/>
          <w:sz w:val="32"/>
          <w:szCs w:val="32"/>
        </w:rPr>
      </w:pPr>
      <w:r>
        <w:rPr>
          <w:rFonts w:hint="eastAsia" w:eastAsia="仿宋_GB2312"/>
          <w:sz w:val="32"/>
          <w:szCs w:val="32"/>
        </w:rPr>
        <w:t>[32]GB/T10050—2009,光学和光学仪器 参考波长[S].</w:t>
      </w:r>
    </w:p>
    <w:p w14:paraId="0EC72F36">
      <w:pPr>
        <w:spacing w:line="520" w:lineRule="exact"/>
        <w:ind w:firstLine="640" w:firstLineChars="200"/>
        <w:rPr>
          <w:rFonts w:eastAsia="仿宋_GB2312"/>
          <w:sz w:val="32"/>
          <w:szCs w:val="32"/>
        </w:rPr>
      </w:pPr>
      <w:r>
        <w:rPr>
          <w:rFonts w:hint="eastAsia" w:eastAsia="仿宋_GB2312"/>
          <w:sz w:val="32"/>
          <w:szCs w:val="32"/>
        </w:rPr>
        <w:t>[33]GB/T 20145—2006,灯和灯系统的光生物安全性[S].</w:t>
      </w:r>
    </w:p>
    <w:p w14:paraId="0A6AD495">
      <w:pPr>
        <w:spacing w:line="520" w:lineRule="exact"/>
        <w:ind w:firstLine="640" w:firstLineChars="200"/>
        <w:rPr>
          <w:rFonts w:eastAsia="仿宋_GB2312"/>
          <w:sz w:val="32"/>
          <w:szCs w:val="32"/>
        </w:rPr>
      </w:pPr>
      <w:r>
        <w:rPr>
          <w:rFonts w:hint="eastAsia" w:eastAsia="仿宋_GB2312"/>
          <w:sz w:val="32"/>
          <w:szCs w:val="32"/>
        </w:rPr>
        <w:t>[34]YY 1057—2016,医用脚踏开关通用技术条件[S].</w:t>
      </w:r>
    </w:p>
    <w:p w14:paraId="3F6A00D1">
      <w:pPr>
        <w:spacing w:line="520" w:lineRule="exact"/>
        <w:ind w:firstLine="640" w:firstLineChars="200"/>
        <w:rPr>
          <w:rFonts w:eastAsia="仿宋_GB2312"/>
          <w:sz w:val="32"/>
          <w:szCs w:val="32"/>
        </w:rPr>
      </w:pPr>
      <w:r>
        <w:rPr>
          <w:rFonts w:hint="eastAsia" w:eastAsia="仿宋_GB2312"/>
          <w:sz w:val="32"/>
          <w:szCs w:val="32"/>
        </w:rPr>
        <w:t>[35]YY 1296—2016,光学和光子学 手术显微镜 眼科用手术显微镜的光危害 （适用眼科手术显微镜）[S].</w:t>
      </w:r>
    </w:p>
    <w:p w14:paraId="60AE1D9A">
      <w:pPr>
        <w:spacing w:line="520" w:lineRule="exact"/>
        <w:ind w:firstLine="640" w:firstLineChars="200"/>
        <w:rPr>
          <w:rFonts w:eastAsia="仿宋_GB2312"/>
          <w:sz w:val="32"/>
          <w:szCs w:val="32"/>
        </w:rPr>
      </w:pPr>
      <w:r>
        <w:rPr>
          <w:rFonts w:hint="eastAsia" w:eastAsia="仿宋_GB2312"/>
          <w:sz w:val="32"/>
          <w:szCs w:val="32"/>
        </w:rPr>
        <w:t>[36]YY/T 0664-2020,医疗器械软件 软件生存周期过程[S].</w:t>
      </w:r>
    </w:p>
    <w:p w14:paraId="12B28852">
      <w:pPr>
        <w:spacing w:line="520" w:lineRule="exact"/>
        <w:ind w:firstLine="640" w:firstLineChars="200"/>
        <w:rPr>
          <w:rFonts w:eastAsia="仿宋_GB2312"/>
          <w:sz w:val="32"/>
          <w:szCs w:val="32"/>
        </w:rPr>
      </w:pPr>
      <w:r>
        <w:rPr>
          <w:rFonts w:hint="eastAsia" w:eastAsia="仿宋_GB2312"/>
          <w:sz w:val="32"/>
          <w:szCs w:val="32"/>
        </w:rPr>
        <w:t>[37]YY/T 0466.1—2023,医疗器械 用于制造商提供信息的符号 第1部分：通用要求[S].</w:t>
      </w:r>
    </w:p>
    <w:p w14:paraId="6624706D">
      <w:pPr>
        <w:spacing w:line="520" w:lineRule="exact"/>
        <w:ind w:firstLine="640" w:firstLineChars="200"/>
        <w:rPr>
          <w:rFonts w:eastAsia="仿宋_GB2312"/>
          <w:sz w:val="32"/>
          <w:szCs w:val="32"/>
        </w:rPr>
      </w:pPr>
      <w:r>
        <w:rPr>
          <w:rFonts w:hint="eastAsia" w:eastAsia="仿宋_GB2312"/>
          <w:sz w:val="32"/>
          <w:szCs w:val="32"/>
        </w:rPr>
        <w:t>[38]YY 1296-2016,光学和光子学 手术显微镜 眼科用手术显微镜的光危害[S].</w:t>
      </w:r>
    </w:p>
    <w:p w14:paraId="1EFA001C">
      <w:pPr>
        <w:spacing w:line="520" w:lineRule="exact"/>
        <w:ind w:firstLine="640" w:firstLineChars="200"/>
        <w:rPr>
          <w:rFonts w:eastAsia="仿宋_GB2312"/>
          <w:sz w:val="32"/>
          <w:szCs w:val="32"/>
        </w:rPr>
      </w:pPr>
    </w:p>
    <w:p w14:paraId="77E2E4F8">
      <w:pPr>
        <w:spacing w:line="520" w:lineRule="exact"/>
        <w:ind w:firstLine="640" w:firstLineChars="200"/>
        <w:rPr>
          <w:rFonts w:eastAsia="仿宋_GB2312"/>
          <w:sz w:val="32"/>
          <w:szCs w:val="32"/>
        </w:rPr>
      </w:pPr>
    </w:p>
    <w:p w14:paraId="56770424">
      <w:pPr>
        <w:spacing w:line="480" w:lineRule="exact"/>
        <w:ind w:right="-67" w:rightChars="-32" w:firstLine="640" w:firstLineChars="200"/>
        <w:rPr>
          <w:rFonts w:eastAsia="仿宋_GB2312"/>
          <w:sz w:val="32"/>
          <w:szCs w:val="32"/>
        </w:rPr>
      </w:pPr>
    </w:p>
    <w:sectPr>
      <w:footerReference r:id="rId3" w:type="default"/>
      <w:footerReference r:id="rId4" w:type="even"/>
      <w:pgSz w:w="11906" w:h="16838"/>
      <w:pgMar w:top="1928" w:right="1531" w:bottom="1814" w:left="1531" w:header="851" w:footer="1247" w:gutter="0"/>
      <w:lnNumType w:countBy="1" w:restart="continuous"/>
      <w:pgNumType w:start="1"/>
      <w:cols w:space="425" w:num="1"/>
      <w:docGrid w:type="lines" w:linePitch="312" w:charSpace="16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5D60">
    <w:pPr>
      <w:pStyle w:val="5"/>
      <w:wordWrap w:val="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34</w:t>
    </w:r>
    <w:r>
      <w:rPr>
        <w:sz w:val="28"/>
        <w:szCs w:val="28"/>
      </w:rPr>
      <w:fldChar w:fldCharType="end"/>
    </w:r>
    <w:r>
      <w:rPr>
        <w:rFonts w:hint="eastAsia"/>
        <w:sz w:val="28"/>
        <w:szCs w:val="28"/>
      </w:rPr>
      <w:t xml:space="preserve"> —</w:t>
    </w:r>
    <w:r>
      <w:rPr>
        <w:rFonts w:hint="eastAsia"/>
        <w:color w:val="FFFFFF"/>
        <w:sz w:val="28"/>
        <w:szCs w:val="28"/>
      </w:rPr>
      <w:t>—</w:t>
    </w:r>
  </w:p>
  <w:p w14:paraId="41D1E80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1CAB8">
    <w:pPr>
      <w:pStyle w:val="5"/>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18</w:t>
    </w:r>
    <w:r>
      <w:rPr>
        <w:sz w:val="28"/>
        <w:szCs w:val="28"/>
      </w:rPr>
      <w:fldChar w:fldCharType="end"/>
    </w:r>
    <w:r>
      <w:rPr>
        <w:rFonts w:hint="eastAsia"/>
        <w:sz w:val="28"/>
        <w:szCs w:val="28"/>
      </w:rPr>
      <w:t xml:space="preserve"> —</w:t>
    </w:r>
  </w:p>
  <w:p w14:paraId="252AD2B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4BDF4"/>
    <w:multiLevelType w:val="singleLevel"/>
    <w:tmpl w:val="27C4BDF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29633BD2"/>
    <w:rsid w:val="000355F6"/>
    <w:rsid w:val="0007375F"/>
    <w:rsid w:val="000A7E36"/>
    <w:rsid w:val="000D69FC"/>
    <w:rsid w:val="000D7AB1"/>
    <w:rsid w:val="000E72A3"/>
    <w:rsid w:val="001058F1"/>
    <w:rsid w:val="00112D59"/>
    <w:rsid w:val="00137D00"/>
    <w:rsid w:val="00151BA0"/>
    <w:rsid w:val="00182F7A"/>
    <w:rsid w:val="00191636"/>
    <w:rsid w:val="001B41EE"/>
    <w:rsid w:val="001C7012"/>
    <w:rsid w:val="00237572"/>
    <w:rsid w:val="002458C8"/>
    <w:rsid w:val="00252EB4"/>
    <w:rsid w:val="002A2BB4"/>
    <w:rsid w:val="002C6F65"/>
    <w:rsid w:val="002D59CE"/>
    <w:rsid w:val="00325316"/>
    <w:rsid w:val="00333791"/>
    <w:rsid w:val="00337D81"/>
    <w:rsid w:val="004544CE"/>
    <w:rsid w:val="00490211"/>
    <w:rsid w:val="00496ABA"/>
    <w:rsid w:val="00500561"/>
    <w:rsid w:val="005072C8"/>
    <w:rsid w:val="00511E34"/>
    <w:rsid w:val="00587E2E"/>
    <w:rsid w:val="005A0EBD"/>
    <w:rsid w:val="005B5C92"/>
    <w:rsid w:val="006254EC"/>
    <w:rsid w:val="00641174"/>
    <w:rsid w:val="00663CF9"/>
    <w:rsid w:val="00674880"/>
    <w:rsid w:val="00694BEE"/>
    <w:rsid w:val="006D1018"/>
    <w:rsid w:val="006D2874"/>
    <w:rsid w:val="00701602"/>
    <w:rsid w:val="00721A87"/>
    <w:rsid w:val="007252E2"/>
    <w:rsid w:val="007B14C1"/>
    <w:rsid w:val="008049CC"/>
    <w:rsid w:val="0082265A"/>
    <w:rsid w:val="00830017"/>
    <w:rsid w:val="00840322"/>
    <w:rsid w:val="00841858"/>
    <w:rsid w:val="00852D41"/>
    <w:rsid w:val="00894D66"/>
    <w:rsid w:val="00965F44"/>
    <w:rsid w:val="009B2691"/>
    <w:rsid w:val="009F6FFF"/>
    <w:rsid w:val="009F7B2C"/>
    <w:rsid w:val="00A0072C"/>
    <w:rsid w:val="00A05746"/>
    <w:rsid w:val="00A5603D"/>
    <w:rsid w:val="00AD64B9"/>
    <w:rsid w:val="00AD6E4F"/>
    <w:rsid w:val="00AE2065"/>
    <w:rsid w:val="00B4106B"/>
    <w:rsid w:val="00B6178C"/>
    <w:rsid w:val="00B777CD"/>
    <w:rsid w:val="00BA0CEF"/>
    <w:rsid w:val="00BB2602"/>
    <w:rsid w:val="00BC6292"/>
    <w:rsid w:val="00BF13D0"/>
    <w:rsid w:val="00BF540F"/>
    <w:rsid w:val="00C160E4"/>
    <w:rsid w:val="00C8270A"/>
    <w:rsid w:val="00D167D2"/>
    <w:rsid w:val="00D46E2E"/>
    <w:rsid w:val="00DC6D9D"/>
    <w:rsid w:val="00E13DBF"/>
    <w:rsid w:val="00E43388"/>
    <w:rsid w:val="00E46A61"/>
    <w:rsid w:val="00E70B20"/>
    <w:rsid w:val="00E756A3"/>
    <w:rsid w:val="00EA0E53"/>
    <w:rsid w:val="00EA71EE"/>
    <w:rsid w:val="00EE6174"/>
    <w:rsid w:val="00F23635"/>
    <w:rsid w:val="00F6248B"/>
    <w:rsid w:val="00F8354B"/>
    <w:rsid w:val="00FB51EA"/>
    <w:rsid w:val="00FE68E0"/>
    <w:rsid w:val="04E979DD"/>
    <w:rsid w:val="063E0A32"/>
    <w:rsid w:val="09106D7F"/>
    <w:rsid w:val="093C74AB"/>
    <w:rsid w:val="09C40C7A"/>
    <w:rsid w:val="0D860D85"/>
    <w:rsid w:val="0DAE46EF"/>
    <w:rsid w:val="0F0367AF"/>
    <w:rsid w:val="0FA47B58"/>
    <w:rsid w:val="10007633"/>
    <w:rsid w:val="147F4EB9"/>
    <w:rsid w:val="150C0477"/>
    <w:rsid w:val="183E436E"/>
    <w:rsid w:val="18FD0872"/>
    <w:rsid w:val="1AB0663E"/>
    <w:rsid w:val="1C0E3533"/>
    <w:rsid w:val="1EE0328B"/>
    <w:rsid w:val="23F65E7C"/>
    <w:rsid w:val="24086F29"/>
    <w:rsid w:val="26D5563C"/>
    <w:rsid w:val="29633BD2"/>
    <w:rsid w:val="30D736B0"/>
    <w:rsid w:val="37757EA8"/>
    <w:rsid w:val="378557A7"/>
    <w:rsid w:val="37DB4B4C"/>
    <w:rsid w:val="385F66AE"/>
    <w:rsid w:val="3ECF366B"/>
    <w:rsid w:val="41C3177D"/>
    <w:rsid w:val="4271404A"/>
    <w:rsid w:val="46AE7B45"/>
    <w:rsid w:val="481801F3"/>
    <w:rsid w:val="4A4629A8"/>
    <w:rsid w:val="4DF93B95"/>
    <w:rsid w:val="51261C67"/>
    <w:rsid w:val="512F2A1E"/>
    <w:rsid w:val="55B856D8"/>
    <w:rsid w:val="561A4D1B"/>
    <w:rsid w:val="561F3061"/>
    <w:rsid w:val="56B23ED5"/>
    <w:rsid w:val="58357659"/>
    <w:rsid w:val="590464B6"/>
    <w:rsid w:val="59376A34"/>
    <w:rsid w:val="5A98127F"/>
    <w:rsid w:val="609C74F1"/>
    <w:rsid w:val="61B87BBB"/>
    <w:rsid w:val="64B9173C"/>
    <w:rsid w:val="64F93291"/>
    <w:rsid w:val="64FF1B8C"/>
    <w:rsid w:val="68594AF9"/>
    <w:rsid w:val="68B35EA6"/>
    <w:rsid w:val="6A5830FA"/>
    <w:rsid w:val="6D7D74B6"/>
    <w:rsid w:val="6DD915C4"/>
    <w:rsid w:val="71204F41"/>
    <w:rsid w:val="71EB69E3"/>
    <w:rsid w:val="71FD0F31"/>
    <w:rsid w:val="758D027C"/>
    <w:rsid w:val="75953E7A"/>
    <w:rsid w:val="77654D3B"/>
    <w:rsid w:val="77B84C6C"/>
    <w:rsid w:val="787D7F83"/>
    <w:rsid w:val="78D631FC"/>
    <w:rsid w:val="793505A3"/>
    <w:rsid w:val="79373E15"/>
    <w:rsid w:val="7CD513D0"/>
    <w:rsid w:val="7CFA7B9D"/>
    <w:rsid w:val="7E32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7"/>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qFormat/>
    <w:uiPriority w:val="0"/>
    <w:rPr>
      <w:b/>
      <w:bCs/>
    </w:rPr>
  </w:style>
  <w:style w:type="character" w:styleId="10">
    <w:name w:val="line number"/>
    <w:basedOn w:val="9"/>
    <w:qFormat/>
    <w:uiPriority w:val="0"/>
  </w:style>
  <w:style w:type="character" w:styleId="11">
    <w:name w:val="annotation reference"/>
    <w:basedOn w:val="9"/>
    <w:qFormat/>
    <w:uiPriority w:val="0"/>
    <w:rPr>
      <w:sz w:val="21"/>
      <w:szCs w:val="21"/>
    </w:rPr>
  </w:style>
  <w:style w:type="character" w:customStyle="1" w:styleId="12">
    <w:name w:val="页眉 字符"/>
    <w:basedOn w:val="9"/>
    <w:link w:val="6"/>
    <w:qFormat/>
    <w:uiPriority w:val="0"/>
    <w:rPr>
      <w:rFonts w:ascii="Times New Roman" w:hAnsi="Times New Roman" w:eastAsia="宋体" w:cs="Times New Roman"/>
      <w:kern w:val="2"/>
      <w:sz w:val="18"/>
      <w:szCs w:val="18"/>
    </w:rPr>
  </w:style>
  <w:style w:type="paragraph" w:styleId="13">
    <w:name w:val="No Spacing"/>
    <w:qFormat/>
    <w:uiPriority w:val="1"/>
    <w:pPr>
      <w:jc w:val="both"/>
    </w:pPr>
    <w:rPr>
      <w:rFonts w:ascii="Arial" w:hAnsi="Arial" w:eastAsia="宋体" w:cs="Arial"/>
      <w:sz w:val="18"/>
      <w:szCs w:val="18"/>
      <w:lang w:val="en-US" w:eastAsia="zh-CN" w:bidi="ar-SA"/>
    </w:rPr>
  </w:style>
  <w:style w:type="paragraph" w:customStyle="1" w:styleId="14">
    <w:name w:val="列出段落2"/>
    <w:basedOn w:val="1"/>
    <w:qFormat/>
    <w:uiPriority w:val="99"/>
    <w:pPr>
      <w:ind w:firstLine="420" w:firstLineChars="200"/>
    </w:pPr>
    <w:rPr>
      <w:rFonts w:ascii="Calibri" w:hAnsi="Calibri"/>
      <w:szCs w:val="22"/>
    </w:rPr>
  </w:style>
  <w:style w:type="character" w:customStyle="1" w:styleId="15">
    <w:name w:val="批注文字 字符"/>
    <w:basedOn w:val="9"/>
    <w:link w:val="3"/>
    <w:qFormat/>
    <w:uiPriority w:val="0"/>
    <w:rPr>
      <w:kern w:val="2"/>
      <w:sz w:val="21"/>
      <w:szCs w:val="24"/>
    </w:rPr>
  </w:style>
  <w:style w:type="character" w:customStyle="1" w:styleId="16">
    <w:name w:val="批注主题 字符"/>
    <w:basedOn w:val="15"/>
    <w:link w:val="7"/>
    <w:qFormat/>
    <w:uiPriority w:val="0"/>
    <w:rPr>
      <w:b/>
      <w:bCs/>
      <w:kern w:val="2"/>
      <w:sz w:val="21"/>
      <w:szCs w:val="24"/>
    </w:rPr>
  </w:style>
  <w:style w:type="character" w:customStyle="1" w:styleId="17">
    <w:name w:val="批注框文本 字符"/>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AEB47-B3C1-418C-BBBF-7FD5CE7612F7}">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33</Pages>
  <Words>8390</Words>
  <Characters>8708</Characters>
  <Lines>121</Lines>
  <Paragraphs>34</Paragraphs>
  <TotalTime>10</TotalTime>
  <ScaleCrop>false</ScaleCrop>
  <LinksUpToDate>false</LinksUpToDate>
  <CharactersWithSpaces>8741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2025-12-02T06:39:00Z</dcterms:created>
  <dc:creator>刘倩倩</dc:creator>
  <cp:lastModifiedBy>熊钊</cp:lastModifiedBy>
  <cp:lastPrinted>2025-09-29T08:53:00Z</cp:lastPrinted>
  <dcterms:modified xsi:type="dcterms:W3CDTF">2026-01-14T03:21:08Z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02F1DE36E6754C2B9FBE8CB31A93CF29_13</vt:lpwstr>
  </property>
  <property fmtid="{D5CDD505-2E9C-101B-9397-08002B2CF9AE}" pid="4" name="KSOTemplateDocerSaveRecord">
    <vt:lpwstr>eyJoZGlkIjoiYWZhNmJjMjBhMjk3NGQ3ZWIzNjk3Y2M0NWFmNTllYjYiLCJ1c2VySWQiOiI0NjE4OTQ2NzMifQ==</vt:lpwstr>
  </property>
</Properties>
</file>