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9220" w14:textId="77777777" w:rsidR="0083589D" w:rsidRDefault="0083589D" w:rsidP="00A90CFB">
      <w:pPr>
        <w:overflowPunct w:val="0"/>
        <w:spacing w:line="520" w:lineRule="exact"/>
        <w:jc w:val="center"/>
        <w:outlineLvl w:val="0"/>
        <w:rPr>
          <w:rFonts w:ascii="Times New Roman" w:eastAsia="方正小标宋简体" w:hAnsi="Times New Roman" w:cs="Times New Roman"/>
          <w:color w:val="000000"/>
          <w:sz w:val="44"/>
          <w:szCs w:val="44"/>
        </w:rPr>
      </w:pPr>
    </w:p>
    <w:p w14:paraId="11B8AF0B" w14:textId="77777777" w:rsidR="0083589D" w:rsidRDefault="00F31390" w:rsidP="00A90CFB">
      <w:pPr>
        <w:overflowPunct w:val="0"/>
        <w:spacing w:line="520" w:lineRule="exact"/>
        <w:jc w:val="center"/>
        <w:outlineLvl w:val="0"/>
        <w:rPr>
          <w:rFonts w:ascii="Times New Roman" w:eastAsia="方正小标宋简体" w:hAnsi="Times New Roman" w:cs="Times New Roman"/>
          <w:color w:val="000000"/>
          <w:sz w:val="44"/>
          <w:szCs w:val="44"/>
        </w:rPr>
      </w:pPr>
      <w:r>
        <w:rPr>
          <w:rFonts w:ascii="Times New Roman" w:eastAsia="方正小标宋简体" w:hAnsi="Times New Roman" w:cs="Times New Roman" w:hint="eastAsia"/>
          <w:color w:val="000000"/>
          <w:sz w:val="44"/>
          <w:szCs w:val="44"/>
        </w:rPr>
        <w:t>植入式左心室辅助循环系统</w:t>
      </w:r>
    </w:p>
    <w:p w14:paraId="50FEC1BE" w14:textId="751FEB1F" w:rsidR="00D5514A" w:rsidRPr="008921D2" w:rsidRDefault="00F31390" w:rsidP="00A90CFB">
      <w:pPr>
        <w:overflowPunct w:val="0"/>
        <w:spacing w:line="520" w:lineRule="exact"/>
        <w:jc w:val="center"/>
        <w:outlineLvl w:val="0"/>
        <w:rPr>
          <w:rFonts w:ascii="Times New Roman" w:eastAsia="方正小标宋简体" w:hAnsi="Times New Roman" w:cs="Times New Roman"/>
          <w:sz w:val="44"/>
          <w:szCs w:val="44"/>
        </w:rPr>
      </w:pPr>
      <w:r>
        <w:rPr>
          <w:rFonts w:ascii="Times New Roman" w:eastAsia="方正小标宋简体" w:hAnsi="Times New Roman" w:cs="Times New Roman"/>
          <w:color w:val="000000"/>
          <w:sz w:val="44"/>
          <w:szCs w:val="44"/>
        </w:rPr>
        <w:t>临床决策</w:t>
      </w:r>
      <w:r w:rsidR="00F2295D">
        <w:rPr>
          <w:rFonts w:ascii="Times New Roman" w:eastAsia="方正小标宋简体" w:hAnsi="Times New Roman" w:cs="Times New Roman" w:hint="eastAsia"/>
          <w:color w:val="000000"/>
          <w:sz w:val="44"/>
          <w:szCs w:val="44"/>
        </w:rPr>
        <w:t>技术</w:t>
      </w:r>
      <w:r w:rsidR="000C73DA">
        <w:rPr>
          <w:rFonts w:ascii="Times New Roman" w:eastAsia="方正小标宋简体" w:hAnsi="Times New Roman" w:cs="Times New Roman" w:hint="eastAsia"/>
          <w:color w:val="000000"/>
          <w:sz w:val="44"/>
          <w:szCs w:val="44"/>
        </w:rPr>
        <w:t>审评要点</w:t>
      </w:r>
      <w:r w:rsidR="00EB1470" w:rsidRPr="00EB1470">
        <w:rPr>
          <w:rFonts w:ascii="Times New Roman" w:eastAsia="方正小标宋简体" w:hAnsi="Times New Roman" w:cs="Times New Roman" w:hint="eastAsia"/>
          <w:color w:val="000000"/>
          <w:sz w:val="44"/>
          <w:szCs w:val="44"/>
        </w:rPr>
        <w:t>（征求意见稿）</w:t>
      </w:r>
    </w:p>
    <w:p w14:paraId="585B6C57" w14:textId="77777777" w:rsidR="00D5514A" w:rsidRDefault="00D5514A" w:rsidP="00A90CFB">
      <w:pPr>
        <w:pStyle w:val="13"/>
        <w:overflowPunct w:val="0"/>
        <w:spacing w:after="0" w:line="520" w:lineRule="exact"/>
        <w:ind w:firstLine="640"/>
        <w:rPr>
          <w:rFonts w:ascii="Times New Roman" w:eastAsia="仿宋_GB2312" w:hAnsi="Times New Roman"/>
          <w:color w:val="000000"/>
          <w:sz w:val="32"/>
          <w:szCs w:val="32"/>
        </w:rPr>
      </w:pPr>
    </w:p>
    <w:p w14:paraId="46582909" w14:textId="342EAA11"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w:t>
      </w:r>
      <w:r w:rsidR="000C73DA">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旨在指导注册申请人为植入式左心室辅助循环系统临床评价的资料准备，</w:t>
      </w:r>
      <w:r>
        <w:rPr>
          <w:rFonts w:ascii="Times New Roman" w:eastAsia="仿宋_GB2312" w:hAnsi="Times New Roman"/>
          <w:color w:val="000000"/>
          <w:sz w:val="32"/>
          <w:szCs w:val="32"/>
        </w:rPr>
        <w:t>同时也为技术审评部门提供参考。</w:t>
      </w:r>
    </w:p>
    <w:p w14:paraId="3F2B1988" w14:textId="3F39D7D3"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w:t>
      </w:r>
      <w:r w:rsidR="000C73DA">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是对植入式左心室辅助循环系统是否</w:t>
      </w:r>
      <w:r>
        <w:rPr>
          <w:rFonts w:ascii="Times New Roman" w:eastAsia="仿宋_GB2312" w:hAnsi="Times New Roman"/>
          <w:color w:val="000000"/>
          <w:sz w:val="32"/>
          <w:szCs w:val="32"/>
        </w:rPr>
        <w:t>需考虑开展临床试验</w:t>
      </w:r>
      <w:r>
        <w:rPr>
          <w:rFonts w:ascii="Times New Roman" w:eastAsia="仿宋_GB2312" w:hAnsi="Times New Roman" w:hint="eastAsia"/>
          <w:color w:val="000000"/>
          <w:sz w:val="32"/>
          <w:szCs w:val="32"/>
        </w:rPr>
        <w:t>的一般要求，注册申请人应依据产品的具体特性确定其中内容是否适用。若不适用，需具体阐述理由及相应的科学依据，并依据产品的具体特性对注册申报资料的内容进行充实和细化。</w:t>
      </w:r>
    </w:p>
    <w:p w14:paraId="737F5962" w14:textId="4447A11C"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w:t>
      </w:r>
      <w:r w:rsidR="000C73DA">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是供注册申请人和技术审评人员使用的指导性文件，但不包括审评审批所涉及的行政事项，亦不作为法规强制执行，应在遵循相关法规的前提下使用本</w:t>
      </w:r>
      <w:r w:rsidR="00450298">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。如果有能够满足相关法规要求的其他方法，也可以采用，但是需要提供详细的研究资料和验证资料。</w:t>
      </w:r>
    </w:p>
    <w:p w14:paraId="779502C7" w14:textId="17A2B207"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w:t>
      </w:r>
      <w:r w:rsidR="000C73DA">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是在现行法规和标准体系以及当前认知水平下制定，随着法规和标准的不断完善，以及科学技术的不断发展，相关内容也将适时进行调整。</w:t>
      </w:r>
    </w:p>
    <w:p w14:paraId="2A988800" w14:textId="77777777" w:rsidR="00D5514A" w:rsidRDefault="00F31390" w:rsidP="00A90CFB">
      <w:pPr>
        <w:pStyle w:val="13"/>
        <w:overflowPunct w:val="0"/>
        <w:spacing w:after="0" w:line="520" w:lineRule="exact"/>
        <w:ind w:firstLine="640"/>
        <w:outlineLvl w:val="0"/>
        <w:rPr>
          <w:rFonts w:ascii="Times New Roman" w:eastAsia="黑体" w:hAnsi="Times New Roman"/>
          <w:sz w:val="32"/>
          <w:szCs w:val="32"/>
        </w:rPr>
      </w:pPr>
      <w:r>
        <w:rPr>
          <w:rFonts w:ascii="Times New Roman" w:eastAsia="黑体" w:hAnsi="Times New Roman" w:hint="eastAsia"/>
          <w:sz w:val="32"/>
          <w:szCs w:val="32"/>
        </w:rPr>
        <w:t>一、适用范围</w:t>
      </w:r>
    </w:p>
    <w:p w14:paraId="38A63DA5" w14:textId="39E43876"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w:t>
      </w:r>
      <w:r w:rsidR="00450298">
        <w:rPr>
          <w:rFonts w:ascii="Times New Roman" w:eastAsia="仿宋_GB2312" w:hAnsi="Times New Roman" w:hint="eastAsia"/>
          <w:color w:val="000000"/>
          <w:sz w:val="32"/>
          <w:szCs w:val="32"/>
        </w:rPr>
        <w:t>审评要点</w:t>
      </w:r>
      <w:r>
        <w:rPr>
          <w:rFonts w:ascii="Times New Roman" w:eastAsia="仿宋_GB2312" w:hAnsi="Times New Roman" w:hint="eastAsia"/>
          <w:color w:val="000000"/>
          <w:sz w:val="32"/>
          <w:szCs w:val="32"/>
        </w:rPr>
        <w:t>适用于对植入式左心室辅助系统（</w:t>
      </w:r>
      <w:r>
        <w:rPr>
          <w:rFonts w:ascii="Times New Roman" w:eastAsia="仿宋_GB2312" w:hAnsi="Times New Roman" w:hint="eastAsia"/>
          <w:color w:val="000000"/>
          <w:sz w:val="32"/>
          <w:szCs w:val="32"/>
        </w:rPr>
        <w:t>Left ventricular assist device</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 xml:space="preserve"> LVAD</w:t>
      </w:r>
      <w:r>
        <w:rPr>
          <w:rFonts w:ascii="Times New Roman" w:eastAsia="仿宋_GB2312" w:hAnsi="Times New Roman" w:hint="eastAsia"/>
          <w:color w:val="000000"/>
          <w:sz w:val="32"/>
          <w:szCs w:val="32"/>
        </w:rPr>
        <w:t>）进行临床评价时，是否需要开展临床试验的判定。</w:t>
      </w:r>
    </w:p>
    <w:p w14:paraId="41FBCFCE" w14:textId="3A029220"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植入式左心室辅助系统</w:t>
      </w:r>
      <w:r>
        <w:rPr>
          <w:rFonts w:ascii="Times New Roman" w:eastAsia="仿宋_GB2312" w:hAnsi="Times New Roman"/>
          <w:color w:val="000000"/>
          <w:sz w:val="32"/>
          <w:szCs w:val="32"/>
        </w:rPr>
        <w:t>用于非长期治疗系统的适用范围为：用于为进展期难治性左心衰患者血液循环提供机械支</w:t>
      </w:r>
      <w:r>
        <w:rPr>
          <w:rFonts w:ascii="Times New Roman" w:eastAsia="仿宋_GB2312" w:hAnsi="Times New Roman"/>
          <w:color w:val="000000"/>
          <w:sz w:val="32"/>
          <w:szCs w:val="32"/>
        </w:rPr>
        <w:lastRenderedPageBreak/>
        <w:t>持，含心脏移植前或恢复心脏功能的过渡治疗。供具备心脏移植条件与术后综合护理能力的医疗机构使用，医务人员、院外护理人员以及患者须通过相应培训。抗凝治疗不耐受患者禁用。</w:t>
      </w:r>
    </w:p>
    <w:p w14:paraId="1FBE7390" w14:textId="77777777" w:rsidR="00D5514A" w:rsidRDefault="00F31390" w:rsidP="00A90CFB">
      <w:pPr>
        <w:pStyle w:val="13"/>
        <w:overflowPunct w:val="0"/>
        <w:spacing w:after="0" w:line="520" w:lineRule="exact"/>
        <w:ind w:firstLine="640"/>
        <w:outlineLvl w:val="0"/>
        <w:rPr>
          <w:rFonts w:ascii="Times New Roman" w:eastAsia="黑体" w:hAnsi="Times New Roman"/>
          <w:sz w:val="32"/>
          <w:szCs w:val="32"/>
        </w:rPr>
      </w:pPr>
      <w:r>
        <w:rPr>
          <w:rFonts w:ascii="Times New Roman" w:eastAsia="黑体" w:hAnsi="Times New Roman"/>
          <w:sz w:val="32"/>
          <w:szCs w:val="32"/>
        </w:rPr>
        <w:t>二、总则</w:t>
      </w:r>
    </w:p>
    <w:p w14:paraId="68642A5C"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在</w:t>
      </w:r>
      <w:r>
        <w:rPr>
          <w:rFonts w:ascii="Times New Roman" w:eastAsia="仿宋_GB2312" w:hAnsi="Times New Roman" w:hint="eastAsia"/>
          <w:color w:val="000000"/>
          <w:sz w:val="32"/>
          <w:szCs w:val="32"/>
        </w:rPr>
        <w:t>植入式左心室辅助系统</w:t>
      </w:r>
      <w:r>
        <w:rPr>
          <w:rFonts w:ascii="Times New Roman" w:eastAsia="仿宋_GB2312" w:hAnsi="Times New Roman"/>
          <w:color w:val="000000"/>
          <w:sz w:val="32"/>
          <w:szCs w:val="32"/>
        </w:rPr>
        <w:t>设计开发过程中，可采取多种方法实现设计确认，包括</w:t>
      </w:r>
      <w:r>
        <w:rPr>
          <w:rFonts w:ascii="Times New Roman" w:eastAsia="仿宋_GB2312" w:hAnsi="Times New Roman" w:hint="eastAsia"/>
          <w:color w:val="000000"/>
          <w:sz w:val="32"/>
          <w:szCs w:val="32"/>
        </w:rPr>
        <w:t>台架</w:t>
      </w:r>
      <w:r>
        <w:rPr>
          <w:rFonts w:ascii="Times New Roman" w:eastAsia="仿宋_GB2312" w:hAnsi="Times New Roman"/>
          <w:color w:val="000000"/>
          <w:sz w:val="32"/>
          <w:szCs w:val="32"/>
        </w:rPr>
        <w:t>试验、动物</w:t>
      </w:r>
      <w:r>
        <w:rPr>
          <w:rFonts w:ascii="Times New Roman" w:eastAsia="仿宋_GB2312" w:hAnsi="Times New Roman" w:hint="eastAsia"/>
          <w:color w:val="000000"/>
          <w:sz w:val="32"/>
          <w:szCs w:val="32"/>
        </w:rPr>
        <w:t>试</w:t>
      </w:r>
      <w:r>
        <w:rPr>
          <w:rFonts w:ascii="Times New Roman" w:eastAsia="仿宋_GB2312" w:hAnsi="Times New Roman"/>
          <w:color w:val="000000"/>
          <w:sz w:val="32"/>
          <w:szCs w:val="32"/>
        </w:rPr>
        <w:t>验、临床</w:t>
      </w:r>
      <w:r>
        <w:rPr>
          <w:rFonts w:ascii="Times New Roman" w:eastAsia="仿宋_GB2312" w:hAnsi="Times New Roman" w:hint="eastAsia"/>
          <w:color w:val="000000"/>
          <w:sz w:val="32"/>
          <w:szCs w:val="32"/>
        </w:rPr>
        <w:t>试验</w:t>
      </w:r>
      <w:r>
        <w:rPr>
          <w:rFonts w:ascii="Times New Roman" w:eastAsia="仿宋_GB2312" w:hAnsi="Times New Roman"/>
          <w:color w:val="000000"/>
          <w:sz w:val="32"/>
          <w:szCs w:val="32"/>
        </w:rPr>
        <w:t>等。申请人</w:t>
      </w:r>
      <w:r>
        <w:rPr>
          <w:rFonts w:ascii="Times New Roman" w:eastAsia="仿宋_GB2312" w:hAnsi="Times New Roman" w:hint="eastAsia"/>
          <w:color w:val="000000"/>
          <w:sz w:val="32"/>
          <w:szCs w:val="32"/>
        </w:rPr>
        <w:t>可参考《医疗器械临床评价技术指导原则》《决策是否开展医疗器械临床试验技术指导原则》《植入式左心室辅助系统注册技术审查指导原则》等，</w:t>
      </w:r>
      <w:r>
        <w:rPr>
          <w:rFonts w:ascii="Times New Roman" w:eastAsia="仿宋_GB2312" w:hAnsi="Times New Roman"/>
          <w:color w:val="000000"/>
          <w:sz w:val="32"/>
          <w:szCs w:val="32"/>
        </w:rPr>
        <w:t>采用</w:t>
      </w:r>
      <w:r>
        <w:rPr>
          <w:rFonts w:ascii="Times New Roman" w:eastAsia="仿宋_GB2312" w:hAnsi="Times New Roman" w:hint="eastAsia"/>
          <w:color w:val="000000"/>
          <w:sz w:val="32"/>
          <w:szCs w:val="32"/>
        </w:rPr>
        <w:t>非临床验证资料、临床试验、已有临床数据等证明产品</w:t>
      </w:r>
      <w:r>
        <w:rPr>
          <w:rFonts w:ascii="Times New Roman" w:eastAsia="仿宋_GB2312" w:hAnsi="Times New Roman"/>
          <w:color w:val="000000"/>
          <w:sz w:val="32"/>
          <w:szCs w:val="32"/>
        </w:rPr>
        <w:t>符合医疗器械安全和性能的基本原则。</w:t>
      </w:r>
      <w:r>
        <w:rPr>
          <w:rFonts w:ascii="Times New Roman" w:eastAsia="仿宋_GB2312" w:hAnsi="Times New Roman" w:hint="eastAsia"/>
          <w:color w:val="000000"/>
          <w:sz w:val="32"/>
          <w:szCs w:val="32"/>
        </w:rPr>
        <w:t>通常情况下，申请人</w:t>
      </w:r>
      <w:r>
        <w:rPr>
          <w:rFonts w:ascii="Times New Roman" w:eastAsia="仿宋_GB2312" w:hAnsi="Times New Roman"/>
          <w:color w:val="000000"/>
          <w:sz w:val="32"/>
          <w:szCs w:val="32"/>
        </w:rPr>
        <w:t>可通过</w:t>
      </w:r>
      <w:r>
        <w:rPr>
          <w:rFonts w:ascii="Times New Roman" w:eastAsia="仿宋_GB2312" w:hAnsi="Times New Roman" w:hint="eastAsia"/>
          <w:color w:val="000000"/>
          <w:sz w:val="32"/>
          <w:szCs w:val="32"/>
        </w:rPr>
        <w:t>临床试验路径开展</w:t>
      </w:r>
      <w:r>
        <w:rPr>
          <w:rFonts w:ascii="Times New Roman" w:eastAsia="仿宋_GB2312" w:hAnsi="Times New Roman"/>
          <w:color w:val="000000"/>
          <w:sz w:val="32"/>
          <w:szCs w:val="32"/>
        </w:rPr>
        <w:t>临床评价</w:t>
      </w:r>
      <w:r>
        <w:rPr>
          <w:rFonts w:ascii="Times New Roman" w:eastAsia="仿宋_GB2312" w:hAnsi="Times New Roman" w:hint="eastAsia"/>
          <w:color w:val="000000"/>
          <w:sz w:val="32"/>
          <w:szCs w:val="32"/>
        </w:rPr>
        <w:t>，在开展台架试验和动物试验的基础上，提供</w:t>
      </w:r>
      <w:r>
        <w:rPr>
          <w:rFonts w:ascii="Times New Roman" w:eastAsia="仿宋_GB2312" w:hAnsi="Times New Roman"/>
          <w:color w:val="000000"/>
          <w:sz w:val="32"/>
          <w:szCs w:val="32"/>
        </w:rPr>
        <w:t>在境内或境外合法</w:t>
      </w:r>
      <w:r>
        <w:rPr>
          <w:rFonts w:ascii="Times New Roman" w:eastAsia="仿宋_GB2312" w:hAnsi="Times New Roman" w:hint="eastAsia"/>
          <w:color w:val="000000"/>
          <w:sz w:val="32"/>
          <w:szCs w:val="32"/>
        </w:rPr>
        <w:t>开展的临床试验数据作为产品</w:t>
      </w:r>
      <w:r>
        <w:rPr>
          <w:rFonts w:ascii="Times New Roman" w:eastAsia="仿宋_GB2312" w:hAnsi="Times New Roman"/>
          <w:color w:val="000000"/>
          <w:sz w:val="32"/>
          <w:szCs w:val="32"/>
        </w:rPr>
        <w:t>安全性、有效性</w:t>
      </w:r>
      <w:r>
        <w:rPr>
          <w:rFonts w:ascii="Times New Roman" w:eastAsia="仿宋_GB2312" w:hAnsi="Times New Roman" w:hint="eastAsia"/>
          <w:color w:val="000000"/>
          <w:sz w:val="32"/>
          <w:szCs w:val="32"/>
        </w:rPr>
        <w:t>证据</w:t>
      </w:r>
      <w:r>
        <w:rPr>
          <w:rFonts w:ascii="Times New Roman" w:eastAsia="仿宋_GB2312" w:hAnsi="Times New Roman"/>
          <w:color w:val="000000"/>
          <w:sz w:val="32"/>
          <w:szCs w:val="32"/>
        </w:rPr>
        <w:t>。</w:t>
      </w:r>
    </w:p>
    <w:p w14:paraId="65B9FD76" w14:textId="77777777" w:rsidR="00D5514A" w:rsidRDefault="00F31390" w:rsidP="00A90CFB">
      <w:pPr>
        <w:spacing w:line="520" w:lineRule="exact"/>
        <w:ind w:firstLineChars="200" w:firstLine="640"/>
        <w:outlineLvl w:val="0"/>
        <w:rPr>
          <w:rFonts w:ascii="Times New Roman" w:eastAsia="黑体" w:hAnsi="Times New Roman"/>
          <w:kern w:val="0"/>
          <w:sz w:val="32"/>
          <w:szCs w:val="32"/>
          <w:lang w:val="zh-CN"/>
        </w:rPr>
      </w:pPr>
      <w:r>
        <w:rPr>
          <w:rFonts w:ascii="Times New Roman" w:eastAsia="黑体" w:hAnsi="Times New Roman"/>
          <w:kern w:val="0"/>
          <w:sz w:val="32"/>
          <w:szCs w:val="32"/>
          <w:lang w:val="zh-CN"/>
        </w:rPr>
        <w:t>三、考虑因素</w:t>
      </w:r>
    </w:p>
    <w:p w14:paraId="2B3D833E"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（一）植入式左心室辅助系统属于</w:t>
      </w:r>
      <w:r>
        <w:rPr>
          <w:rFonts w:ascii="Times New Roman" w:eastAsia="仿宋_GB2312" w:hAnsi="Times New Roman"/>
          <w:color w:val="000000"/>
          <w:sz w:val="32"/>
          <w:szCs w:val="32"/>
        </w:rPr>
        <w:t>临床使用具有高风险的第三类医疗器械</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原则上需要通过</w:t>
      </w:r>
      <w:r>
        <w:rPr>
          <w:rFonts w:ascii="Times New Roman" w:eastAsia="仿宋_GB2312" w:hAnsi="Times New Roman" w:hint="eastAsia"/>
          <w:color w:val="000000"/>
          <w:sz w:val="32"/>
          <w:szCs w:val="32"/>
        </w:rPr>
        <w:t>临床试验路径开展</w:t>
      </w:r>
      <w:r>
        <w:rPr>
          <w:rFonts w:ascii="Times New Roman" w:eastAsia="仿宋_GB2312" w:hAnsi="Times New Roman"/>
          <w:color w:val="000000"/>
          <w:sz w:val="32"/>
          <w:szCs w:val="32"/>
        </w:rPr>
        <w:t>临床评价</w:t>
      </w:r>
      <w:r>
        <w:rPr>
          <w:rFonts w:ascii="Times New Roman" w:eastAsia="仿宋_GB2312" w:hAnsi="Times New Roman" w:hint="eastAsia"/>
          <w:color w:val="000000"/>
          <w:sz w:val="32"/>
          <w:szCs w:val="32"/>
        </w:rPr>
        <w:t>，尤其在以下情况申请人应考虑开展临床试验：</w:t>
      </w:r>
    </w:p>
    <w:p w14:paraId="71E0A029"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1. </w:t>
      </w:r>
      <w:r>
        <w:rPr>
          <w:rFonts w:ascii="Times New Roman" w:eastAsia="仿宋_GB2312" w:hAnsi="Times New Roman" w:hint="eastAsia"/>
          <w:color w:val="000000"/>
          <w:sz w:val="32"/>
          <w:szCs w:val="32"/>
        </w:rPr>
        <w:t>申报产品适用范围或适用人群发生变化，如由“</w:t>
      </w:r>
      <w:r>
        <w:rPr>
          <w:rFonts w:ascii="Times New Roman" w:eastAsia="仿宋_GB2312" w:hAnsi="Times New Roman"/>
          <w:color w:val="000000"/>
          <w:sz w:val="32"/>
          <w:szCs w:val="32"/>
        </w:rPr>
        <w:t>心脏移植前或恢复心脏功能的过渡治疗</w:t>
      </w:r>
      <w:r>
        <w:rPr>
          <w:rFonts w:ascii="Times New Roman" w:eastAsia="仿宋_GB2312" w:hAnsi="Times New Roman" w:hint="eastAsia"/>
          <w:color w:val="000000"/>
          <w:sz w:val="32"/>
          <w:szCs w:val="32"/>
        </w:rPr>
        <w:t>”变更为“</w:t>
      </w:r>
      <w:r>
        <w:rPr>
          <w:rFonts w:ascii="Times New Roman" w:eastAsia="仿宋_GB2312" w:hAnsi="Times New Roman"/>
          <w:color w:val="000000"/>
          <w:sz w:val="32"/>
          <w:szCs w:val="32"/>
        </w:rPr>
        <w:t>长期治疗</w:t>
      </w:r>
      <w:r>
        <w:rPr>
          <w:rFonts w:ascii="Times New Roman" w:eastAsia="仿宋_GB2312" w:hAnsi="Times New Roman" w:hint="eastAsia"/>
          <w:color w:val="000000"/>
          <w:sz w:val="32"/>
          <w:szCs w:val="32"/>
        </w:rPr>
        <w:t>”。</w:t>
      </w:r>
    </w:p>
    <w:p w14:paraId="516D3F67" w14:textId="74B2F6A6"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2. </w:t>
      </w:r>
      <w:r>
        <w:rPr>
          <w:rFonts w:ascii="Times New Roman" w:eastAsia="仿宋_GB2312" w:hAnsi="Times New Roman" w:hint="eastAsia"/>
          <w:color w:val="000000"/>
          <w:sz w:val="32"/>
          <w:szCs w:val="32"/>
        </w:rPr>
        <w:t>申报产品关键部件（如血泵）</w:t>
      </w:r>
      <w:r w:rsidR="002504FD" w:rsidRPr="00450298">
        <w:rPr>
          <w:rFonts w:ascii="Times New Roman" w:eastAsia="仿宋_GB2312" w:hAnsi="Times New Roman" w:hint="eastAsia"/>
          <w:color w:val="000000"/>
          <w:sz w:val="32"/>
          <w:szCs w:val="32"/>
        </w:rPr>
        <w:t>发生重大变化</w:t>
      </w:r>
      <w:r w:rsidR="002504FD">
        <w:rPr>
          <w:rFonts w:ascii="Times New Roman" w:eastAsia="仿宋_GB2312" w:hAnsi="Times New Roman" w:hint="eastAsia"/>
          <w:color w:val="000000"/>
          <w:sz w:val="32"/>
          <w:szCs w:val="32"/>
        </w:rPr>
        <w:t>如采用新的设计原理</w:t>
      </w:r>
      <w:r>
        <w:rPr>
          <w:rFonts w:ascii="Times New Roman" w:eastAsia="仿宋_GB2312" w:hAnsi="Times New Roman" w:hint="eastAsia"/>
          <w:color w:val="000000"/>
          <w:sz w:val="32"/>
          <w:szCs w:val="32"/>
        </w:rPr>
        <w:t>或</w:t>
      </w:r>
      <w:r w:rsidR="0047058C" w:rsidRPr="00450298">
        <w:rPr>
          <w:rFonts w:ascii="Times New Roman" w:eastAsia="仿宋_GB2312" w:hAnsi="Times New Roman" w:hint="eastAsia"/>
          <w:color w:val="000000"/>
          <w:sz w:val="32"/>
          <w:szCs w:val="32"/>
        </w:rPr>
        <w:t>工作方法</w:t>
      </w:r>
      <w:r>
        <w:rPr>
          <w:rFonts w:ascii="Times New Roman" w:eastAsia="仿宋_GB2312" w:hAnsi="Times New Roman" w:hint="eastAsia"/>
          <w:color w:val="000000"/>
          <w:sz w:val="32"/>
          <w:szCs w:val="32"/>
        </w:rPr>
        <w:t>（如植入部位）。</w:t>
      </w:r>
    </w:p>
    <w:p w14:paraId="3E65B2AF" w14:textId="49F5478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（二）植入式左心室辅助系统虽为</w:t>
      </w:r>
      <w:r>
        <w:rPr>
          <w:rFonts w:ascii="Times New Roman" w:eastAsia="仿宋_GB2312" w:hAnsi="Times New Roman"/>
          <w:color w:val="000000"/>
          <w:sz w:val="32"/>
          <w:szCs w:val="32"/>
        </w:rPr>
        <w:t>具有高风险的第三类医疗器械</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但以下情形可考虑免于</w:t>
      </w:r>
      <w:r w:rsidR="000C6870" w:rsidRPr="00450298">
        <w:rPr>
          <w:rFonts w:ascii="Times New Roman" w:eastAsia="仿宋_GB2312" w:hAnsi="Times New Roman" w:hint="eastAsia"/>
          <w:color w:val="000000"/>
          <w:sz w:val="32"/>
          <w:szCs w:val="32"/>
        </w:rPr>
        <w:t>在境内</w:t>
      </w:r>
      <w:r>
        <w:rPr>
          <w:rFonts w:ascii="Times New Roman" w:eastAsia="仿宋_GB2312" w:hAnsi="Times New Roman"/>
          <w:color w:val="000000"/>
          <w:sz w:val="32"/>
          <w:szCs w:val="32"/>
        </w:rPr>
        <w:t>开展临床试验：</w:t>
      </w:r>
    </w:p>
    <w:p w14:paraId="5E84B791"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1. </w:t>
      </w:r>
      <w:r>
        <w:rPr>
          <w:rFonts w:ascii="Times New Roman" w:eastAsia="仿宋_GB2312" w:hAnsi="Times New Roman"/>
          <w:color w:val="000000"/>
          <w:sz w:val="32"/>
          <w:szCs w:val="32"/>
        </w:rPr>
        <w:t>申报产品</w:t>
      </w:r>
      <w:r>
        <w:rPr>
          <w:rFonts w:ascii="Times New Roman" w:eastAsia="仿宋_GB2312" w:hAnsi="Times New Roman" w:hint="eastAsia"/>
          <w:color w:val="000000"/>
          <w:sz w:val="32"/>
          <w:szCs w:val="32"/>
        </w:rPr>
        <w:t>有</w:t>
      </w:r>
      <w:r>
        <w:rPr>
          <w:rFonts w:ascii="Times New Roman" w:eastAsia="仿宋_GB2312" w:hAnsi="Times New Roman"/>
          <w:color w:val="000000"/>
          <w:sz w:val="32"/>
          <w:szCs w:val="32"/>
        </w:rPr>
        <w:t>前代产品</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，申报产品在前代产品的基础</w:t>
      </w:r>
      <w:r>
        <w:rPr>
          <w:rFonts w:ascii="Times New Roman" w:eastAsia="仿宋_GB2312" w:hAnsi="Times New Roman" w:hint="eastAsia"/>
          <w:color w:val="000000"/>
          <w:sz w:val="32"/>
          <w:szCs w:val="32"/>
        </w:rPr>
        <w:lastRenderedPageBreak/>
        <w:t>上，未改变产品系统控制、临床操作性能，增加配用的组件或组件性能发生变化，且申请人可通过已有数据，如非临床研究数据、前代产品的境内或境外临床数据等，证明申报产品符合医疗器械安全和性能的基本原则。</w:t>
      </w:r>
    </w:p>
    <w:p w14:paraId="24832745"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2. </w:t>
      </w:r>
      <w:r>
        <w:rPr>
          <w:rFonts w:ascii="Times New Roman" w:eastAsia="仿宋_GB2312" w:hAnsi="Times New Roman" w:hint="eastAsia"/>
          <w:color w:val="000000"/>
          <w:sz w:val="32"/>
          <w:szCs w:val="32"/>
        </w:rPr>
        <w:t>申报产品已在境外上市，申请人可按照《接受医疗器械境外临床试验数据技术指导原则》的要求提供申报产品境外临床试验数据，证明申报产品符合医疗器械安全和性能的基本原则。</w:t>
      </w:r>
    </w:p>
    <w:p w14:paraId="568643A1" w14:textId="79225C73"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3. </w:t>
      </w:r>
      <w:r>
        <w:rPr>
          <w:rFonts w:ascii="Times New Roman" w:eastAsia="仿宋_GB2312" w:hAnsi="Times New Roman" w:hint="eastAsia"/>
          <w:color w:val="000000"/>
          <w:sz w:val="32"/>
          <w:szCs w:val="32"/>
        </w:rPr>
        <w:t>申报产品申请许可事项变更（如增加配合适用的</w:t>
      </w:r>
      <w:r w:rsidR="005125D2" w:rsidRPr="005125D2">
        <w:rPr>
          <w:rFonts w:ascii="Times New Roman" w:eastAsia="仿宋_GB2312" w:hAnsi="Times New Roman" w:hint="eastAsia"/>
          <w:color w:val="000000"/>
          <w:sz w:val="32"/>
          <w:szCs w:val="32"/>
        </w:rPr>
        <w:t>境内已上市的</w:t>
      </w:r>
      <w:r>
        <w:rPr>
          <w:rFonts w:ascii="Times New Roman" w:eastAsia="仿宋_GB2312" w:hAnsi="Times New Roman" w:hint="eastAsia"/>
          <w:color w:val="000000"/>
          <w:sz w:val="32"/>
          <w:szCs w:val="32"/>
        </w:rPr>
        <w:t>人工血管），变更部分可通过非临床研究数据充分证明申报产品符合医疗器械安全和性能的基本原则。</w:t>
      </w:r>
    </w:p>
    <w:p w14:paraId="77DD4EDA" w14:textId="77777777"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注</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前代产品是指与申报产品属于同一注册申请人、具有相同适用范围且技术特征和生物学特性相似的产品，申报产品与前代产品为迭代关系。</w:t>
      </w:r>
    </w:p>
    <w:p w14:paraId="0026F976" w14:textId="77777777" w:rsidR="00D5514A" w:rsidRDefault="00F31390" w:rsidP="00A90CFB">
      <w:pPr>
        <w:pStyle w:val="13"/>
        <w:overflowPunct w:val="0"/>
        <w:spacing w:after="0" w:line="520" w:lineRule="exact"/>
        <w:ind w:firstLine="640"/>
        <w:outlineLvl w:val="0"/>
        <w:rPr>
          <w:rFonts w:ascii="Times New Roman" w:eastAsia="黑体" w:hAnsi="Times New Roman"/>
          <w:kern w:val="0"/>
          <w:sz w:val="32"/>
          <w:szCs w:val="32"/>
          <w:lang w:val="zh-CN"/>
        </w:rPr>
      </w:pPr>
      <w:r>
        <w:rPr>
          <w:rFonts w:ascii="Times New Roman" w:eastAsia="黑体" w:hAnsi="Times New Roman" w:hint="eastAsia"/>
          <w:kern w:val="0"/>
          <w:sz w:val="32"/>
          <w:szCs w:val="32"/>
          <w:lang w:val="zh-CN"/>
        </w:rPr>
        <w:t>四、决策是否需要开展临床试验的情况举例</w:t>
      </w:r>
    </w:p>
    <w:p w14:paraId="723CC582" w14:textId="77777777" w:rsidR="00D5514A" w:rsidRDefault="00F31390" w:rsidP="00A90CFB">
      <w:pPr>
        <w:pStyle w:val="13"/>
        <w:overflowPunct w:val="0"/>
        <w:spacing w:after="0" w:line="520" w:lineRule="exact"/>
        <w:ind w:firstLine="640"/>
        <w:outlineLvl w:val="1"/>
        <w:rPr>
          <w:rFonts w:ascii="Times New Roman" w:eastAsia="黑体" w:hAnsi="Times New Roman"/>
          <w:kern w:val="0"/>
          <w:sz w:val="32"/>
          <w:szCs w:val="32"/>
          <w:lang w:val="zh-CN"/>
        </w:rPr>
      </w:pPr>
      <w:r>
        <w:rPr>
          <w:rFonts w:ascii="Times New Roman" w:eastAsia="仿宋_GB2312" w:hAnsi="Times New Roman" w:hint="eastAsia"/>
          <w:color w:val="000000"/>
          <w:sz w:val="32"/>
          <w:szCs w:val="32"/>
        </w:rPr>
        <w:t>（一）需要开展临床试验的情况</w:t>
      </w:r>
    </w:p>
    <w:p w14:paraId="2071FB6D" w14:textId="3E7AB306"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1. </w:t>
      </w:r>
      <w:r>
        <w:rPr>
          <w:rFonts w:ascii="Times New Roman" w:eastAsia="仿宋_GB2312" w:hAnsi="Times New Roman" w:hint="eastAsia"/>
          <w:color w:val="000000"/>
          <w:sz w:val="32"/>
          <w:szCs w:val="32"/>
        </w:rPr>
        <w:t>申请人已获批</w:t>
      </w:r>
      <w:r>
        <w:rPr>
          <w:rFonts w:ascii="Times New Roman" w:eastAsia="仿宋_GB2312" w:hAnsi="Times New Roman"/>
          <w:color w:val="000000"/>
          <w:sz w:val="32"/>
          <w:szCs w:val="32"/>
        </w:rPr>
        <w:t>非长期治疗系统的适用范围</w:t>
      </w:r>
      <w:r>
        <w:rPr>
          <w:rFonts w:ascii="Times New Roman" w:eastAsia="仿宋_GB2312" w:hAnsi="Times New Roman" w:hint="eastAsia"/>
          <w:color w:val="000000"/>
          <w:sz w:val="32"/>
          <w:szCs w:val="32"/>
        </w:rPr>
        <w:t>，拟申报用于长期治疗系统的适用范围，如“</w:t>
      </w:r>
      <w:r>
        <w:rPr>
          <w:rFonts w:ascii="Times New Roman" w:eastAsia="仿宋_GB2312" w:hAnsi="Times New Roman"/>
          <w:color w:val="000000"/>
          <w:sz w:val="32"/>
          <w:szCs w:val="32"/>
        </w:rPr>
        <w:t>用于为进展期难治性左心衰患者血液循环提供机械支持，即心脏移植前或恢复心脏功能的过渡治疗以及长期治疗。供具备心脏移植条件与术后综合护理能力的医疗机构使用，医务人员、院外护理人员以及患者须通过相应培训。抗凝治疗不耐受患者禁用</w:t>
      </w:r>
      <w:r>
        <w:rPr>
          <w:rFonts w:ascii="Times New Roman" w:eastAsia="仿宋_GB2312" w:hAnsi="Times New Roman" w:hint="eastAsia"/>
          <w:color w:val="000000"/>
          <w:sz w:val="32"/>
          <w:szCs w:val="32"/>
        </w:rPr>
        <w:t>”。申请人需根据适用范围宣称提供临床试验数据。临床试验设计应采用随机平行对照的试验设计。</w:t>
      </w:r>
    </w:p>
    <w:p w14:paraId="4FC73560" w14:textId="31BD5552"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2. </w:t>
      </w:r>
      <w:r>
        <w:rPr>
          <w:rFonts w:ascii="Times New Roman" w:eastAsia="仿宋_GB2312" w:hAnsi="Times New Roman" w:hint="eastAsia"/>
          <w:color w:val="000000"/>
          <w:sz w:val="32"/>
          <w:szCs w:val="32"/>
        </w:rPr>
        <w:t>申报产品血泵较前代产品发生设计改进或</w:t>
      </w:r>
      <w:r w:rsidR="007C75C5" w:rsidRPr="00450298">
        <w:rPr>
          <w:rFonts w:ascii="Times New Roman" w:eastAsia="仿宋_GB2312" w:hAnsi="Times New Roman" w:hint="eastAsia"/>
          <w:color w:val="000000"/>
          <w:sz w:val="32"/>
          <w:szCs w:val="32"/>
        </w:rPr>
        <w:t>工作方法</w:t>
      </w:r>
      <w:r>
        <w:rPr>
          <w:rFonts w:ascii="Times New Roman" w:eastAsia="仿宋_GB2312" w:hAnsi="Times New Roman" w:hint="eastAsia"/>
          <w:color w:val="000000"/>
          <w:sz w:val="32"/>
          <w:szCs w:val="32"/>
        </w:rPr>
        <w:t>（如植入部位）改变，如血泵转子支承方式发生变化，可参</w:t>
      </w:r>
      <w:r>
        <w:rPr>
          <w:rFonts w:ascii="Times New Roman" w:eastAsia="仿宋_GB2312" w:hAnsi="Times New Roman" w:hint="eastAsia"/>
          <w:color w:val="000000"/>
          <w:sz w:val="32"/>
          <w:szCs w:val="32"/>
        </w:rPr>
        <w:lastRenderedPageBreak/>
        <w:t>考《植入式左心室辅助系统注册技术审查指导原则》，在完成临床前研究的基础上，根据拟申报的适用范围宣称提供临床试验数据。如申报用于非长期治疗系统的适用范围或用于长期治疗系统的适用范围应分别开展临床试验。</w:t>
      </w:r>
    </w:p>
    <w:p w14:paraId="40EBB6BA" w14:textId="77777777" w:rsidR="00D5514A" w:rsidRDefault="00F31390" w:rsidP="00A90CFB">
      <w:pPr>
        <w:pStyle w:val="13"/>
        <w:overflowPunct w:val="0"/>
        <w:spacing w:after="0" w:line="520" w:lineRule="exact"/>
        <w:ind w:firstLine="640"/>
        <w:outlineLvl w:val="1"/>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（二）不需要开展临床试验，可通过同品种比对开展临床评价的情况</w:t>
      </w:r>
    </w:p>
    <w:p w14:paraId="2DCDE4AC" w14:textId="137AEAFA"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1.</w:t>
      </w:r>
      <w:r>
        <w:rPr>
          <w:rFonts w:ascii="Times New Roman" w:eastAsia="仿宋_GB2312" w:hAnsi="Times New Roman" w:hint="eastAsia"/>
          <w:color w:val="000000"/>
          <w:sz w:val="32"/>
          <w:szCs w:val="32"/>
        </w:rPr>
        <w:t>申报产品在前代产品的基础上，拟增加可选的</w:t>
      </w:r>
      <w:r w:rsidR="005125D2">
        <w:rPr>
          <w:rFonts w:ascii="Times New Roman" w:eastAsia="仿宋_GB2312" w:hAnsi="Times New Roman" w:hint="eastAsia"/>
          <w:color w:val="000000"/>
          <w:sz w:val="32"/>
          <w:szCs w:val="32"/>
        </w:rPr>
        <w:t>境内已上市的</w:t>
      </w:r>
      <w:r>
        <w:rPr>
          <w:rFonts w:ascii="Times New Roman" w:eastAsia="仿宋_GB2312" w:hAnsi="Times New Roman" w:hint="eastAsia"/>
          <w:color w:val="000000"/>
          <w:sz w:val="32"/>
          <w:szCs w:val="32"/>
        </w:rPr>
        <w:t>人工血管。申请人可参考《植入式左心室辅助系统注册技术审查指导原则》，提交新增人工血管的兼容性研究资料（如接口设计（包括装配、组装）、泄漏、机械强度、耐疲劳（模拟临床使用的振动加速测试）、血流动力学等）、动物试验（</w:t>
      </w:r>
      <w:r>
        <w:rPr>
          <w:rFonts w:ascii="Times New Roman" w:eastAsia="仿宋_GB2312" w:hAnsi="Times New Roman"/>
          <w:color w:val="000000"/>
          <w:sz w:val="32"/>
          <w:szCs w:val="32"/>
        </w:rPr>
        <w:t>大型动物，如成年绵羊</w:t>
      </w:r>
      <w:r>
        <w:rPr>
          <w:rFonts w:ascii="Times New Roman" w:eastAsia="仿宋_GB2312" w:hAnsi="Times New Roman" w:hint="eastAsia"/>
          <w:color w:val="000000"/>
          <w:sz w:val="32"/>
          <w:szCs w:val="32"/>
        </w:rPr>
        <w:t>，评价</w:t>
      </w:r>
      <w:r w:rsidR="00450298" w:rsidRPr="00450298">
        <w:rPr>
          <w:rFonts w:ascii="Times New Roman" w:eastAsia="仿宋_GB2312" w:hAnsi="Times New Roman" w:hint="eastAsia"/>
          <w:color w:val="000000"/>
          <w:sz w:val="32"/>
          <w:szCs w:val="32"/>
        </w:rPr>
        <w:t>植入周期</w:t>
      </w:r>
      <w:r w:rsidR="00450298">
        <w:rPr>
          <w:rFonts w:ascii="Times New Roman" w:eastAsia="仿宋_GB2312" w:hAnsi="Times New Roman" w:hint="eastAsia"/>
          <w:color w:val="000000"/>
          <w:sz w:val="32"/>
          <w:szCs w:val="32"/>
        </w:rPr>
        <w:t>内</w:t>
      </w:r>
      <w:r>
        <w:rPr>
          <w:rFonts w:ascii="Times New Roman" w:eastAsia="仿宋_GB2312" w:hAnsi="Times New Roman" w:hint="eastAsia"/>
          <w:color w:val="000000"/>
          <w:sz w:val="32"/>
          <w:szCs w:val="32"/>
        </w:rPr>
        <w:t>器械故障、血泵出口流量无持续性倒流、溶血、血栓、实验室检查、肝肾功能、出血、感染等项目）、临床文献数据、临床经验数据和上市后投诉</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不良事件等资料等，验证差异未对产品安全有效性产生不利影响。</w:t>
      </w:r>
    </w:p>
    <w:p w14:paraId="478169F6" w14:textId="6D952F24"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2. </w:t>
      </w:r>
      <w:r>
        <w:rPr>
          <w:rFonts w:ascii="Times New Roman" w:eastAsia="仿宋_GB2312" w:hAnsi="Times New Roman" w:hint="eastAsia"/>
          <w:color w:val="000000"/>
          <w:sz w:val="32"/>
          <w:szCs w:val="32"/>
        </w:rPr>
        <w:t>申报产品在前代产品的基础上，对体外组件设计进行改进，如减小体外组件的体积和重量，增加配用部件等，相应变更未涉及产品系统控制、临床操作和使用的变化。申请人可参考《植入式左心室辅助系统注册技术审查指导原则》，提交非临床测试报告、临床文献数据、临床经验数据和上市后投诉</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不良事件等资料等，验证差异未对产品安全有效性产生不利影响。</w:t>
      </w:r>
    </w:p>
    <w:p w14:paraId="4ACAEC8A" w14:textId="77777777" w:rsidR="00D5514A" w:rsidRDefault="00F31390" w:rsidP="00A90CFB">
      <w:pPr>
        <w:pStyle w:val="13"/>
        <w:overflowPunct w:val="0"/>
        <w:spacing w:after="0" w:line="520" w:lineRule="exact"/>
        <w:ind w:firstLine="640"/>
        <w:outlineLvl w:val="0"/>
        <w:rPr>
          <w:rFonts w:ascii="Times New Roman" w:eastAsia="黑体" w:hAnsi="Times New Roman"/>
          <w:kern w:val="0"/>
          <w:sz w:val="32"/>
          <w:szCs w:val="32"/>
          <w:lang w:val="zh-CN"/>
        </w:rPr>
      </w:pPr>
      <w:r>
        <w:rPr>
          <w:rFonts w:ascii="Times New Roman" w:eastAsia="黑体" w:hAnsi="Times New Roman" w:hint="eastAsia"/>
          <w:kern w:val="0"/>
          <w:sz w:val="32"/>
          <w:szCs w:val="32"/>
          <w:lang w:val="zh-CN"/>
        </w:rPr>
        <w:t>五、参考文献</w:t>
      </w:r>
    </w:p>
    <w:p w14:paraId="65E152BB" w14:textId="77777777"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 xml:space="preserve">1] </w:t>
      </w:r>
      <w:r>
        <w:rPr>
          <w:rFonts w:ascii="Times New Roman" w:eastAsia="仿宋_GB2312" w:hAnsi="Times New Roman" w:hint="eastAsia"/>
          <w:color w:val="000000"/>
          <w:sz w:val="32"/>
          <w:szCs w:val="32"/>
        </w:rPr>
        <w:t>国家药品监督管理局</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医疗器械临床评价技术指导原则</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国家药品监督管理局通告</w:t>
      </w:r>
      <w:r>
        <w:rPr>
          <w:rFonts w:ascii="Times New Roman" w:eastAsia="仿宋_GB2312" w:hAnsi="Times New Roman" w:hint="eastAsia"/>
          <w:color w:val="000000"/>
          <w:sz w:val="32"/>
          <w:szCs w:val="32"/>
        </w:rPr>
        <w:t>2</w:t>
      </w:r>
      <w:r>
        <w:rPr>
          <w:rFonts w:ascii="Times New Roman" w:eastAsia="仿宋_GB2312" w:hAnsi="Times New Roman"/>
          <w:color w:val="000000"/>
          <w:sz w:val="32"/>
          <w:szCs w:val="32"/>
        </w:rPr>
        <w:t>021</w:t>
      </w:r>
      <w:r>
        <w:rPr>
          <w:rFonts w:ascii="Times New Roman" w:eastAsia="仿宋_GB2312" w:hAnsi="Times New Roman" w:hint="eastAsia"/>
          <w:color w:val="000000"/>
          <w:sz w:val="32"/>
          <w:szCs w:val="32"/>
        </w:rPr>
        <w:t>年第</w:t>
      </w:r>
      <w:r>
        <w:rPr>
          <w:rFonts w:ascii="Times New Roman" w:eastAsia="仿宋_GB2312" w:hAnsi="Times New Roman" w:hint="eastAsia"/>
          <w:color w:val="000000"/>
          <w:sz w:val="32"/>
          <w:szCs w:val="32"/>
        </w:rPr>
        <w:t>7</w:t>
      </w:r>
      <w:r>
        <w:rPr>
          <w:rFonts w:ascii="Times New Roman" w:eastAsia="仿宋_GB2312" w:hAnsi="Times New Roman"/>
          <w:color w:val="000000"/>
          <w:sz w:val="32"/>
          <w:szCs w:val="32"/>
        </w:rPr>
        <w:t>3</w:t>
      </w:r>
      <w:r>
        <w:rPr>
          <w:rFonts w:ascii="Times New Roman" w:eastAsia="仿宋_GB2312" w:hAnsi="Times New Roman" w:hint="eastAsia"/>
          <w:color w:val="000000"/>
          <w:sz w:val="32"/>
          <w:szCs w:val="32"/>
        </w:rPr>
        <w:t>号</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Z].</w:t>
      </w:r>
    </w:p>
    <w:p w14:paraId="102FBFA8" w14:textId="453BCED4"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[2]</w:t>
      </w:r>
      <w:r>
        <w:rPr>
          <w:rFonts w:ascii="Times New Roman" w:eastAsia="仿宋_GB2312" w:hAnsi="Times New Roman" w:hint="eastAsia"/>
          <w:color w:val="000000"/>
          <w:sz w:val="32"/>
          <w:szCs w:val="32"/>
        </w:rPr>
        <w:t xml:space="preserve"> </w:t>
      </w:r>
      <w:r>
        <w:rPr>
          <w:rFonts w:ascii="Times New Roman" w:eastAsia="仿宋_GB2312" w:hAnsi="Times New Roman" w:hint="eastAsia"/>
          <w:color w:val="000000"/>
          <w:sz w:val="32"/>
          <w:szCs w:val="32"/>
        </w:rPr>
        <w:t>国家药品监督管理局</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决策是否开展医疗器械临床试验技术指导原则</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国家药品监督管理局通告</w:t>
      </w:r>
      <w:r>
        <w:rPr>
          <w:rFonts w:ascii="Times New Roman" w:eastAsia="仿宋_GB2312" w:hAnsi="Times New Roman" w:hint="eastAsia"/>
          <w:color w:val="000000"/>
          <w:sz w:val="32"/>
          <w:szCs w:val="32"/>
        </w:rPr>
        <w:t>2</w:t>
      </w:r>
      <w:r>
        <w:rPr>
          <w:rFonts w:ascii="Times New Roman" w:eastAsia="仿宋_GB2312" w:hAnsi="Times New Roman"/>
          <w:color w:val="000000"/>
          <w:sz w:val="32"/>
          <w:szCs w:val="32"/>
        </w:rPr>
        <w:t>021</w:t>
      </w:r>
      <w:r>
        <w:rPr>
          <w:rFonts w:ascii="Times New Roman" w:eastAsia="仿宋_GB2312" w:hAnsi="Times New Roman" w:hint="eastAsia"/>
          <w:color w:val="000000"/>
          <w:sz w:val="32"/>
          <w:szCs w:val="32"/>
        </w:rPr>
        <w:t>年第</w:t>
      </w:r>
      <w:r>
        <w:rPr>
          <w:rFonts w:ascii="Times New Roman" w:eastAsia="仿宋_GB2312" w:hAnsi="Times New Roman" w:hint="eastAsia"/>
          <w:color w:val="000000"/>
          <w:sz w:val="32"/>
          <w:szCs w:val="32"/>
        </w:rPr>
        <w:t>7</w:t>
      </w:r>
      <w:r>
        <w:rPr>
          <w:rFonts w:ascii="Times New Roman" w:eastAsia="仿宋_GB2312" w:hAnsi="Times New Roman"/>
          <w:color w:val="000000"/>
          <w:sz w:val="32"/>
          <w:szCs w:val="32"/>
        </w:rPr>
        <w:t>3</w:t>
      </w:r>
      <w:r>
        <w:rPr>
          <w:rFonts w:ascii="Times New Roman" w:eastAsia="仿宋_GB2312" w:hAnsi="Times New Roman" w:hint="eastAsia"/>
          <w:color w:val="000000"/>
          <w:sz w:val="32"/>
          <w:szCs w:val="32"/>
        </w:rPr>
        <w:t>号</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Z].</w:t>
      </w:r>
    </w:p>
    <w:p w14:paraId="12D83CD7" w14:textId="6030B023"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3]</w:t>
      </w:r>
      <w:r>
        <w:rPr>
          <w:rFonts w:ascii="Times New Roman" w:eastAsia="仿宋_GB2312" w:hAnsi="Times New Roman" w:hint="eastAsia"/>
          <w:color w:val="000000"/>
          <w:sz w:val="32"/>
          <w:szCs w:val="32"/>
        </w:rPr>
        <w:t xml:space="preserve"> </w:t>
      </w:r>
      <w:r>
        <w:rPr>
          <w:rFonts w:ascii="Times New Roman" w:eastAsia="仿宋_GB2312" w:hAnsi="Times New Roman" w:hint="eastAsia"/>
          <w:color w:val="000000"/>
          <w:sz w:val="32"/>
          <w:szCs w:val="32"/>
        </w:rPr>
        <w:t>国家食品药品监督管理总局</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医疗器械临床试验设计指导原则</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食品药品监管总局通告</w:t>
      </w:r>
      <w:r>
        <w:rPr>
          <w:rFonts w:ascii="Times New Roman" w:eastAsia="仿宋_GB2312" w:hAnsi="Times New Roman" w:hint="eastAsia"/>
          <w:color w:val="000000"/>
          <w:sz w:val="32"/>
          <w:szCs w:val="32"/>
        </w:rPr>
        <w:t>2018</w:t>
      </w:r>
      <w:r>
        <w:rPr>
          <w:rFonts w:ascii="Times New Roman" w:eastAsia="仿宋_GB2312" w:hAnsi="Times New Roman" w:hint="eastAsia"/>
          <w:color w:val="000000"/>
          <w:sz w:val="32"/>
          <w:szCs w:val="32"/>
        </w:rPr>
        <w:t>年第</w:t>
      </w:r>
      <w:r>
        <w:rPr>
          <w:rFonts w:ascii="Times New Roman" w:eastAsia="仿宋_GB2312" w:hAnsi="Times New Roman" w:hint="eastAsia"/>
          <w:color w:val="000000"/>
          <w:sz w:val="32"/>
          <w:szCs w:val="32"/>
        </w:rPr>
        <w:t>6</w:t>
      </w:r>
      <w:r>
        <w:rPr>
          <w:rFonts w:ascii="Times New Roman" w:eastAsia="仿宋_GB2312" w:hAnsi="Times New Roman" w:hint="eastAsia"/>
          <w:color w:val="000000"/>
          <w:sz w:val="32"/>
          <w:szCs w:val="32"/>
        </w:rPr>
        <w:t>号</w:t>
      </w:r>
      <w:r>
        <w:rPr>
          <w:rFonts w:ascii="Times New Roman" w:eastAsia="仿宋_GB2312" w:hAnsi="Times New Roman" w:hint="eastAsia"/>
          <w:color w:val="000000"/>
          <w:sz w:val="32"/>
          <w:szCs w:val="32"/>
        </w:rPr>
        <w:t>[Z].</w:t>
      </w:r>
    </w:p>
    <w:p w14:paraId="0CA2CF69" w14:textId="40D8986C" w:rsidR="00D5514A" w:rsidRDefault="00F31390" w:rsidP="00A90CFB">
      <w:pPr>
        <w:pStyle w:val="13"/>
        <w:overflowPunct w:val="0"/>
        <w:spacing w:after="0" w:line="520" w:lineRule="exact"/>
        <w:ind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 xml:space="preserve">4] </w:t>
      </w:r>
      <w:r>
        <w:rPr>
          <w:rFonts w:ascii="Times New Roman" w:eastAsia="仿宋_GB2312" w:hAnsi="Times New Roman" w:hint="eastAsia"/>
          <w:color w:val="000000"/>
          <w:sz w:val="32"/>
          <w:szCs w:val="32"/>
        </w:rPr>
        <w:t>国家食品药品监督管理总局</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接受医疗器械境外临床试验数据技术指导原则</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食品药品监管总局通告</w:t>
      </w:r>
      <w:r>
        <w:rPr>
          <w:rFonts w:ascii="Times New Roman" w:eastAsia="仿宋_GB2312" w:hAnsi="Times New Roman" w:hint="eastAsia"/>
          <w:color w:val="000000"/>
          <w:sz w:val="32"/>
          <w:szCs w:val="32"/>
        </w:rPr>
        <w:t>2018</w:t>
      </w:r>
      <w:r>
        <w:rPr>
          <w:rFonts w:ascii="Times New Roman" w:eastAsia="仿宋_GB2312" w:hAnsi="Times New Roman" w:hint="eastAsia"/>
          <w:color w:val="000000"/>
          <w:sz w:val="32"/>
          <w:szCs w:val="32"/>
        </w:rPr>
        <w:t>年第</w:t>
      </w:r>
      <w:r>
        <w:rPr>
          <w:rFonts w:ascii="Times New Roman" w:eastAsia="仿宋_GB2312" w:hAnsi="Times New Roman"/>
          <w:color w:val="000000"/>
          <w:sz w:val="32"/>
          <w:szCs w:val="32"/>
        </w:rPr>
        <w:t>52</w:t>
      </w:r>
      <w:r>
        <w:rPr>
          <w:rFonts w:ascii="Times New Roman" w:eastAsia="仿宋_GB2312" w:hAnsi="Times New Roman" w:hint="eastAsia"/>
          <w:color w:val="000000"/>
          <w:sz w:val="32"/>
          <w:szCs w:val="32"/>
        </w:rPr>
        <w:t>号</w:t>
      </w:r>
      <w:r>
        <w:rPr>
          <w:rFonts w:ascii="Times New Roman" w:eastAsia="仿宋_GB2312" w:hAnsi="Times New Roman" w:hint="eastAsia"/>
          <w:color w:val="000000"/>
          <w:sz w:val="32"/>
          <w:szCs w:val="32"/>
        </w:rPr>
        <w:t>[Z].</w:t>
      </w:r>
    </w:p>
    <w:p w14:paraId="5CFBB7AC" w14:textId="647A7E0C" w:rsidR="00D5514A" w:rsidRDefault="00F31390" w:rsidP="00A90CFB">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[5] </w:t>
      </w:r>
      <w:r w:rsidR="0070665F">
        <w:rPr>
          <w:rFonts w:ascii="Times New Roman" w:eastAsia="仿宋_GB2312" w:hAnsi="Times New Roman" w:hint="eastAsia"/>
          <w:color w:val="000000"/>
          <w:sz w:val="32"/>
          <w:szCs w:val="32"/>
        </w:rPr>
        <w:t>国家药品监督管理局</w:t>
      </w:r>
      <w:r w:rsidR="0070665F">
        <w:rPr>
          <w:rFonts w:ascii="Times New Roman" w:eastAsia="仿宋_GB2312" w:hAnsi="Times New Roman" w:hint="eastAsia"/>
          <w:color w:val="000000"/>
          <w:sz w:val="32"/>
          <w:szCs w:val="32"/>
        </w:rPr>
        <w:t>.</w:t>
      </w:r>
      <w:r w:rsidR="0070665F">
        <w:rPr>
          <w:rFonts w:ascii="Times New Roman" w:eastAsia="仿宋_GB2312" w:hAnsi="Times New Roman" w:hint="eastAsia"/>
          <w:color w:val="000000"/>
          <w:sz w:val="32"/>
          <w:szCs w:val="32"/>
        </w:rPr>
        <w:t>植入式左心室辅助系统注册技术审查指导原则</w:t>
      </w:r>
      <w:r w:rsidR="0070665F">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国家药监局关于发布</w:t>
      </w:r>
      <w:bookmarkStart w:id="0" w:name="_Hlk213340251"/>
      <w:r>
        <w:rPr>
          <w:rFonts w:ascii="Times New Roman" w:eastAsia="仿宋_GB2312" w:hAnsi="Times New Roman" w:hint="eastAsia"/>
          <w:color w:val="000000"/>
          <w:sz w:val="32"/>
          <w:szCs w:val="32"/>
        </w:rPr>
        <w:t>植入式左心室辅助系统注册技术审查指导原则</w:t>
      </w:r>
      <w:bookmarkEnd w:id="0"/>
      <w:r>
        <w:rPr>
          <w:rFonts w:ascii="Times New Roman" w:eastAsia="仿宋_GB2312" w:hAnsi="Times New Roman" w:hint="eastAsia"/>
          <w:color w:val="000000"/>
          <w:sz w:val="32"/>
          <w:szCs w:val="32"/>
        </w:rPr>
        <w:t>的通告（</w:t>
      </w:r>
      <w:r>
        <w:rPr>
          <w:rFonts w:ascii="Times New Roman" w:eastAsia="仿宋_GB2312" w:hAnsi="Times New Roman" w:hint="eastAsia"/>
          <w:color w:val="000000"/>
          <w:sz w:val="32"/>
          <w:szCs w:val="32"/>
        </w:rPr>
        <w:t>2020</w:t>
      </w:r>
      <w:r>
        <w:rPr>
          <w:rFonts w:ascii="Times New Roman" w:eastAsia="仿宋_GB2312" w:hAnsi="Times New Roman" w:hint="eastAsia"/>
          <w:color w:val="000000"/>
          <w:sz w:val="32"/>
          <w:szCs w:val="32"/>
        </w:rPr>
        <w:t>年</w:t>
      </w:r>
      <w:r>
        <w:rPr>
          <w:rFonts w:ascii="Times New Roman" w:eastAsia="仿宋_GB2312" w:hAnsi="Times New Roman" w:hint="eastAsia"/>
          <w:color w:val="000000"/>
          <w:sz w:val="32"/>
          <w:szCs w:val="32"/>
        </w:rPr>
        <w:t xml:space="preserve"> </w:t>
      </w:r>
      <w:r>
        <w:rPr>
          <w:rFonts w:ascii="Times New Roman" w:eastAsia="仿宋_GB2312" w:hAnsi="Times New Roman" w:hint="eastAsia"/>
          <w:color w:val="000000"/>
          <w:sz w:val="32"/>
          <w:szCs w:val="32"/>
        </w:rPr>
        <w:t>第</w:t>
      </w:r>
      <w:r>
        <w:rPr>
          <w:rFonts w:ascii="Times New Roman" w:eastAsia="仿宋_GB2312" w:hAnsi="Times New Roman" w:hint="eastAsia"/>
          <w:color w:val="000000"/>
          <w:sz w:val="32"/>
          <w:szCs w:val="32"/>
        </w:rPr>
        <w:t>17</w:t>
      </w:r>
      <w:r>
        <w:rPr>
          <w:rFonts w:ascii="Times New Roman" w:eastAsia="仿宋_GB2312" w:hAnsi="Times New Roman" w:hint="eastAsia"/>
          <w:color w:val="000000"/>
          <w:sz w:val="32"/>
          <w:szCs w:val="32"/>
        </w:rPr>
        <w:t>号）</w:t>
      </w:r>
      <w:r>
        <w:rPr>
          <w:rFonts w:ascii="Times New Roman" w:eastAsia="仿宋_GB2312" w:hAnsi="Times New Roman" w:hint="eastAsia"/>
          <w:color w:val="000000"/>
          <w:sz w:val="32"/>
          <w:szCs w:val="32"/>
        </w:rPr>
        <w:t>[Z].</w:t>
      </w:r>
    </w:p>
    <w:p w14:paraId="1A1E7232" w14:textId="5AC3F04E" w:rsidR="00D5514A" w:rsidRDefault="00F31390" w:rsidP="00A90CFB">
      <w:pPr>
        <w:spacing w:line="520" w:lineRule="exact"/>
        <w:ind w:firstLineChars="200" w:firstLine="640"/>
        <w:rPr>
          <w:rFonts w:hint="eastAsia"/>
        </w:rPr>
      </w:pPr>
      <w:r>
        <w:rPr>
          <w:rFonts w:ascii="Times New Roman" w:eastAsia="仿宋_GB2312" w:hAnsi="Times New Roman" w:hint="eastAsia"/>
          <w:color w:val="000000"/>
          <w:sz w:val="32"/>
          <w:szCs w:val="32"/>
        </w:rPr>
        <w:t xml:space="preserve">[6] </w:t>
      </w:r>
      <w:r>
        <w:rPr>
          <w:rFonts w:ascii="Times New Roman" w:eastAsia="仿宋_GB2312" w:hAnsi="Times New Roman"/>
          <w:color w:val="000000"/>
          <w:sz w:val="32"/>
          <w:szCs w:val="32"/>
        </w:rPr>
        <w:t>McDonagh T A, Metra M, Adamo M, et al. 2021 ESC Guidelines for the diagnosis and treatment of acute and chronic heart failure: Developed by the Task Force for the diagnosis and treatment of acute and chronic heart failure of the European Society of Cardiology (ESC) With the special contribution of the Heart Failure Association (HFA) of the ESC[J]. European heart journal, 2021, 42(36): 3599-3726.</w:t>
      </w:r>
    </w:p>
    <w:sectPr w:rsidR="00D5514A" w:rsidSect="0083589D">
      <w:footerReference w:type="even" r:id="rId6"/>
      <w:footerReference w:type="default" r:id="rId7"/>
      <w:pgSz w:w="11906" w:h="16838"/>
      <w:pgMar w:top="1440" w:right="1800" w:bottom="1440" w:left="1800" w:header="851" w:footer="992"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B4D9" w14:textId="77777777" w:rsidR="00B14B03" w:rsidRDefault="00B14B03">
      <w:pPr>
        <w:rPr>
          <w:rFonts w:hint="eastAsia"/>
        </w:rPr>
      </w:pPr>
      <w:r>
        <w:separator/>
      </w:r>
    </w:p>
  </w:endnote>
  <w:endnote w:type="continuationSeparator" w:id="0">
    <w:p w14:paraId="73F83140" w14:textId="77777777" w:rsidR="00B14B03" w:rsidRDefault="00B14B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2000000000000000000"/>
    <w:charset w:val="86"/>
    <w:family w:val="script"/>
    <w:pitch w:val="fixed"/>
    <w:sig w:usb0="A00002BF" w:usb1="184F6CFA" w:usb2="00000012"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59006"/>
    </w:sdtPr>
    <w:sdtEndPr>
      <w:rPr>
        <w:rFonts w:ascii="Times New Roman" w:hAnsi="Times New Roman" w:cs="Times New Roman"/>
        <w:sz w:val="28"/>
        <w:szCs w:val="28"/>
      </w:rPr>
    </w:sdtEndPr>
    <w:sdtContent>
      <w:p w14:paraId="09CE30F6" w14:textId="23DEA47E" w:rsidR="00D5514A" w:rsidRDefault="00F31390">
        <w:pPr>
          <w:pStyle w:val="a3"/>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F2295D" w:rsidRPr="00F2295D">
          <w:rPr>
            <w:rFonts w:ascii="Times New Roman" w:hAnsi="Times New Roman" w:cs="Times New Roman"/>
            <w:noProof/>
            <w:sz w:val="28"/>
            <w:szCs w:val="28"/>
            <w:lang w:val="zh-CN"/>
          </w:rPr>
          <w:t>-</w:t>
        </w:r>
        <w:r w:rsidR="00F2295D">
          <w:rPr>
            <w:rFonts w:ascii="Times New Roman" w:hAnsi="Times New Roman" w:cs="Times New Roman"/>
            <w:noProof/>
            <w:sz w:val="28"/>
            <w:szCs w:val="28"/>
          </w:rPr>
          <w:t xml:space="preserve"> 6 -</w:t>
        </w:r>
        <w:r>
          <w:rPr>
            <w:rFonts w:ascii="Times New Roman" w:hAnsi="Times New Roman" w:cs="Times New Roman"/>
            <w:sz w:val="28"/>
            <w:szCs w:val="28"/>
          </w:rPr>
          <w:fldChar w:fldCharType="end"/>
        </w:r>
      </w:p>
    </w:sdtContent>
  </w:sdt>
  <w:p w14:paraId="46390843" w14:textId="77777777" w:rsidR="00D5514A" w:rsidRDefault="00D5514A">
    <w:pPr>
      <w:pStyle w:val="a3"/>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706130"/>
    </w:sdtPr>
    <w:sdtEndPr>
      <w:rPr>
        <w:rFonts w:ascii="Times New Roman" w:hAnsi="Times New Roman" w:cs="Times New Roman"/>
        <w:sz w:val="28"/>
        <w:szCs w:val="28"/>
      </w:rPr>
    </w:sdtEndPr>
    <w:sdtContent>
      <w:p w14:paraId="0C98A1A6" w14:textId="0E8CC004" w:rsidR="00D5514A" w:rsidRDefault="00F31390">
        <w:pPr>
          <w:pStyle w:val="a3"/>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F2295D" w:rsidRPr="00F2295D">
          <w:rPr>
            <w:rFonts w:ascii="Times New Roman" w:hAnsi="Times New Roman" w:cs="Times New Roman"/>
            <w:noProof/>
            <w:sz w:val="28"/>
            <w:szCs w:val="28"/>
            <w:lang w:val="zh-CN"/>
          </w:rPr>
          <w:t>-</w:t>
        </w:r>
        <w:r w:rsidR="00F2295D">
          <w:rPr>
            <w:rFonts w:ascii="Times New Roman" w:hAnsi="Times New Roman" w:cs="Times New Roman"/>
            <w:noProof/>
            <w:sz w:val="28"/>
            <w:szCs w:val="28"/>
          </w:rPr>
          <w:t xml:space="preserve"> 1 -</w:t>
        </w:r>
        <w:r>
          <w:rPr>
            <w:rFonts w:ascii="Times New Roman" w:hAnsi="Times New Roman" w:cs="Times New Roman"/>
            <w:sz w:val="28"/>
            <w:szCs w:val="28"/>
          </w:rPr>
          <w:fldChar w:fldCharType="end"/>
        </w:r>
      </w:p>
    </w:sdtContent>
  </w:sdt>
  <w:p w14:paraId="567E03E4" w14:textId="77777777" w:rsidR="00D5514A" w:rsidRDefault="00D5514A">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AE15" w14:textId="77777777" w:rsidR="00B14B03" w:rsidRDefault="00B14B03">
      <w:pPr>
        <w:rPr>
          <w:rFonts w:hint="eastAsia"/>
        </w:rPr>
      </w:pPr>
      <w:r>
        <w:separator/>
      </w:r>
    </w:p>
  </w:footnote>
  <w:footnote w:type="continuationSeparator" w:id="0">
    <w:p w14:paraId="7CFB13A4" w14:textId="77777777" w:rsidR="00B14B03" w:rsidRDefault="00B14B0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85A"/>
    <w:rsid w:val="00020055"/>
    <w:rsid w:val="00090BB8"/>
    <w:rsid w:val="000B67C0"/>
    <w:rsid w:val="000C2C47"/>
    <w:rsid w:val="000C6870"/>
    <w:rsid w:val="000C73DA"/>
    <w:rsid w:val="000F2DA3"/>
    <w:rsid w:val="00144580"/>
    <w:rsid w:val="00160076"/>
    <w:rsid w:val="001836AA"/>
    <w:rsid w:val="001A7132"/>
    <w:rsid w:val="001C052C"/>
    <w:rsid w:val="001D6618"/>
    <w:rsid w:val="001E318A"/>
    <w:rsid w:val="001E74FB"/>
    <w:rsid w:val="001F0CB6"/>
    <w:rsid w:val="00220851"/>
    <w:rsid w:val="00241985"/>
    <w:rsid w:val="002504FD"/>
    <w:rsid w:val="00257107"/>
    <w:rsid w:val="00285919"/>
    <w:rsid w:val="00290376"/>
    <w:rsid w:val="002D6679"/>
    <w:rsid w:val="002F3552"/>
    <w:rsid w:val="00342FF7"/>
    <w:rsid w:val="00370273"/>
    <w:rsid w:val="003729D5"/>
    <w:rsid w:val="003828C6"/>
    <w:rsid w:val="00397F66"/>
    <w:rsid w:val="003B15B2"/>
    <w:rsid w:val="004311C4"/>
    <w:rsid w:val="00434F16"/>
    <w:rsid w:val="004454BB"/>
    <w:rsid w:val="00450298"/>
    <w:rsid w:val="0047058C"/>
    <w:rsid w:val="004858E7"/>
    <w:rsid w:val="004879A2"/>
    <w:rsid w:val="004B4010"/>
    <w:rsid w:val="004C375B"/>
    <w:rsid w:val="004C4F45"/>
    <w:rsid w:val="004D7110"/>
    <w:rsid w:val="005125D2"/>
    <w:rsid w:val="005268BF"/>
    <w:rsid w:val="00543AD9"/>
    <w:rsid w:val="005831C7"/>
    <w:rsid w:val="00595227"/>
    <w:rsid w:val="005E4E5B"/>
    <w:rsid w:val="00603036"/>
    <w:rsid w:val="00610DD7"/>
    <w:rsid w:val="0063315B"/>
    <w:rsid w:val="006D6C7E"/>
    <w:rsid w:val="006F0FDB"/>
    <w:rsid w:val="0070665F"/>
    <w:rsid w:val="0073700B"/>
    <w:rsid w:val="0076754F"/>
    <w:rsid w:val="00774288"/>
    <w:rsid w:val="007A0AC3"/>
    <w:rsid w:val="007B49E3"/>
    <w:rsid w:val="007C75C5"/>
    <w:rsid w:val="008231DF"/>
    <w:rsid w:val="0083589D"/>
    <w:rsid w:val="0085188F"/>
    <w:rsid w:val="008559DA"/>
    <w:rsid w:val="008921D2"/>
    <w:rsid w:val="008A1AE3"/>
    <w:rsid w:val="008B31D3"/>
    <w:rsid w:val="00900231"/>
    <w:rsid w:val="00906CBF"/>
    <w:rsid w:val="009175CC"/>
    <w:rsid w:val="009A7A00"/>
    <w:rsid w:val="009B475F"/>
    <w:rsid w:val="009C1C52"/>
    <w:rsid w:val="009E2386"/>
    <w:rsid w:val="009F05B7"/>
    <w:rsid w:val="00A90CDD"/>
    <w:rsid w:val="00A90CFB"/>
    <w:rsid w:val="00AB2E9A"/>
    <w:rsid w:val="00AF115F"/>
    <w:rsid w:val="00B0693C"/>
    <w:rsid w:val="00B14B03"/>
    <w:rsid w:val="00B91765"/>
    <w:rsid w:val="00BB4685"/>
    <w:rsid w:val="00BD185A"/>
    <w:rsid w:val="00BD1F9C"/>
    <w:rsid w:val="00C41769"/>
    <w:rsid w:val="00C422BD"/>
    <w:rsid w:val="00C5517B"/>
    <w:rsid w:val="00C80E02"/>
    <w:rsid w:val="00C82D21"/>
    <w:rsid w:val="00C8385A"/>
    <w:rsid w:val="00D01736"/>
    <w:rsid w:val="00D04232"/>
    <w:rsid w:val="00D15739"/>
    <w:rsid w:val="00D36A8F"/>
    <w:rsid w:val="00D42251"/>
    <w:rsid w:val="00D5514A"/>
    <w:rsid w:val="00D960DC"/>
    <w:rsid w:val="00DA6B3C"/>
    <w:rsid w:val="00DC50A1"/>
    <w:rsid w:val="00DD10C5"/>
    <w:rsid w:val="00E3500B"/>
    <w:rsid w:val="00EB1470"/>
    <w:rsid w:val="00EB79C0"/>
    <w:rsid w:val="00EF1E66"/>
    <w:rsid w:val="00EF2EE5"/>
    <w:rsid w:val="00F2295D"/>
    <w:rsid w:val="00F25EA3"/>
    <w:rsid w:val="00F31390"/>
    <w:rsid w:val="00FD3DB8"/>
    <w:rsid w:val="00FF1312"/>
    <w:rsid w:val="00FF7750"/>
    <w:rsid w:val="1FAD5620"/>
    <w:rsid w:val="3FCF3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C683"/>
  <w15:docId w15:val="{3EE2999D-1CDA-4CD7-9C16-B8005EBE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a">
    <w:name w:val="标题 字符"/>
    <w:basedOn w:val="a0"/>
    <w:link w:val="a9"/>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jc w:val="center"/>
    </w:pPr>
    <w:rPr>
      <w:i/>
      <w:iCs/>
      <w:color w:val="404040" w:themeColor="text1" w:themeTint="BF"/>
    </w:rPr>
  </w:style>
  <w:style w:type="character" w:customStyle="1" w:styleId="ac">
    <w:name w:val="引用 字符"/>
    <w:basedOn w:val="a0"/>
    <w:link w:val="ab"/>
    <w:uiPriority w:val="29"/>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13">
    <w:name w:val="列出段落1"/>
    <w:basedOn w:val="a"/>
    <w:qFormat/>
    <w:pPr>
      <w:spacing w:after="15" w:line="600" w:lineRule="exact"/>
      <w:ind w:firstLineChars="200" w:firstLine="420"/>
    </w:pPr>
    <w:rPr>
      <w:rFonts w:ascii="Calibri" w:eastAsia="宋体" w:hAnsi="Calibri" w:cs="Times New Roman"/>
    </w:rPr>
  </w:style>
  <w:style w:type="character" w:customStyle="1" w:styleId="a6">
    <w:name w:val="页眉 字符"/>
    <w:basedOn w:val="a0"/>
    <w:link w:val="a5"/>
    <w:uiPriority w:val="99"/>
    <w:rPr>
      <w:sz w:val="18"/>
      <w:szCs w:val="18"/>
      <w14:ligatures w14:val="none"/>
    </w:rPr>
  </w:style>
  <w:style w:type="character" w:customStyle="1" w:styleId="a4">
    <w:name w:val="页脚 字符"/>
    <w:basedOn w:val="a0"/>
    <w:link w:val="a3"/>
    <w:uiPriority w:val="99"/>
    <w:rPr>
      <w:sz w:val="18"/>
      <w:szCs w:val="18"/>
      <w14:ligatures w14:val="none"/>
    </w:rPr>
  </w:style>
  <w:style w:type="paragraph" w:styleId="af0">
    <w:name w:val="Date"/>
    <w:basedOn w:val="a"/>
    <w:next w:val="a"/>
    <w:link w:val="af1"/>
    <w:uiPriority w:val="99"/>
    <w:semiHidden/>
    <w:unhideWhenUsed/>
    <w:rsid w:val="004D7110"/>
    <w:pPr>
      <w:ind w:leftChars="2500" w:left="100"/>
    </w:pPr>
  </w:style>
  <w:style w:type="character" w:customStyle="1" w:styleId="af1">
    <w:name w:val="日期 字符"/>
    <w:basedOn w:val="a0"/>
    <w:link w:val="af0"/>
    <w:uiPriority w:val="99"/>
    <w:semiHidden/>
    <w:rsid w:val="004D7110"/>
    <w:rPr>
      <w:kern w:val="2"/>
      <w:sz w:val="21"/>
      <w:szCs w:val="22"/>
    </w:rPr>
  </w:style>
  <w:style w:type="paragraph" w:styleId="af2">
    <w:name w:val="Revision"/>
    <w:hidden/>
    <w:uiPriority w:val="99"/>
    <w:unhideWhenUsed/>
    <w:rsid w:val="00A90CDD"/>
    <w:rPr>
      <w:kern w:val="2"/>
      <w:sz w:val="21"/>
      <w:szCs w:val="22"/>
    </w:rPr>
  </w:style>
  <w:style w:type="character" w:styleId="af3">
    <w:name w:val="line number"/>
    <w:basedOn w:val="a0"/>
    <w:uiPriority w:val="99"/>
    <w:semiHidden/>
    <w:unhideWhenUsed/>
    <w:rsid w:val="00835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 Yang</dc:creator>
  <cp:lastModifiedBy>Yuan Yang</cp:lastModifiedBy>
  <cp:revision>2</cp:revision>
  <dcterms:created xsi:type="dcterms:W3CDTF">2025-12-18T01:28:00Z</dcterms:created>
  <dcterms:modified xsi:type="dcterms:W3CDTF">2025-12-18T01:28:00Z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FF5198AF97C24F9097B602BB8C9B3508</vt:lpwstr>
  </property>
</Properties>
</file>