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F65DB4" w14:textId="77777777" w:rsidR="007E4A58" w:rsidRDefault="007E4A58">
      <w:pPr>
        <w:snapToGrid w:val="0"/>
        <w:spacing w:line="520" w:lineRule="exact"/>
        <w:rPr>
          <w:rFonts w:ascii="Times New Roman" w:eastAsia="仿宋_GB2312" w:hAnsi="Times New Roman"/>
          <w:color w:val="000000"/>
          <w:sz w:val="32"/>
          <w:szCs w:val="32"/>
        </w:rPr>
      </w:pPr>
    </w:p>
    <w:p w14:paraId="2EA8C16C" w14:textId="77777777" w:rsidR="007E4A58" w:rsidRDefault="00E65812">
      <w:pPr>
        <w:snapToGrid w:val="0"/>
        <w:spacing w:line="520" w:lineRule="exact"/>
        <w:jc w:val="center"/>
        <w:rPr>
          <w:rFonts w:ascii="Times New Roman" w:eastAsia="方正小标宋简体" w:hAnsi="Times New Roman"/>
          <w:color w:val="000000"/>
          <w:sz w:val="44"/>
          <w:szCs w:val="44"/>
        </w:rPr>
      </w:pPr>
      <w:r>
        <w:rPr>
          <w:rFonts w:ascii="Times New Roman" w:eastAsia="方正小标宋简体" w:hAnsi="Times New Roman"/>
          <w:color w:val="000000"/>
          <w:sz w:val="44"/>
          <w:szCs w:val="44"/>
        </w:rPr>
        <w:t>牙齿漂白材料审评要点</w:t>
      </w:r>
    </w:p>
    <w:p w14:paraId="2F3E9B73" w14:textId="77777777" w:rsidR="007E4A58" w:rsidRDefault="00E65812">
      <w:pPr>
        <w:snapToGrid w:val="0"/>
        <w:spacing w:line="520" w:lineRule="exact"/>
        <w:jc w:val="center"/>
        <w:rPr>
          <w:rFonts w:ascii="Times New Roman" w:eastAsia="方正小标宋简体" w:hAnsi="Times New Roman"/>
          <w:color w:val="000000"/>
          <w:sz w:val="44"/>
          <w:szCs w:val="44"/>
        </w:rPr>
      </w:pPr>
      <w:r>
        <w:rPr>
          <w:rFonts w:ascii="Times New Roman" w:eastAsia="方正小标宋简体" w:hAnsi="Times New Roman" w:hint="eastAsia"/>
          <w:color w:val="000000"/>
          <w:sz w:val="44"/>
          <w:szCs w:val="44"/>
        </w:rPr>
        <w:t>（征求</w:t>
      </w:r>
      <w:r>
        <w:rPr>
          <w:rFonts w:ascii="Times New Roman" w:eastAsia="方正小标宋简体" w:hAnsi="Times New Roman"/>
          <w:color w:val="000000"/>
          <w:sz w:val="44"/>
          <w:szCs w:val="44"/>
        </w:rPr>
        <w:t>意见稿</w:t>
      </w:r>
      <w:r>
        <w:rPr>
          <w:rFonts w:ascii="Times New Roman" w:eastAsia="方正小标宋简体" w:hAnsi="Times New Roman" w:hint="eastAsia"/>
          <w:color w:val="000000"/>
          <w:sz w:val="44"/>
          <w:szCs w:val="44"/>
        </w:rPr>
        <w:t>）</w:t>
      </w:r>
    </w:p>
    <w:p w14:paraId="569C2CE3" w14:textId="77777777" w:rsidR="007E4A58" w:rsidRDefault="007E4A58">
      <w:pPr>
        <w:spacing w:line="520" w:lineRule="exact"/>
        <w:jc w:val="center"/>
        <w:rPr>
          <w:rFonts w:ascii="Times New Roman" w:eastAsia="仿宋_GB2312" w:hAnsi="Times New Roman"/>
          <w:sz w:val="32"/>
          <w:szCs w:val="32"/>
        </w:rPr>
      </w:pPr>
    </w:p>
    <w:p w14:paraId="7EFC6E98" w14:textId="77777777" w:rsidR="007E4A58" w:rsidRDefault="00E65812">
      <w:pPr>
        <w:snapToGrid w:val="0"/>
        <w:spacing w:line="520" w:lineRule="exact"/>
        <w:ind w:firstLineChars="200" w:firstLine="640"/>
        <w:rPr>
          <w:rFonts w:ascii="Times New Roman" w:eastAsia="黑体" w:hAnsi="Times New Roman"/>
          <w:color w:val="000000"/>
          <w:sz w:val="32"/>
          <w:szCs w:val="32"/>
        </w:rPr>
      </w:pPr>
      <w:r>
        <w:rPr>
          <w:rFonts w:ascii="Times New Roman" w:eastAsia="黑体" w:hAnsi="Times New Roman"/>
          <w:color w:val="000000"/>
          <w:sz w:val="32"/>
          <w:szCs w:val="32"/>
        </w:rPr>
        <w:t>一、适用范围</w:t>
      </w:r>
    </w:p>
    <w:p w14:paraId="460471D1" w14:textId="77777777" w:rsidR="007E4A58" w:rsidRDefault="00E65812">
      <w:pPr>
        <w:snapToGrid w:val="0"/>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本</w:t>
      </w:r>
      <w:r>
        <w:rPr>
          <w:rFonts w:ascii="Times New Roman" w:eastAsia="仿宋_GB2312" w:hAnsi="Times New Roman"/>
          <w:kern w:val="0"/>
          <w:sz w:val="32"/>
          <w:szCs w:val="32"/>
        </w:rPr>
        <w:t>要点适用于牙齿漂白</w:t>
      </w:r>
      <w:r>
        <w:rPr>
          <w:rFonts w:ascii="Times New Roman" w:eastAsia="仿宋_GB2312" w:hAnsi="Times New Roman" w:hint="eastAsia"/>
          <w:kern w:val="0"/>
          <w:sz w:val="32"/>
          <w:szCs w:val="32"/>
        </w:rPr>
        <w:t>材料。产品</w:t>
      </w:r>
      <w:r>
        <w:rPr>
          <w:rFonts w:ascii="Times New Roman" w:eastAsia="仿宋_GB2312" w:hAnsi="Times New Roman"/>
          <w:kern w:val="0"/>
          <w:sz w:val="32"/>
          <w:szCs w:val="32"/>
        </w:rPr>
        <w:t>预期用于</w:t>
      </w:r>
      <w:r>
        <w:rPr>
          <w:rFonts w:ascii="Times New Roman" w:eastAsia="仿宋_GB2312" w:hAnsi="Times New Roman"/>
          <w:kern w:val="0"/>
          <w:sz w:val="32"/>
          <w:szCs w:val="32"/>
        </w:rPr>
        <w:t>16</w:t>
      </w:r>
      <w:r>
        <w:rPr>
          <w:rFonts w:ascii="Times New Roman" w:eastAsia="仿宋_GB2312" w:hAnsi="Times New Roman"/>
          <w:kern w:val="0"/>
          <w:sz w:val="32"/>
          <w:szCs w:val="32"/>
        </w:rPr>
        <w:t>岁以上身体健康人群，因烟草、可乐、茶、咖啡、酱油等有色物质造成的外源性染色牙的牙齿漂白。</w:t>
      </w:r>
    </w:p>
    <w:p w14:paraId="3F3D27D0" w14:textId="77777777" w:rsidR="007E4A58" w:rsidRDefault="00E65812">
      <w:pPr>
        <w:snapToGrid w:val="0"/>
        <w:spacing w:line="520" w:lineRule="exact"/>
        <w:ind w:firstLineChars="200" w:firstLine="640"/>
        <w:rPr>
          <w:rFonts w:ascii="Times New Roman" w:eastAsia="黑体" w:hAnsi="Times New Roman"/>
          <w:color w:val="000000"/>
          <w:sz w:val="32"/>
          <w:szCs w:val="32"/>
        </w:rPr>
      </w:pPr>
      <w:r>
        <w:rPr>
          <w:rFonts w:ascii="Times New Roman" w:eastAsia="黑体" w:hAnsi="Times New Roman"/>
          <w:color w:val="000000"/>
          <w:sz w:val="32"/>
          <w:szCs w:val="32"/>
        </w:rPr>
        <w:t>二、产品简介</w:t>
      </w:r>
    </w:p>
    <w:p w14:paraId="55846488" w14:textId="77777777" w:rsidR="007E4A58" w:rsidRDefault="00E65812">
      <w:pPr>
        <w:snapToGrid w:val="0"/>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牙齿漂白材料一般为糊、粉、液剂或胶体，通常为过氧化物，如过氧化氢、过氧化脲等，通过氧化</w:t>
      </w:r>
      <w:r>
        <w:rPr>
          <w:rFonts w:ascii="Times New Roman" w:eastAsia="仿宋_GB2312" w:hAnsi="Times New Roman"/>
          <w:kern w:val="0"/>
          <w:sz w:val="32"/>
          <w:szCs w:val="32"/>
        </w:rPr>
        <w:t>-</w:t>
      </w:r>
      <w:r>
        <w:rPr>
          <w:rFonts w:ascii="Times New Roman" w:eastAsia="仿宋_GB2312" w:hAnsi="Times New Roman"/>
          <w:kern w:val="0"/>
          <w:sz w:val="32"/>
          <w:szCs w:val="32"/>
        </w:rPr>
        <w:t>还原反应起到漂白作用</w:t>
      </w:r>
      <w:r>
        <w:rPr>
          <w:rFonts w:ascii="Times New Roman" w:eastAsia="仿宋_GB2312" w:hAnsi="Times New Roman" w:hint="eastAsia"/>
          <w:kern w:val="0"/>
          <w:sz w:val="32"/>
          <w:szCs w:val="32"/>
        </w:rPr>
        <w:t>。</w:t>
      </w:r>
      <w:r>
        <w:rPr>
          <w:rFonts w:ascii="Times New Roman" w:eastAsia="仿宋_GB2312" w:hAnsi="Times New Roman"/>
          <w:kern w:val="0"/>
          <w:sz w:val="32"/>
          <w:szCs w:val="32"/>
        </w:rPr>
        <w:t>预期用于</w:t>
      </w:r>
      <w:r>
        <w:rPr>
          <w:rFonts w:ascii="Times New Roman" w:eastAsia="仿宋_GB2312" w:hAnsi="Times New Roman"/>
          <w:kern w:val="0"/>
          <w:sz w:val="32"/>
          <w:szCs w:val="32"/>
        </w:rPr>
        <w:t>16</w:t>
      </w:r>
      <w:r>
        <w:rPr>
          <w:rFonts w:ascii="Times New Roman" w:eastAsia="仿宋_GB2312" w:hAnsi="Times New Roman"/>
          <w:kern w:val="0"/>
          <w:sz w:val="32"/>
          <w:szCs w:val="32"/>
        </w:rPr>
        <w:t>岁以上身体健康人群，因烟草、可乐、茶、咖啡、酱油等有色物质造成的外源性染色牙的牙齿漂白。</w:t>
      </w:r>
    </w:p>
    <w:p w14:paraId="3568951E" w14:textId="77777777" w:rsidR="007E4A58" w:rsidRDefault="00E65812">
      <w:pPr>
        <w:snapToGrid w:val="0"/>
        <w:spacing w:line="520" w:lineRule="exact"/>
        <w:ind w:firstLineChars="200" w:firstLine="640"/>
        <w:rPr>
          <w:rFonts w:ascii="Times New Roman" w:eastAsia="黑体" w:hAnsi="Times New Roman"/>
          <w:color w:val="000000"/>
          <w:sz w:val="32"/>
          <w:szCs w:val="32"/>
        </w:rPr>
      </w:pPr>
      <w:r>
        <w:rPr>
          <w:rFonts w:ascii="Times New Roman" w:eastAsia="黑体" w:hAnsi="Times New Roman"/>
          <w:color w:val="000000"/>
          <w:sz w:val="32"/>
          <w:szCs w:val="32"/>
        </w:rPr>
        <w:t>三、参考文件</w:t>
      </w:r>
    </w:p>
    <w:p w14:paraId="27714CD4" w14:textId="77777777" w:rsidR="007E4A58" w:rsidRDefault="00E65812">
      <w:pPr>
        <w:snapToGrid w:val="0"/>
        <w:spacing w:line="520" w:lineRule="exact"/>
        <w:ind w:firstLineChars="200" w:firstLine="640"/>
        <w:rPr>
          <w:rFonts w:ascii="Times New Roman" w:eastAsia="仿宋_GB2312" w:hAnsi="Times New Roman"/>
          <w:bCs/>
          <w:color w:val="000000"/>
          <w:sz w:val="32"/>
          <w:szCs w:val="32"/>
        </w:rPr>
      </w:pPr>
      <w:r>
        <w:rPr>
          <w:rFonts w:ascii="Times New Roman" w:eastAsia="仿宋_GB2312" w:hAnsi="Times New Roman"/>
          <w:bCs/>
          <w:color w:val="000000"/>
          <w:sz w:val="32"/>
          <w:szCs w:val="32"/>
        </w:rPr>
        <w:t>该产品应按照</w:t>
      </w:r>
      <w:r>
        <w:rPr>
          <w:rFonts w:ascii="Times New Roman" w:eastAsia="仿宋_GB2312" w:hAnsi="Times New Roman"/>
          <w:color w:val="000000"/>
          <w:sz w:val="32"/>
          <w:szCs w:val="32"/>
        </w:rPr>
        <w:t>《国家食品药品监督管理总局关于公布医疗器械注册申报资料要求和批准证明文件格式的公告（</w:t>
      </w:r>
      <w:r>
        <w:rPr>
          <w:rFonts w:ascii="Times New Roman" w:eastAsia="仿宋_GB2312" w:hAnsi="Times New Roman"/>
          <w:color w:val="000000"/>
          <w:sz w:val="32"/>
          <w:szCs w:val="32"/>
        </w:rPr>
        <w:t>2021</w:t>
      </w:r>
      <w:r>
        <w:rPr>
          <w:rFonts w:ascii="Times New Roman" w:eastAsia="仿宋_GB2312" w:hAnsi="Times New Roman"/>
          <w:color w:val="000000"/>
          <w:sz w:val="32"/>
          <w:szCs w:val="32"/>
        </w:rPr>
        <w:t>年第</w:t>
      </w:r>
      <w:r>
        <w:rPr>
          <w:rFonts w:ascii="Times New Roman" w:eastAsia="仿宋_GB2312" w:hAnsi="Times New Roman"/>
          <w:color w:val="000000"/>
          <w:sz w:val="32"/>
          <w:szCs w:val="32"/>
        </w:rPr>
        <w:t>121</w:t>
      </w:r>
      <w:r>
        <w:rPr>
          <w:rFonts w:ascii="Times New Roman" w:eastAsia="仿宋_GB2312" w:hAnsi="Times New Roman"/>
          <w:color w:val="000000"/>
          <w:sz w:val="32"/>
          <w:szCs w:val="32"/>
        </w:rPr>
        <w:t>号）》</w:t>
      </w:r>
      <w:r>
        <w:rPr>
          <w:rFonts w:ascii="Times New Roman" w:eastAsia="仿宋_GB2312" w:hAnsi="Times New Roman"/>
          <w:bCs/>
          <w:color w:val="000000"/>
          <w:sz w:val="32"/>
          <w:szCs w:val="32"/>
        </w:rPr>
        <w:t>要求提供注册申报资料，对于注册申报资料中各项内容，已有相应要求的，请按照相应要求提供注册申报资料，本审评要点不再赘述，如产品生物学评价需按照</w:t>
      </w:r>
      <w:r>
        <w:rPr>
          <w:rFonts w:ascii="Times New Roman" w:eastAsia="仿宋_GB2312" w:hAnsi="Times New Roman"/>
          <w:bCs/>
          <w:color w:val="000000"/>
          <w:sz w:val="32"/>
          <w:szCs w:val="32"/>
        </w:rPr>
        <w:t>GB/T 16886</w:t>
      </w:r>
      <w:r>
        <w:rPr>
          <w:rFonts w:ascii="Times New Roman" w:eastAsia="仿宋_GB2312" w:hAnsi="Times New Roman"/>
          <w:bCs/>
          <w:color w:val="000000"/>
          <w:sz w:val="32"/>
          <w:szCs w:val="32"/>
        </w:rPr>
        <w:t>、</w:t>
      </w:r>
      <w:r>
        <w:rPr>
          <w:rFonts w:ascii="Times New Roman" w:eastAsia="仿宋_GB2312" w:hAnsi="Times New Roman"/>
          <w:bCs/>
          <w:color w:val="000000"/>
          <w:sz w:val="32"/>
          <w:szCs w:val="32"/>
        </w:rPr>
        <w:t>YY/T 0268</w:t>
      </w:r>
      <w:r>
        <w:rPr>
          <w:rFonts w:ascii="Times New Roman" w:eastAsia="仿宋_GB2312" w:hAnsi="Times New Roman"/>
          <w:bCs/>
          <w:color w:val="000000"/>
          <w:sz w:val="32"/>
          <w:szCs w:val="32"/>
        </w:rPr>
        <w:t>系列标准的要求提供注册申报资料。</w:t>
      </w:r>
    </w:p>
    <w:p w14:paraId="79B1451A"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产品可参考如下标准。</w:t>
      </w:r>
    </w:p>
    <w:p w14:paraId="0B54D00A" w14:textId="77777777" w:rsidR="00062AE8" w:rsidRDefault="00062AE8">
      <w:pPr>
        <w:snapToGrid w:val="0"/>
        <w:spacing w:line="520" w:lineRule="exact"/>
        <w:ind w:firstLineChars="200" w:firstLine="640"/>
        <w:jc w:val="center"/>
        <w:rPr>
          <w:rFonts w:ascii="黑体" w:eastAsia="黑体" w:hAnsi="黑体"/>
          <w:color w:val="000000"/>
          <w:sz w:val="32"/>
          <w:szCs w:val="32"/>
        </w:rPr>
      </w:pPr>
    </w:p>
    <w:p w14:paraId="1507444A" w14:textId="4876A997" w:rsidR="007E4A58" w:rsidRPr="00062AE8" w:rsidRDefault="00E65812">
      <w:pPr>
        <w:snapToGrid w:val="0"/>
        <w:spacing w:line="520" w:lineRule="exact"/>
        <w:ind w:firstLineChars="200" w:firstLine="640"/>
        <w:jc w:val="center"/>
        <w:rPr>
          <w:rFonts w:ascii="黑体" w:eastAsia="黑体" w:hAnsi="黑体"/>
          <w:color w:val="000000"/>
          <w:sz w:val="32"/>
          <w:szCs w:val="32"/>
        </w:rPr>
      </w:pPr>
      <w:r w:rsidRPr="00062AE8">
        <w:rPr>
          <w:rFonts w:ascii="黑体" w:eastAsia="黑体" w:hAnsi="黑体"/>
          <w:color w:val="000000"/>
          <w:sz w:val="32"/>
          <w:szCs w:val="32"/>
        </w:rPr>
        <w:t>表</w:t>
      </w:r>
      <w:r w:rsidRPr="00062AE8">
        <w:rPr>
          <w:rFonts w:ascii="Times New Roman" w:eastAsia="黑体" w:hAnsi="Times New Roman"/>
          <w:color w:val="000000"/>
          <w:sz w:val="32"/>
          <w:szCs w:val="32"/>
        </w:rPr>
        <w:t>1</w:t>
      </w:r>
      <w:r w:rsidRPr="00062AE8">
        <w:rPr>
          <w:rFonts w:ascii="黑体" w:eastAsia="黑体" w:hAnsi="黑体"/>
          <w:color w:val="000000"/>
          <w:sz w:val="32"/>
          <w:szCs w:val="32"/>
        </w:rPr>
        <w:t xml:space="preserve"> </w:t>
      </w:r>
      <w:r w:rsidRPr="00062AE8">
        <w:rPr>
          <w:rFonts w:ascii="黑体" w:eastAsia="黑体" w:hAnsi="黑体"/>
          <w:color w:val="000000"/>
          <w:sz w:val="32"/>
          <w:szCs w:val="32"/>
        </w:rPr>
        <w:t>参考标准清单</w:t>
      </w:r>
    </w:p>
    <w:tbl>
      <w:tblPr>
        <w:tblStyle w:val="a7"/>
        <w:tblW w:w="8522" w:type="dxa"/>
        <w:tblLayout w:type="fixed"/>
        <w:tblLook w:val="04A0" w:firstRow="1" w:lastRow="0" w:firstColumn="1" w:lastColumn="0" w:noHBand="0" w:noVBand="1"/>
      </w:tblPr>
      <w:tblGrid>
        <w:gridCol w:w="6232"/>
        <w:gridCol w:w="2290"/>
      </w:tblGrid>
      <w:tr w:rsidR="007E4A58" w14:paraId="4A99F71C" w14:textId="77777777">
        <w:tc>
          <w:tcPr>
            <w:tcW w:w="6232" w:type="dxa"/>
          </w:tcPr>
          <w:p w14:paraId="52A5C43D" w14:textId="77777777" w:rsidR="007E4A58" w:rsidRDefault="00E65812">
            <w:pPr>
              <w:spacing w:line="520" w:lineRule="exact"/>
              <w:rPr>
                <w:rFonts w:ascii="Times New Roman" w:eastAsia="仿宋_GB2312" w:hAnsi="Times New Roman"/>
                <w:kern w:val="0"/>
                <w:sz w:val="28"/>
                <w:szCs w:val="28"/>
              </w:rPr>
            </w:pPr>
            <w:r>
              <w:rPr>
                <w:rFonts w:ascii="Times New Roman" w:eastAsia="仿宋_GB2312" w:hAnsi="Times New Roman"/>
                <w:kern w:val="0"/>
                <w:sz w:val="28"/>
                <w:szCs w:val="28"/>
              </w:rPr>
              <w:t>标准名称</w:t>
            </w:r>
          </w:p>
        </w:tc>
        <w:tc>
          <w:tcPr>
            <w:tcW w:w="2290" w:type="dxa"/>
          </w:tcPr>
          <w:p w14:paraId="2E105A38" w14:textId="77777777" w:rsidR="007E4A58" w:rsidRDefault="00E65812">
            <w:pPr>
              <w:spacing w:line="520" w:lineRule="exact"/>
              <w:rPr>
                <w:rFonts w:ascii="Times New Roman" w:eastAsia="仿宋_GB2312" w:hAnsi="Times New Roman"/>
                <w:kern w:val="0"/>
                <w:sz w:val="28"/>
                <w:szCs w:val="28"/>
              </w:rPr>
            </w:pPr>
            <w:r>
              <w:rPr>
                <w:rFonts w:ascii="Times New Roman" w:eastAsia="仿宋_GB2312" w:hAnsi="Times New Roman"/>
                <w:kern w:val="0"/>
                <w:sz w:val="28"/>
                <w:szCs w:val="28"/>
              </w:rPr>
              <w:t>适用情况</w:t>
            </w:r>
          </w:p>
        </w:tc>
      </w:tr>
      <w:tr w:rsidR="007E4A58" w14:paraId="52144B0B" w14:textId="77777777">
        <w:tc>
          <w:tcPr>
            <w:tcW w:w="6232" w:type="dxa"/>
          </w:tcPr>
          <w:p w14:paraId="394F283F" w14:textId="77777777" w:rsidR="007E4A58" w:rsidRDefault="00E65812">
            <w:pPr>
              <w:spacing w:line="520" w:lineRule="exact"/>
              <w:rPr>
                <w:rFonts w:ascii="Times New Roman" w:eastAsia="仿宋_GB2312" w:hAnsi="Times New Roman"/>
                <w:kern w:val="0"/>
                <w:sz w:val="28"/>
                <w:szCs w:val="28"/>
              </w:rPr>
            </w:pPr>
            <w:r>
              <w:rPr>
                <w:rFonts w:ascii="Times New Roman" w:eastAsia="仿宋_GB2312" w:hAnsi="Times New Roman"/>
                <w:kern w:val="0"/>
                <w:sz w:val="28"/>
                <w:szCs w:val="28"/>
              </w:rPr>
              <w:t xml:space="preserve">YY 0623 </w:t>
            </w:r>
            <w:r>
              <w:rPr>
                <w:rFonts w:ascii="Times New Roman" w:eastAsia="仿宋_GB2312" w:hAnsi="Times New Roman"/>
                <w:kern w:val="0"/>
                <w:sz w:val="28"/>
                <w:szCs w:val="28"/>
              </w:rPr>
              <w:t>牙科材料可溶出氟的测定方法</w:t>
            </w:r>
          </w:p>
        </w:tc>
        <w:tc>
          <w:tcPr>
            <w:tcW w:w="2290" w:type="dxa"/>
          </w:tcPr>
          <w:p w14:paraId="376C5BED" w14:textId="77777777" w:rsidR="007E4A58" w:rsidRDefault="00E65812">
            <w:pPr>
              <w:spacing w:line="520" w:lineRule="exact"/>
              <w:rPr>
                <w:rFonts w:ascii="Times New Roman" w:eastAsia="仿宋_GB2312" w:hAnsi="Times New Roman"/>
                <w:kern w:val="0"/>
                <w:sz w:val="28"/>
                <w:szCs w:val="28"/>
              </w:rPr>
            </w:pPr>
            <w:r>
              <w:rPr>
                <w:rFonts w:ascii="Times New Roman" w:eastAsia="仿宋_GB2312" w:hAnsi="Times New Roman"/>
                <w:kern w:val="0"/>
                <w:sz w:val="28"/>
                <w:szCs w:val="28"/>
              </w:rPr>
              <w:t>部分适用。</w:t>
            </w:r>
          </w:p>
        </w:tc>
      </w:tr>
      <w:tr w:rsidR="007E4A58" w14:paraId="01EDC778" w14:textId="77777777">
        <w:tc>
          <w:tcPr>
            <w:tcW w:w="6232" w:type="dxa"/>
          </w:tcPr>
          <w:p w14:paraId="1725C2CA" w14:textId="77777777" w:rsidR="007E4A58" w:rsidRDefault="00E65812">
            <w:pPr>
              <w:spacing w:line="520" w:lineRule="exact"/>
              <w:rPr>
                <w:rFonts w:ascii="Times New Roman" w:eastAsia="仿宋_GB2312" w:hAnsi="Times New Roman"/>
                <w:kern w:val="0"/>
                <w:sz w:val="28"/>
                <w:szCs w:val="28"/>
              </w:rPr>
            </w:pPr>
            <w:r>
              <w:rPr>
                <w:rFonts w:ascii="Times New Roman" w:eastAsia="仿宋_GB2312" w:hAnsi="Times New Roman"/>
                <w:kern w:val="0"/>
                <w:sz w:val="28"/>
                <w:szCs w:val="28"/>
              </w:rPr>
              <w:t xml:space="preserve">YY/T 0823 </w:t>
            </w:r>
            <w:r>
              <w:rPr>
                <w:rFonts w:ascii="Times New Roman" w:eastAsia="仿宋_GB2312" w:hAnsi="Times New Roman"/>
                <w:kern w:val="0"/>
                <w:sz w:val="28"/>
                <w:szCs w:val="28"/>
              </w:rPr>
              <w:t>牙科氟化物防龋材料</w:t>
            </w:r>
          </w:p>
        </w:tc>
        <w:tc>
          <w:tcPr>
            <w:tcW w:w="2290" w:type="dxa"/>
          </w:tcPr>
          <w:p w14:paraId="1C6DFA04" w14:textId="77777777" w:rsidR="007E4A58" w:rsidRDefault="00E65812">
            <w:pPr>
              <w:spacing w:line="520" w:lineRule="exact"/>
              <w:rPr>
                <w:rFonts w:ascii="Times New Roman" w:eastAsia="仿宋_GB2312" w:hAnsi="Times New Roman"/>
                <w:kern w:val="0"/>
                <w:sz w:val="28"/>
                <w:szCs w:val="28"/>
              </w:rPr>
            </w:pPr>
            <w:r>
              <w:rPr>
                <w:rFonts w:ascii="Times New Roman" w:eastAsia="仿宋_GB2312" w:hAnsi="Times New Roman"/>
                <w:kern w:val="0"/>
                <w:sz w:val="28"/>
                <w:szCs w:val="28"/>
              </w:rPr>
              <w:t>部分适用。</w:t>
            </w:r>
          </w:p>
        </w:tc>
      </w:tr>
      <w:tr w:rsidR="007E4A58" w14:paraId="293AD11E" w14:textId="77777777">
        <w:tc>
          <w:tcPr>
            <w:tcW w:w="6232" w:type="dxa"/>
          </w:tcPr>
          <w:p w14:paraId="1BCF4E6E" w14:textId="77777777" w:rsidR="007E4A58" w:rsidRDefault="00E65812">
            <w:pPr>
              <w:spacing w:line="520" w:lineRule="exact"/>
              <w:rPr>
                <w:rFonts w:ascii="Times New Roman" w:eastAsia="仿宋_GB2312" w:hAnsi="Times New Roman"/>
                <w:kern w:val="0"/>
                <w:sz w:val="28"/>
                <w:szCs w:val="28"/>
              </w:rPr>
            </w:pPr>
            <w:r>
              <w:rPr>
                <w:rFonts w:ascii="Times New Roman" w:eastAsia="仿宋_GB2312" w:hAnsi="Times New Roman"/>
                <w:kern w:val="0"/>
                <w:sz w:val="28"/>
                <w:szCs w:val="28"/>
              </w:rPr>
              <w:lastRenderedPageBreak/>
              <w:t xml:space="preserve">YY/T </w:t>
            </w:r>
            <w:r>
              <w:rPr>
                <w:rFonts w:ascii="Times New Roman" w:eastAsia="仿宋_GB2312" w:hAnsi="Times New Roman"/>
                <w:kern w:val="0"/>
                <w:sz w:val="28"/>
                <w:szCs w:val="28"/>
              </w:rPr>
              <w:t xml:space="preserve">0825 </w:t>
            </w:r>
            <w:r>
              <w:rPr>
                <w:rFonts w:ascii="Times New Roman" w:eastAsia="仿宋_GB2312" w:hAnsi="Times New Roman"/>
                <w:kern w:val="0"/>
                <w:sz w:val="28"/>
                <w:szCs w:val="28"/>
              </w:rPr>
              <w:t>牙科学</w:t>
            </w:r>
            <w:r>
              <w:rPr>
                <w:rFonts w:ascii="Times New Roman" w:eastAsia="仿宋_GB2312" w:hAnsi="Times New Roman"/>
                <w:kern w:val="0"/>
                <w:sz w:val="28"/>
                <w:szCs w:val="28"/>
              </w:rPr>
              <w:t xml:space="preserve"> </w:t>
            </w:r>
            <w:r>
              <w:rPr>
                <w:rFonts w:ascii="Times New Roman" w:eastAsia="仿宋_GB2312" w:hAnsi="Times New Roman"/>
                <w:kern w:val="0"/>
                <w:sz w:val="28"/>
                <w:szCs w:val="28"/>
              </w:rPr>
              <w:t>牙齿外漂白产品</w:t>
            </w:r>
          </w:p>
        </w:tc>
        <w:tc>
          <w:tcPr>
            <w:tcW w:w="2290" w:type="dxa"/>
          </w:tcPr>
          <w:p w14:paraId="54F95B8F" w14:textId="77777777" w:rsidR="007E4A58" w:rsidRDefault="00E65812">
            <w:pPr>
              <w:spacing w:line="520" w:lineRule="exact"/>
              <w:rPr>
                <w:rFonts w:ascii="Times New Roman" w:eastAsia="仿宋_GB2312" w:hAnsi="Times New Roman"/>
                <w:kern w:val="0"/>
                <w:sz w:val="28"/>
                <w:szCs w:val="28"/>
              </w:rPr>
            </w:pPr>
            <w:r>
              <w:rPr>
                <w:rFonts w:ascii="Times New Roman" w:eastAsia="仿宋_GB2312" w:hAnsi="Times New Roman"/>
                <w:kern w:val="0"/>
                <w:sz w:val="28"/>
                <w:szCs w:val="28"/>
              </w:rPr>
              <w:t>适用</w:t>
            </w:r>
          </w:p>
        </w:tc>
      </w:tr>
    </w:tbl>
    <w:p w14:paraId="12E26C1B" w14:textId="77777777" w:rsidR="00062AE8" w:rsidRDefault="00062AE8">
      <w:pPr>
        <w:snapToGrid w:val="0"/>
        <w:spacing w:line="520" w:lineRule="exact"/>
        <w:ind w:firstLineChars="200" w:firstLine="640"/>
        <w:rPr>
          <w:rFonts w:ascii="Times New Roman" w:eastAsia="黑体" w:hAnsi="Times New Roman"/>
          <w:color w:val="000000"/>
          <w:sz w:val="32"/>
          <w:szCs w:val="32"/>
        </w:rPr>
      </w:pPr>
    </w:p>
    <w:p w14:paraId="5033CAED" w14:textId="7B980AC7" w:rsidR="007E4A58" w:rsidRDefault="00E65812">
      <w:pPr>
        <w:snapToGrid w:val="0"/>
        <w:spacing w:line="520" w:lineRule="exact"/>
        <w:ind w:firstLineChars="200" w:firstLine="640"/>
        <w:rPr>
          <w:rFonts w:ascii="Times New Roman" w:eastAsia="黑体" w:hAnsi="Times New Roman"/>
          <w:color w:val="000000"/>
          <w:sz w:val="32"/>
          <w:szCs w:val="32"/>
        </w:rPr>
      </w:pPr>
      <w:r>
        <w:rPr>
          <w:rFonts w:ascii="Times New Roman" w:eastAsia="黑体" w:hAnsi="Times New Roman"/>
          <w:color w:val="000000"/>
          <w:sz w:val="32"/>
          <w:szCs w:val="32"/>
        </w:rPr>
        <w:t>四、审评主要关注点</w:t>
      </w:r>
    </w:p>
    <w:p w14:paraId="44CF745B"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在参照的法规、规章、指导原则、标准的情况前提下，结合下列关注点开展技术审评。</w:t>
      </w:r>
    </w:p>
    <w:p w14:paraId="3DC996B3" w14:textId="77777777" w:rsidR="007E4A58" w:rsidRDefault="00E65812">
      <w:pPr>
        <w:snapToGrid w:val="0"/>
        <w:spacing w:line="520" w:lineRule="exact"/>
        <w:ind w:firstLineChars="200" w:firstLine="640"/>
        <w:rPr>
          <w:rFonts w:ascii="Times New Roman" w:eastAsia="楷体_GB2312" w:hAnsi="Times New Roman"/>
          <w:color w:val="000000"/>
          <w:sz w:val="32"/>
          <w:szCs w:val="32"/>
        </w:rPr>
      </w:pPr>
      <w:r>
        <w:rPr>
          <w:rFonts w:ascii="Times New Roman" w:eastAsia="楷体_GB2312" w:hAnsi="Times New Roman"/>
          <w:color w:val="000000"/>
          <w:sz w:val="32"/>
          <w:szCs w:val="32"/>
        </w:rPr>
        <w:t>（一）综述资料</w:t>
      </w:r>
    </w:p>
    <w:p w14:paraId="54CBAF51"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1.</w:t>
      </w:r>
      <w:r>
        <w:rPr>
          <w:rFonts w:ascii="Times New Roman" w:eastAsia="仿宋_GB2312" w:hAnsi="Times New Roman"/>
          <w:color w:val="000000"/>
          <w:sz w:val="32"/>
          <w:szCs w:val="32"/>
        </w:rPr>
        <w:t>产品描述</w:t>
      </w:r>
    </w:p>
    <w:p w14:paraId="7C46A1A1"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1.1</w:t>
      </w:r>
      <w:r>
        <w:rPr>
          <w:rFonts w:ascii="Times New Roman" w:eastAsia="仿宋_GB2312" w:hAnsi="Times New Roman" w:hint="eastAsia"/>
          <w:color w:val="000000"/>
          <w:sz w:val="32"/>
          <w:szCs w:val="32"/>
        </w:rPr>
        <w:t>产品</w:t>
      </w:r>
      <w:r>
        <w:rPr>
          <w:rFonts w:ascii="Times New Roman" w:eastAsia="仿宋_GB2312" w:hAnsi="Times New Roman"/>
          <w:color w:val="000000"/>
          <w:sz w:val="32"/>
          <w:szCs w:val="32"/>
        </w:rPr>
        <w:t>名称</w:t>
      </w:r>
    </w:p>
    <w:p w14:paraId="10D621D9" w14:textId="77777777" w:rsidR="007E4A58" w:rsidRDefault="00E65812">
      <w:pPr>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kern w:val="0"/>
          <w:sz w:val="32"/>
          <w:szCs w:val="32"/>
        </w:rPr>
        <w:t>产品的命名需采用国家标准、行业标准中的通用名称，或以产品临床预期用途、</w:t>
      </w:r>
      <w:r>
        <w:rPr>
          <w:rFonts w:ascii="Times New Roman" w:eastAsia="仿宋_GB2312" w:hAnsi="Times New Roman" w:hint="eastAsia"/>
          <w:kern w:val="0"/>
          <w:sz w:val="32"/>
          <w:szCs w:val="32"/>
        </w:rPr>
        <w:t>主要组成</w:t>
      </w:r>
      <w:r>
        <w:rPr>
          <w:rFonts w:ascii="Times New Roman" w:eastAsia="仿宋_GB2312" w:hAnsi="Times New Roman"/>
          <w:kern w:val="0"/>
          <w:sz w:val="32"/>
          <w:szCs w:val="32"/>
        </w:rPr>
        <w:t>成分、适用部位为依据命名，需符合《医疗器械通用名称命名规则》、《口腔科器械通用名称命名指导原则》等相关法规的要求</w:t>
      </w:r>
      <w:r>
        <w:rPr>
          <w:rFonts w:ascii="Times New Roman" w:eastAsia="仿宋_GB2312" w:hAnsi="Times New Roman" w:hint="eastAsia"/>
          <w:kern w:val="0"/>
          <w:sz w:val="32"/>
          <w:szCs w:val="32"/>
        </w:rPr>
        <w:t>，如</w:t>
      </w:r>
      <w:r>
        <w:rPr>
          <w:rFonts w:ascii="Times New Roman" w:eastAsia="仿宋_GB2312" w:hAnsi="Times New Roman"/>
          <w:kern w:val="0"/>
          <w:sz w:val="32"/>
          <w:szCs w:val="32"/>
        </w:rPr>
        <w:t>死髓牙漂白胶、牙齿漂白剂、牙齿漂白胶、牙齿漂白贴</w:t>
      </w:r>
      <w:r>
        <w:rPr>
          <w:rFonts w:ascii="Times New Roman" w:eastAsia="仿宋_GB2312" w:hAnsi="Times New Roman"/>
          <w:sz w:val="32"/>
          <w:szCs w:val="32"/>
        </w:rPr>
        <w:t>。</w:t>
      </w:r>
    </w:p>
    <w:p w14:paraId="6139CE35"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1.2</w:t>
      </w:r>
      <w:r>
        <w:rPr>
          <w:rFonts w:ascii="Times New Roman" w:eastAsia="仿宋_GB2312" w:hAnsi="Times New Roman" w:hint="eastAsia"/>
          <w:color w:val="000000"/>
          <w:sz w:val="32"/>
          <w:szCs w:val="32"/>
        </w:rPr>
        <w:t>分类</w:t>
      </w:r>
      <w:r>
        <w:rPr>
          <w:rFonts w:ascii="Times New Roman" w:eastAsia="仿宋_GB2312" w:hAnsi="Times New Roman"/>
          <w:color w:val="000000"/>
          <w:sz w:val="32"/>
          <w:szCs w:val="32"/>
        </w:rPr>
        <w:t>编码及管理类别</w:t>
      </w:r>
    </w:p>
    <w:p w14:paraId="05AB0987" w14:textId="77777777" w:rsidR="007E4A58" w:rsidRDefault="00E65812">
      <w:pPr>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kern w:val="0"/>
          <w:sz w:val="32"/>
          <w:szCs w:val="32"/>
        </w:rPr>
        <w:t>根据《医疗器械分类目录》，分类编码为</w:t>
      </w:r>
      <w:r>
        <w:rPr>
          <w:rFonts w:ascii="Times New Roman" w:eastAsia="仿宋_GB2312" w:hAnsi="Times New Roman"/>
          <w:kern w:val="0"/>
          <w:sz w:val="32"/>
          <w:szCs w:val="32"/>
        </w:rPr>
        <w:t>17-10-06</w:t>
      </w:r>
      <w:r>
        <w:rPr>
          <w:rFonts w:ascii="Times New Roman" w:eastAsia="仿宋_GB2312" w:hAnsi="Times New Roman"/>
          <w:kern w:val="0"/>
          <w:sz w:val="32"/>
          <w:szCs w:val="32"/>
        </w:rPr>
        <w:t>，管理类别为</w:t>
      </w:r>
      <w:r>
        <w:rPr>
          <w:rFonts w:ascii="Times New Roman" w:eastAsia="宋体" w:hAnsi="Times New Roman"/>
          <w:kern w:val="0"/>
          <w:sz w:val="32"/>
          <w:szCs w:val="32"/>
        </w:rPr>
        <w:t>III</w:t>
      </w:r>
      <w:r>
        <w:rPr>
          <w:rFonts w:ascii="Times New Roman" w:eastAsia="仿宋_GB2312" w:hAnsi="Times New Roman"/>
          <w:kern w:val="0"/>
          <w:sz w:val="32"/>
          <w:szCs w:val="32"/>
        </w:rPr>
        <w:t>类。</w:t>
      </w:r>
    </w:p>
    <w:p w14:paraId="1D1A57C7"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1</w:t>
      </w:r>
      <w:r>
        <w:rPr>
          <w:rFonts w:ascii="Times New Roman" w:eastAsia="仿宋_GB2312" w:hAnsi="Times New Roman"/>
          <w:color w:val="000000"/>
          <w:sz w:val="32"/>
          <w:szCs w:val="32"/>
        </w:rPr>
        <w:t>.</w:t>
      </w:r>
      <w:r>
        <w:rPr>
          <w:rFonts w:ascii="Times New Roman" w:eastAsia="仿宋_GB2312" w:hAnsi="Times New Roman" w:hint="eastAsia"/>
          <w:color w:val="000000"/>
          <w:sz w:val="32"/>
          <w:szCs w:val="32"/>
        </w:rPr>
        <w:t>3</w:t>
      </w:r>
      <w:r>
        <w:rPr>
          <w:rFonts w:ascii="Times New Roman" w:eastAsia="仿宋_GB2312" w:hAnsi="Times New Roman" w:hint="eastAsia"/>
          <w:color w:val="000000"/>
          <w:sz w:val="32"/>
          <w:szCs w:val="32"/>
        </w:rPr>
        <w:t>结构</w:t>
      </w:r>
      <w:r>
        <w:rPr>
          <w:rFonts w:ascii="Times New Roman" w:eastAsia="仿宋_GB2312" w:hAnsi="Times New Roman"/>
          <w:color w:val="000000"/>
          <w:sz w:val="32"/>
          <w:szCs w:val="32"/>
        </w:rPr>
        <w:t>组成</w:t>
      </w:r>
    </w:p>
    <w:p w14:paraId="42A70989"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需</w:t>
      </w:r>
      <w:r>
        <w:rPr>
          <w:rFonts w:ascii="Times New Roman" w:eastAsia="仿宋_GB2312" w:hAnsi="Times New Roman"/>
          <w:color w:val="000000"/>
          <w:sz w:val="32"/>
          <w:szCs w:val="32"/>
        </w:rPr>
        <w:t>清晰描述产品的结构组成</w:t>
      </w:r>
      <w:r>
        <w:rPr>
          <w:rFonts w:ascii="Times New Roman" w:eastAsia="仿宋_GB2312" w:hAnsi="Times New Roman" w:hint="eastAsia"/>
          <w:color w:val="000000"/>
          <w:sz w:val="32"/>
          <w:szCs w:val="32"/>
        </w:rPr>
        <w:t>及</w:t>
      </w:r>
      <w:r>
        <w:rPr>
          <w:rFonts w:ascii="Times New Roman" w:eastAsia="仿宋_GB2312" w:hAnsi="Times New Roman"/>
          <w:color w:val="000000"/>
          <w:sz w:val="32"/>
          <w:szCs w:val="32"/>
        </w:rPr>
        <w:t>百分含量</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需包括产品基质、</w:t>
      </w:r>
      <w:r>
        <w:rPr>
          <w:rFonts w:ascii="Times New Roman" w:eastAsia="仿宋_GB2312" w:hAnsi="Times New Roman" w:hint="eastAsia"/>
          <w:color w:val="000000"/>
          <w:sz w:val="32"/>
          <w:szCs w:val="32"/>
        </w:rPr>
        <w:t>过氧化氢</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过氧化脲</w:t>
      </w:r>
      <w:r>
        <w:rPr>
          <w:rFonts w:ascii="Times New Roman" w:eastAsia="仿宋_GB2312" w:hAnsi="Times New Roman"/>
          <w:color w:val="000000"/>
          <w:sz w:val="32"/>
          <w:szCs w:val="32"/>
        </w:rPr>
        <w:t>、催化剂、阻聚剂、助剂等。</w:t>
      </w:r>
    </w:p>
    <w:p w14:paraId="7E68F143"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1.4</w:t>
      </w:r>
      <w:r>
        <w:rPr>
          <w:rFonts w:ascii="Times New Roman" w:eastAsia="仿宋_GB2312" w:hAnsi="Times New Roman" w:hint="eastAsia"/>
          <w:color w:val="000000"/>
          <w:sz w:val="32"/>
          <w:szCs w:val="32"/>
        </w:rPr>
        <w:t>清晰</w:t>
      </w:r>
      <w:r>
        <w:rPr>
          <w:rFonts w:ascii="Times New Roman" w:eastAsia="仿宋_GB2312" w:hAnsi="Times New Roman"/>
          <w:color w:val="000000"/>
          <w:sz w:val="32"/>
          <w:szCs w:val="32"/>
        </w:rPr>
        <w:t>阐释产品作用机理，</w:t>
      </w:r>
      <w:r>
        <w:rPr>
          <w:rFonts w:ascii="Times New Roman" w:eastAsia="仿宋_GB2312" w:hAnsi="Times New Roman" w:hint="eastAsia"/>
          <w:color w:val="000000"/>
          <w:sz w:val="32"/>
          <w:szCs w:val="32"/>
        </w:rPr>
        <w:t>需</w:t>
      </w:r>
      <w:r>
        <w:rPr>
          <w:rFonts w:ascii="Times New Roman" w:eastAsia="仿宋_GB2312" w:hAnsi="Times New Roman"/>
          <w:color w:val="000000"/>
          <w:sz w:val="32"/>
          <w:szCs w:val="32"/>
        </w:rPr>
        <w:t>结合化学反应式，详述产品作用机理、渗透机理</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必要时提供图示说明。</w:t>
      </w:r>
    </w:p>
    <w:p w14:paraId="01BFDA82"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1.5</w:t>
      </w:r>
      <w:r>
        <w:rPr>
          <w:rFonts w:ascii="Times New Roman" w:eastAsia="仿宋_GB2312" w:hAnsi="Times New Roman" w:hint="eastAsia"/>
          <w:color w:val="000000"/>
          <w:sz w:val="32"/>
          <w:szCs w:val="32"/>
        </w:rPr>
        <w:t>使用</w:t>
      </w:r>
      <w:r>
        <w:rPr>
          <w:rFonts w:ascii="Times New Roman" w:eastAsia="仿宋_GB2312" w:hAnsi="Times New Roman"/>
          <w:color w:val="000000"/>
          <w:sz w:val="32"/>
          <w:szCs w:val="32"/>
        </w:rPr>
        <w:t>方法及图示信息</w:t>
      </w:r>
    </w:p>
    <w:p w14:paraId="44441696"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请详述申报产品使用方式及具体操作步骤，需包括单次使用时间、单次使用剂量、漂白单疗程连续使用时间及天数、漂白疗程间隔时间、使用过程中的软组织保护和牙髓保护措施情况、配合使用的光学激发设备。</w:t>
      </w:r>
    </w:p>
    <w:p w14:paraId="1E381BD2"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lastRenderedPageBreak/>
        <w:t>2.</w:t>
      </w:r>
      <w:r>
        <w:rPr>
          <w:rFonts w:ascii="Times New Roman" w:eastAsia="仿宋_GB2312" w:hAnsi="Times New Roman"/>
          <w:color w:val="000000"/>
          <w:sz w:val="32"/>
          <w:szCs w:val="32"/>
        </w:rPr>
        <w:t>型号规格</w:t>
      </w:r>
    </w:p>
    <w:p w14:paraId="1B64A195"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对于存在多种型号规格的产品，需明确各型号规格的区别，采用对比表及带有说明性文字的图片、图表，对各种型号规格的结构组成、产品特征、性能指标、功能等方面加以描述。需描述产品各型号</w:t>
      </w:r>
      <w:r>
        <w:rPr>
          <w:rFonts w:ascii="Times New Roman" w:eastAsia="仿宋_GB2312" w:hAnsi="Times New Roman" w:hint="eastAsia"/>
          <w:color w:val="000000"/>
          <w:sz w:val="32"/>
          <w:szCs w:val="32"/>
        </w:rPr>
        <w:t>有效成分含量</w:t>
      </w:r>
      <w:r>
        <w:rPr>
          <w:rFonts w:ascii="Times New Roman" w:eastAsia="仿宋_GB2312" w:hAnsi="Times New Roman"/>
          <w:color w:val="000000"/>
          <w:sz w:val="32"/>
          <w:szCs w:val="32"/>
        </w:rPr>
        <w:t>及装量信息。提供产品各型号规格的划分原则。</w:t>
      </w:r>
    </w:p>
    <w:p w14:paraId="5FA3F2D3"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3.</w:t>
      </w:r>
      <w:r>
        <w:rPr>
          <w:rFonts w:ascii="Times New Roman" w:eastAsia="仿宋_GB2312" w:hAnsi="Times New Roman"/>
          <w:color w:val="000000"/>
          <w:sz w:val="32"/>
          <w:szCs w:val="32"/>
        </w:rPr>
        <w:t>包装说明</w:t>
      </w:r>
    </w:p>
    <w:p w14:paraId="397669D9"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需以图片和文字相结合的方式明示申报产品的包装信息，以列表形式说明所有包装内容物。提供包装材料的信息，评价包装材料对储存过程的影响。</w:t>
      </w:r>
    </w:p>
    <w:p w14:paraId="2393524D"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4.</w:t>
      </w:r>
      <w:r>
        <w:rPr>
          <w:rFonts w:ascii="Times New Roman" w:eastAsia="仿宋_GB2312" w:hAnsi="Times New Roman"/>
          <w:color w:val="000000"/>
          <w:sz w:val="32"/>
          <w:szCs w:val="32"/>
        </w:rPr>
        <w:t>与同类和</w:t>
      </w:r>
      <w:r>
        <w:rPr>
          <w:rFonts w:ascii="Times New Roman" w:eastAsia="仿宋_GB2312" w:hAnsi="Times New Roman"/>
          <w:color w:val="000000"/>
          <w:sz w:val="32"/>
          <w:szCs w:val="32"/>
        </w:rPr>
        <w:t>/</w:t>
      </w:r>
      <w:r>
        <w:rPr>
          <w:rFonts w:ascii="Times New Roman" w:eastAsia="仿宋_GB2312" w:hAnsi="Times New Roman"/>
          <w:color w:val="000000"/>
          <w:sz w:val="32"/>
          <w:szCs w:val="32"/>
        </w:rPr>
        <w:t>或前代产品的参考和比较</w:t>
      </w:r>
    </w:p>
    <w:p w14:paraId="2F51BD61"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需提供同类产品（国内外已上市）或前代产品（如有）的信息，阐述申请注册产品的研发背景和目的。对于同类产品，需说明选择其作为研发参考的原因。</w:t>
      </w:r>
    </w:p>
    <w:p w14:paraId="268C1E5F"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需综述同类产品国内外研究、临床使用现状及发展趋势。同时列表比较说明申报产品与参考产品（同类产品或前代产品）在工作原理、结构组成、预期用途、预期效果、过氧化氢</w:t>
      </w:r>
      <w:r>
        <w:rPr>
          <w:rFonts w:ascii="Times New Roman" w:eastAsia="仿宋_GB2312" w:hAnsi="Times New Roman"/>
          <w:color w:val="000000"/>
          <w:sz w:val="32"/>
          <w:szCs w:val="32"/>
        </w:rPr>
        <w:t>/</w:t>
      </w:r>
      <w:r>
        <w:rPr>
          <w:rFonts w:ascii="Times New Roman" w:eastAsia="仿宋_GB2312" w:hAnsi="Times New Roman"/>
          <w:color w:val="000000"/>
          <w:sz w:val="32"/>
          <w:szCs w:val="32"/>
        </w:rPr>
        <w:t>过氧化脲浓度、盛装形式、原材料、生产工艺</w:t>
      </w:r>
      <w:r>
        <w:rPr>
          <w:rFonts w:ascii="Times New Roman" w:eastAsia="仿宋_GB2312" w:hAnsi="Times New Roman"/>
          <w:color w:val="000000"/>
          <w:sz w:val="32"/>
          <w:szCs w:val="32"/>
        </w:rPr>
        <w:t xml:space="preserve"> </w:t>
      </w:r>
      <w:r>
        <w:rPr>
          <w:rFonts w:ascii="Times New Roman" w:eastAsia="仿宋_GB2312" w:hAnsi="Times New Roman"/>
          <w:color w:val="000000"/>
          <w:sz w:val="32"/>
          <w:szCs w:val="32"/>
        </w:rPr>
        <w:t>、性能指标等方面的异同。</w:t>
      </w:r>
    </w:p>
    <w:p w14:paraId="545C6EBC"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5.</w:t>
      </w:r>
      <w:r>
        <w:rPr>
          <w:rFonts w:ascii="Times New Roman" w:eastAsia="仿宋_GB2312" w:hAnsi="Times New Roman"/>
          <w:color w:val="000000"/>
          <w:sz w:val="32"/>
          <w:szCs w:val="32"/>
        </w:rPr>
        <w:t>适用范围和禁忌证</w:t>
      </w:r>
    </w:p>
    <w:p w14:paraId="48176688"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产品的适用范围、适用人群、禁忌证需与申报产品的性能、功能相符，并需与临床评价资料结论一致。</w:t>
      </w:r>
    </w:p>
    <w:p w14:paraId="458FB99C" w14:textId="77777777" w:rsidR="007E4A58" w:rsidRDefault="00E65812">
      <w:pPr>
        <w:snapToGrid w:val="0"/>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color w:val="000000"/>
          <w:sz w:val="32"/>
          <w:szCs w:val="32"/>
        </w:rPr>
        <w:t>5.1</w:t>
      </w:r>
      <w:r>
        <w:rPr>
          <w:rFonts w:ascii="Times New Roman" w:eastAsia="仿宋_GB2312" w:hAnsi="Times New Roman"/>
          <w:color w:val="000000"/>
          <w:sz w:val="32"/>
          <w:szCs w:val="32"/>
        </w:rPr>
        <w:t>适用范围：适用范围的表述需客</w:t>
      </w:r>
      <w:r>
        <w:rPr>
          <w:rFonts w:ascii="Times New Roman" w:eastAsia="仿宋_GB2312" w:hAnsi="Times New Roman"/>
          <w:color w:val="000000"/>
          <w:sz w:val="32"/>
          <w:szCs w:val="32"/>
        </w:rPr>
        <w:t>观、清晰，使用有明确定义或行业公认的术语或名词</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一般</w:t>
      </w:r>
      <w:r>
        <w:rPr>
          <w:rFonts w:ascii="Times New Roman" w:eastAsia="仿宋_GB2312" w:hAnsi="Times New Roman" w:hint="eastAsia"/>
          <w:color w:val="000000"/>
          <w:sz w:val="32"/>
          <w:szCs w:val="32"/>
        </w:rPr>
        <w:t>可</w:t>
      </w:r>
      <w:r>
        <w:rPr>
          <w:rFonts w:ascii="Times New Roman" w:eastAsia="仿宋_GB2312" w:hAnsi="Times New Roman"/>
          <w:color w:val="000000"/>
          <w:sz w:val="32"/>
          <w:szCs w:val="32"/>
        </w:rPr>
        <w:t>描述为</w:t>
      </w:r>
      <w:r>
        <w:rPr>
          <w:rFonts w:ascii="Times New Roman" w:eastAsia="仿宋_GB2312" w:hAnsi="Times New Roman"/>
          <w:kern w:val="0"/>
          <w:sz w:val="32"/>
          <w:szCs w:val="32"/>
        </w:rPr>
        <w:t>预期用于</w:t>
      </w:r>
      <w:r>
        <w:rPr>
          <w:rFonts w:ascii="Times New Roman" w:eastAsia="仿宋_GB2312" w:hAnsi="Times New Roman"/>
          <w:kern w:val="0"/>
          <w:sz w:val="32"/>
          <w:szCs w:val="32"/>
        </w:rPr>
        <w:t>16</w:t>
      </w:r>
      <w:r>
        <w:rPr>
          <w:rFonts w:ascii="Times New Roman" w:eastAsia="仿宋_GB2312" w:hAnsi="Times New Roman"/>
          <w:kern w:val="0"/>
          <w:sz w:val="32"/>
          <w:szCs w:val="32"/>
        </w:rPr>
        <w:t>岁以上身体健康人群，因烟草、可乐、茶、咖啡、酱油等有色物质造成的外源性染色牙的牙齿漂白。</w:t>
      </w:r>
      <w:r>
        <w:rPr>
          <w:rFonts w:ascii="Times New Roman" w:eastAsia="仿宋_GB2312" w:hAnsi="Times New Roman" w:hint="eastAsia"/>
          <w:kern w:val="0"/>
          <w:sz w:val="32"/>
          <w:szCs w:val="32"/>
        </w:rPr>
        <w:t>对于</w:t>
      </w:r>
      <w:r>
        <w:rPr>
          <w:rFonts w:ascii="Times New Roman" w:eastAsia="仿宋_GB2312" w:hAnsi="Times New Roman"/>
          <w:kern w:val="0"/>
          <w:sz w:val="32"/>
          <w:szCs w:val="32"/>
        </w:rPr>
        <w:t>家用型</w:t>
      </w:r>
      <w:r>
        <w:rPr>
          <w:rFonts w:ascii="Times New Roman" w:eastAsia="仿宋_GB2312" w:hAnsi="Times New Roman" w:hint="eastAsia"/>
          <w:kern w:val="0"/>
          <w:sz w:val="32"/>
          <w:szCs w:val="32"/>
        </w:rPr>
        <w:t>，</w:t>
      </w:r>
      <w:r>
        <w:rPr>
          <w:rFonts w:ascii="Times New Roman" w:eastAsia="仿宋_GB2312" w:hAnsi="Times New Roman"/>
          <w:kern w:val="0"/>
          <w:sz w:val="32"/>
          <w:szCs w:val="32"/>
        </w:rPr>
        <w:t>适用</w:t>
      </w:r>
      <w:r>
        <w:rPr>
          <w:rFonts w:ascii="Times New Roman" w:eastAsia="仿宋_GB2312" w:hAnsi="Times New Roman"/>
          <w:kern w:val="0"/>
          <w:sz w:val="32"/>
          <w:szCs w:val="32"/>
        </w:rPr>
        <w:lastRenderedPageBreak/>
        <w:t>范围</w:t>
      </w:r>
      <w:r>
        <w:rPr>
          <w:rFonts w:ascii="Times New Roman" w:eastAsia="仿宋_GB2312" w:hAnsi="Times New Roman" w:hint="eastAsia"/>
          <w:kern w:val="0"/>
          <w:sz w:val="32"/>
          <w:szCs w:val="32"/>
        </w:rPr>
        <w:t>载明</w:t>
      </w:r>
      <w:r>
        <w:rPr>
          <w:rFonts w:ascii="Times New Roman" w:eastAsia="仿宋_GB2312" w:hAnsi="Times New Roman"/>
          <w:kern w:val="0"/>
          <w:sz w:val="32"/>
          <w:szCs w:val="32"/>
        </w:rPr>
        <w:t>必须经过专业医生的专业指导，且应在医生的监督下定期诊疗。</w:t>
      </w:r>
    </w:p>
    <w:p w14:paraId="34DF8724"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5.2</w:t>
      </w:r>
      <w:r>
        <w:rPr>
          <w:rFonts w:ascii="Times New Roman" w:eastAsia="仿宋_GB2312" w:hAnsi="Times New Roman"/>
          <w:color w:val="000000"/>
          <w:sz w:val="32"/>
          <w:szCs w:val="32"/>
        </w:rPr>
        <w:t>预期使用环境：明确预期使用的地点（如医疗机构），说明可能影响其安全性和有效性的环境条件。</w:t>
      </w:r>
    </w:p>
    <w:p w14:paraId="0C2D69E5"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5.3</w:t>
      </w:r>
      <w:r>
        <w:rPr>
          <w:rFonts w:ascii="Times New Roman" w:eastAsia="仿宋_GB2312" w:hAnsi="Times New Roman"/>
          <w:color w:val="000000"/>
          <w:sz w:val="32"/>
          <w:szCs w:val="32"/>
        </w:rPr>
        <w:t>适用人群：说明该器械目标患者人群信息，以及不适宜应用的某些疾病、情况或特定人群（如适用）。</w:t>
      </w:r>
    </w:p>
    <w:p w14:paraId="20095DBE"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5.4</w:t>
      </w:r>
      <w:r>
        <w:rPr>
          <w:rFonts w:ascii="Times New Roman" w:eastAsia="仿宋_GB2312" w:hAnsi="Times New Roman"/>
          <w:color w:val="000000"/>
          <w:sz w:val="32"/>
          <w:szCs w:val="32"/>
        </w:rPr>
        <w:t>禁忌证</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通过风险</w:t>
      </w:r>
      <w:r>
        <w:rPr>
          <w:rFonts w:ascii="Times New Roman" w:eastAsia="仿宋_GB2312" w:hAnsi="Times New Roman"/>
          <w:color w:val="000000"/>
          <w:sz w:val="32"/>
          <w:szCs w:val="32"/>
        </w:rPr>
        <w:t>/</w:t>
      </w:r>
      <w:r>
        <w:rPr>
          <w:rFonts w:ascii="Times New Roman" w:eastAsia="仿宋_GB2312" w:hAnsi="Times New Roman"/>
          <w:color w:val="000000"/>
          <w:sz w:val="32"/>
          <w:szCs w:val="32"/>
        </w:rPr>
        <w:t>受益评估后，针对某些疾病、情况或特定的人群，认为不推</w:t>
      </w:r>
      <w:r>
        <w:rPr>
          <w:rFonts w:ascii="Times New Roman" w:eastAsia="仿宋_GB2312" w:hAnsi="Times New Roman"/>
          <w:color w:val="000000"/>
          <w:sz w:val="32"/>
          <w:szCs w:val="32"/>
        </w:rPr>
        <w:t>荐使用该产品，应当明确说明，如成分过敏人群、患者生理条件</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牙髓暴露的患者。</w:t>
      </w:r>
    </w:p>
    <w:p w14:paraId="73B6C84D"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6.</w:t>
      </w:r>
      <w:r>
        <w:rPr>
          <w:rFonts w:ascii="Times New Roman" w:eastAsia="仿宋_GB2312" w:hAnsi="Times New Roman"/>
          <w:color w:val="000000"/>
          <w:sz w:val="32"/>
          <w:szCs w:val="32"/>
        </w:rPr>
        <w:t>申报产品上市历史</w:t>
      </w:r>
    </w:p>
    <w:p w14:paraId="6326BD9B" w14:textId="77777777" w:rsidR="007E4A58" w:rsidRDefault="00E65812">
      <w:pPr>
        <w:snapToGrid w:val="0"/>
        <w:spacing w:line="520" w:lineRule="exact"/>
        <w:ind w:firstLineChars="200" w:firstLine="640"/>
        <w:rPr>
          <w:rFonts w:ascii="Times New Roman" w:eastAsia="楷体_GB2312" w:hAnsi="Times New Roman"/>
          <w:color w:val="000000"/>
          <w:sz w:val="32"/>
          <w:szCs w:val="32"/>
        </w:rPr>
      </w:pPr>
      <w:r>
        <w:rPr>
          <w:rFonts w:ascii="Times New Roman" w:eastAsia="仿宋_GB2312" w:hAnsi="Times New Roman"/>
          <w:color w:val="000000"/>
          <w:sz w:val="32"/>
          <w:szCs w:val="32"/>
        </w:rPr>
        <w:t>如适用，提交申报产品在各国家或地区的上市批准时间、销售情况。如有不良事件和召回，分别对申报产品上市后发生的不良事件、召回的发生时间、申请人采取的处理和解决方案、相关部门的调查处理情况等进行描述。</w:t>
      </w:r>
    </w:p>
    <w:p w14:paraId="01CCBE51" w14:textId="77777777" w:rsidR="007E4A58" w:rsidRDefault="00E65812">
      <w:pPr>
        <w:snapToGrid w:val="0"/>
        <w:spacing w:line="520" w:lineRule="exact"/>
        <w:ind w:firstLineChars="200" w:firstLine="640"/>
        <w:rPr>
          <w:rFonts w:ascii="Times New Roman" w:eastAsia="楷体_GB2312" w:hAnsi="Times New Roman"/>
          <w:color w:val="000000"/>
          <w:sz w:val="32"/>
          <w:szCs w:val="32"/>
        </w:rPr>
      </w:pPr>
      <w:r>
        <w:rPr>
          <w:rFonts w:ascii="Times New Roman" w:eastAsia="楷体_GB2312" w:hAnsi="Times New Roman"/>
          <w:color w:val="000000"/>
          <w:sz w:val="32"/>
          <w:szCs w:val="32"/>
        </w:rPr>
        <w:t>（二）非临床资料</w:t>
      </w:r>
    </w:p>
    <w:p w14:paraId="735185B7"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1.</w:t>
      </w:r>
      <w:r>
        <w:rPr>
          <w:rFonts w:ascii="Times New Roman" w:eastAsia="仿宋_GB2312" w:hAnsi="Times New Roman"/>
          <w:color w:val="000000"/>
          <w:sz w:val="32"/>
          <w:szCs w:val="32"/>
        </w:rPr>
        <w:t>产品风险管理资料</w:t>
      </w:r>
    </w:p>
    <w:p w14:paraId="48C1BA7C"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注册申请人需对产品全生命周期实施风险管理，提交风险管理资料（参照</w:t>
      </w:r>
      <w:r>
        <w:rPr>
          <w:rFonts w:ascii="Times New Roman" w:eastAsia="仿宋_GB2312" w:hAnsi="Times New Roman"/>
          <w:color w:val="000000"/>
          <w:sz w:val="32"/>
          <w:szCs w:val="32"/>
        </w:rPr>
        <w:t>GB/T 42062</w:t>
      </w:r>
      <w:r>
        <w:rPr>
          <w:rFonts w:ascii="Times New Roman" w:eastAsia="仿宋_GB2312" w:hAnsi="Times New Roman"/>
          <w:color w:val="000000"/>
          <w:sz w:val="32"/>
          <w:szCs w:val="32"/>
        </w:rPr>
        <w:t>《医疗器械</w:t>
      </w:r>
      <w:r>
        <w:rPr>
          <w:rFonts w:ascii="Times New Roman" w:eastAsia="仿宋_GB2312" w:hAnsi="Times New Roman"/>
          <w:color w:val="000000"/>
          <w:sz w:val="32"/>
          <w:szCs w:val="32"/>
        </w:rPr>
        <w:t xml:space="preserve"> </w:t>
      </w:r>
      <w:r>
        <w:rPr>
          <w:rFonts w:ascii="Times New Roman" w:eastAsia="仿宋_GB2312" w:hAnsi="Times New Roman"/>
          <w:color w:val="000000"/>
          <w:sz w:val="32"/>
          <w:szCs w:val="32"/>
        </w:rPr>
        <w:t>风险管理对医疗器械的应用》），充分识别产品的设计、原材料采购、生产加工过程、表面处</w:t>
      </w:r>
      <w:r>
        <w:rPr>
          <w:rFonts w:ascii="Times New Roman" w:eastAsia="仿宋_GB2312" w:hAnsi="Times New Roman"/>
          <w:color w:val="000000"/>
          <w:sz w:val="32"/>
          <w:szCs w:val="32"/>
        </w:rPr>
        <w:t>理、后处理、产品包装、灭菌、运输、贮存、使用等产品生命周期内各个环节的安全特征，从生物学危险（源）、环境危险（源）、有关植入过程的危险（源）、由功能失效和疲劳所引起的危险（源）等方面，对产品进行全面的风险分析，并详述所采取的风险控制措施。</w:t>
      </w:r>
    </w:p>
    <w:p w14:paraId="41D97574"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风险管理报告需包括生产和生产后信息，具体内容参考</w:t>
      </w:r>
      <w:r>
        <w:rPr>
          <w:rFonts w:ascii="Times New Roman" w:eastAsia="仿宋_GB2312" w:hAnsi="Times New Roman"/>
          <w:color w:val="000000"/>
          <w:sz w:val="32"/>
          <w:szCs w:val="32"/>
        </w:rPr>
        <w:t>GB/T 42062</w:t>
      </w:r>
      <w:r>
        <w:rPr>
          <w:rFonts w:ascii="Times New Roman" w:eastAsia="仿宋_GB2312" w:hAnsi="Times New Roman"/>
          <w:color w:val="000000"/>
          <w:sz w:val="32"/>
          <w:szCs w:val="32"/>
        </w:rPr>
        <w:t>第</w:t>
      </w:r>
      <w:r>
        <w:rPr>
          <w:rFonts w:ascii="Times New Roman" w:eastAsia="仿宋_GB2312" w:hAnsi="Times New Roman"/>
          <w:color w:val="000000"/>
          <w:sz w:val="32"/>
          <w:szCs w:val="32"/>
        </w:rPr>
        <w:t>9</w:t>
      </w:r>
      <w:r>
        <w:rPr>
          <w:rFonts w:ascii="Times New Roman" w:eastAsia="仿宋_GB2312" w:hAnsi="Times New Roman"/>
          <w:color w:val="000000"/>
          <w:sz w:val="32"/>
          <w:szCs w:val="32"/>
        </w:rPr>
        <w:t>章和《医疗器械安全和性能的基本原则》的</w:t>
      </w:r>
      <w:r>
        <w:rPr>
          <w:rFonts w:ascii="Times New Roman" w:eastAsia="仿宋_GB2312" w:hAnsi="Times New Roman"/>
          <w:color w:val="000000"/>
          <w:sz w:val="32"/>
          <w:szCs w:val="32"/>
        </w:rPr>
        <w:lastRenderedPageBreak/>
        <w:t>2.1.2e)f)</w:t>
      </w:r>
      <w:r>
        <w:rPr>
          <w:rFonts w:ascii="Times New Roman" w:eastAsia="仿宋_GB2312" w:hAnsi="Times New Roman"/>
          <w:color w:val="000000"/>
          <w:sz w:val="32"/>
          <w:szCs w:val="32"/>
        </w:rPr>
        <w:t>。产品变更注册和已在境外上市产品注册时，申报资料中的风险管理报告需包括上述内容，将风险管理贯穿于产品的全生命周期。</w:t>
      </w:r>
    </w:p>
    <w:p w14:paraId="760E3BB6"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2.</w:t>
      </w:r>
      <w:r>
        <w:rPr>
          <w:rFonts w:ascii="Times New Roman" w:eastAsia="仿宋_GB2312" w:hAnsi="Times New Roman"/>
          <w:color w:val="000000"/>
          <w:sz w:val="32"/>
          <w:szCs w:val="32"/>
        </w:rPr>
        <w:t>产品技术要求</w:t>
      </w:r>
    </w:p>
    <w:p w14:paraId="3D5F524F"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产品技术要</w:t>
      </w:r>
      <w:r>
        <w:rPr>
          <w:rFonts w:ascii="Times New Roman" w:eastAsia="仿宋_GB2312" w:hAnsi="Times New Roman"/>
          <w:color w:val="000000"/>
          <w:sz w:val="32"/>
          <w:szCs w:val="32"/>
        </w:rPr>
        <w:t>求性能指标一般包括：外观、装量、</w:t>
      </w:r>
      <w:r>
        <w:rPr>
          <w:rFonts w:ascii="Times New Roman" w:eastAsia="仿宋_GB2312" w:hAnsi="Times New Roman"/>
          <w:color w:val="000000"/>
          <w:sz w:val="32"/>
          <w:szCs w:val="32"/>
        </w:rPr>
        <w:t>pH</w:t>
      </w:r>
      <w:r>
        <w:rPr>
          <w:rFonts w:ascii="Times New Roman" w:eastAsia="仿宋_GB2312" w:hAnsi="Times New Roman"/>
          <w:color w:val="000000"/>
          <w:sz w:val="32"/>
          <w:szCs w:val="32"/>
        </w:rPr>
        <w:t>值、重金属含量、漂白活性成分过氧化脲</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过氧化氢</w:t>
      </w:r>
      <w:r>
        <w:rPr>
          <w:rFonts w:ascii="Times New Roman" w:eastAsia="仿宋_GB2312" w:hAnsi="Times New Roman"/>
          <w:color w:val="000000"/>
          <w:sz w:val="32"/>
          <w:szCs w:val="32"/>
        </w:rPr>
        <w:t>含量、可溶出氟含量</w:t>
      </w:r>
      <w:r>
        <w:rPr>
          <w:rFonts w:ascii="Times New Roman" w:eastAsia="仿宋_GB2312" w:hAnsi="Times New Roman" w:hint="eastAsia"/>
          <w:color w:val="000000"/>
          <w:sz w:val="32"/>
          <w:szCs w:val="32"/>
        </w:rPr>
        <w:t>（如适用）</w:t>
      </w:r>
      <w:r>
        <w:rPr>
          <w:rFonts w:ascii="Times New Roman" w:eastAsia="仿宋_GB2312" w:hAnsi="Times New Roman"/>
          <w:color w:val="000000"/>
          <w:sz w:val="32"/>
          <w:szCs w:val="32"/>
        </w:rPr>
        <w:t>、漂泊功效、表面显微硬度、表面腐蚀、颜色反跳</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推出顺滑性</w:t>
      </w:r>
      <w:r>
        <w:rPr>
          <w:rFonts w:ascii="Times New Roman" w:eastAsia="仿宋_GB2312" w:hAnsi="Times New Roman" w:hint="eastAsia"/>
          <w:color w:val="000000"/>
          <w:sz w:val="32"/>
          <w:szCs w:val="32"/>
        </w:rPr>
        <w:t>（如适用）。</w:t>
      </w:r>
    </w:p>
    <w:p w14:paraId="7C451B5E"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产品</w:t>
      </w:r>
      <w:r>
        <w:rPr>
          <w:rFonts w:ascii="Times New Roman" w:eastAsia="仿宋_GB2312" w:hAnsi="Times New Roman"/>
          <w:color w:val="000000"/>
          <w:sz w:val="32"/>
          <w:szCs w:val="32"/>
        </w:rPr>
        <w:t>技术要求附录</w:t>
      </w:r>
      <w:r>
        <w:rPr>
          <w:rFonts w:ascii="Times New Roman" w:eastAsia="仿宋_GB2312" w:hAnsi="Times New Roman" w:hint="eastAsia"/>
          <w:color w:val="000000"/>
          <w:sz w:val="32"/>
          <w:szCs w:val="32"/>
        </w:rPr>
        <w:t>需包括</w:t>
      </w:r>
      <w:r>
        <w:rPr>
          <w:rFonts w:ascii="Times New Roman" w:eastAsia="仿宋_GB2312" w:hAnsi="Times New Roman"/>
          <w:color w:val="000000"/>
          <w:sz w:val="32"/>
          <w:szCs w:val="32"/>
        </w:rPr>
        <w:t>产品的组成成分及百分含量</w:t>
      </w:r>
      <w:r>
        <w:rPr>
          <w:rFonts w:ascii="Times New Roman" w:eastAsia="仿宋_GB2312" w:hAnsi="Times New Roman" w:hint="eastAsia"/>
          <w:color w:val="000000"/>
          <w:sz w:val="32"/>
          <w:szCs w:val="32"/>
        </w:rPr>
        <w:t>。</w:t>
      </w:r>
    </w:p>
    <w:p w14:paraId="314D991F"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3.</w:t>
      </w:r>
      <w:r>
        <w:rPr>
          <w:rFonts w:ascii="Times New Roman" w:eastAsia="仿宋_GB2312" w:hAnsi="Times New Roman"/>
          <w:color w:val="000000"/>
          <w:sz w:val="32"/>
          <w:szCs w:val="32"/>
        </w:rPr>
        <w:t>研究资料</w:t>
      </w:r>
    </w:p>
    <w:p w14:paraId="279D0FE0"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3.1</w:t>
      </w:r>
      <w:r>
        <w:rPr>
          <w:rFonts w:ascii="Times New Roman" w:eastAsia="仿宋_GB2312" w:hAnsi="Times New Roman"/>
          <w:color w:val="000000"/>
          <w:sz w:val="32"/>
          <w:szCs w:val="32"/>
        </w:rPr>
        <w:t>材料</w:t>
      </w:r>
      <w:r>
        <w:rPr>
          <w:rFonts w:ascii="Times New Roman" w:eastAsia="仿宋_GB2312" w:hAnsi="Times New Roman"/>
          <w:color w:val="000000"/>
          <w:sz w:val="32"/>
          <w:szCs w:val="32"/>
        </w:rPr>
        <w:t>/</w:t>
      </w:r>
      <w:r>
        <w:rPr>
          <w:rFonts w:ascii="Times New Roman" w:eastAsia="仿宋_GB2312" w:hAnsi="Times New Roman"/>
          <w:color w:val="000000"/>
          <w:sz w:val="32"/>
          <w:szCs w:val="32"/>
        </w:rPr>
        <w:t>化学表征研究</w:t>
      </w:r>
    </w:p>
    <w:p w14:paraId="132ECED5"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需提供产品化学</w:t>
      </w:r>
      <w:r>
        <w:rPr>
          <w:rFonts w:ascii="Times New Roman" w:eastAsia="仿宋_GB2312" w:hAnsi="Times New Roman"/>
          <w:color w:val="000000"/>
          <w:sz w:val="32"/>
          <w:szCs w:val="32"/>
        </w:rPr>
        <w:t>/</w:t>
      </w:r>
      <w:r>
        <w:rPr>
          <w:rFonts w:ascii="Times New Roman" w:eastAsia="仿宋_GB2312" w:hAnsi="Times New Roman"/>
          <w:color w:val="000000"/>
          <w:sz w:val="32"/>
          <w:szCs w:val="32"/>
        </w:rPr>
        <w:t>材料表征指标的确定依据、设计输入来源以及临床意义，所采用的标准或方法、采用的原因及理论基础</w:t>
      </w:r>
      <w:r>
        <w:rPr>
          <w:rFonts w:ascii="Times New Roman" w:eastAsia="仿宋_GB2312" w:hAnsi="Times New Roman"/>
          <w:bCs/>
          <w:sz w:val="32"/>
          <w:szCs w:val="32"/>
        </w:rPr>
        <w:t>。</w:t>
      </w:r>
    </w:p>
    <w:p w14:paraId="40E699A4"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3.2</w:t>
      </w:r>
      <w:r>
        <w:rPr>
          <w:rFonts w:ascii="Times New Roman" w:eastAsia="仿宋_GB2312" w:hAnsi="Times New Roman"/>
          <w:color w:val="000000"/>
          <w:sz w:val="32"/>
          <w:szCs w:val="32"/>
        </w:rPr>
        <w:t>物理和机械性能研究</w:t>
      </w:r>
    </w:p>
    <w:p w14:paraId="7A102A1C"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提供产品物理和</w:t>
      </w:r>
      <w:r>
        <w:rPr>
          <w:rFonts w:ascii="Times New Roman" w:eastAsia="仿宋_GB2312" w:hAnsi="Times New Roman"/>
          <w:color w:val="000000"/>
          <w:sz w:val="32"/>
          <w:szCs w:val="32"/>
        </w:rPr>
        <w:t>/</w:t>
      </w:r>
      <w:r>
        <w:rPr>
          <w:rFonts w:ascii="Times New Roman" w:eastAsia="仿宋_GB2312" w:hAnsi="Times New Roman"/>
          <w:color w:val="000000"/>
          <w:sz w:val="32"/>
          <w:szCs w:val="32"/>
        </w:rPr>
        <w:t>或机械性能指标的确定依据、设计输入来源以及临床意义，所采用的标准或方法、采用的原因及理论基础。提交产品漂白功效、颜色反跳性能研究资料。需充分论述各项性能结果的临床可接受性。</w:t>
      </w:r>
    </w:p>
    <w:p w14:paraId="762F1518"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提交</w:t>
      </w:r>
      <w:r>
        <w:rPr>
          <w:rFonts w:ascii="Times New Roman" w:eastAsia="仿宋_GB2312" w:hAnsi="Times New Roman"/>
          <w:color w:val="000000"/>
          <w:sz w:val="32"/>
          <w:szCs w:val="32"/>
        </w:rPr>
        <w:t>产品具体使用方法、使用疗程、疗程间隔、使用时间及其确定依据，明确产品每次用量、疗程用量及累计用量，明确配合使用的设备信息。</w:t>
      </w:r>
    </w:p>
    <w:p w14:paraId="5C3D4EF7"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提交</w:t>
      </w:r>
      <w:r>
        <w:rPr>
          <w:rFonts w:ascii="Times New Roman" w:eastAsia="仿宋_GB2312" w:hAnsi="Times New Roman"/>
          <w:color w:val="000000"/>
          <w:sz w:val="32"/>
          <w:szCs w:val="32"/>
        </w:rPr>
        <w:t>牙龈保护措施的可实施性研究资料，</w:t>
      </w:r>
      <w:r>
        <w:rPr>
          <w:rFonts w:ascii="Times New Roman" w:eastAsia="仿宋_GB2312" w:hAnsi="Times New Roman" w:hint="eastAsia"/>
          <w:color w:val="000000"/>
          <w:sz w:val="32"/>
          <w:szCs w:val="32"/>
        </w:rPr>
        <w:t>充分考虑</w:t>
      </w:r>
      <w:r>
        <w:rPr>
          <w:rFonts w:ascii="Times New Roman" w:eastAsia="仿宋_GB2312" w:hAnsi="Times New Roman"/>
          <w:color w:val="000000"/>
          <w:sz w:val="32"/>
          <w:szCs w:val="32"/>
        </w:rPr>
        <w:t>产品</w:t>
      </w:r>
      <w:r>
        <w:rPr>
          <w:rFonts w:ascii="Times New Roman" w:eastAsia="仿宋_GB2312" w:hAnsi="Times New Roman" w:hint="eastAsia"/>
          <w:color w:val="000000"/>
          <w:sz w:val="32"/>
          <w:szCs w:val="32"/>
        </w:rPr>
        <w:t>对</w:t>
      </w:r>
      <w:r>
        <w:rPr>
          <w:rFonts w:ascii="Times New Roman" w:eastAsia="仿宋_GB2312" w:hAnsi="Times New Roman"/>
          <w:color w:val="000000"/>
          <w:sz w:val="32"/>
          <w:szCs w:val="32"/>
        </w:rPr>
        <w:t>牙髓刺激性、对软组织灼伤的风险</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并提交预防风险发生的支持资料。</w:t>
      </w:r>
    </w:p>
    <w:p w14:paraId="107E950F"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提交</w:t>
      </w:r>
      <w:r>
        <w:rPr>
          <w:rFonts w:ascii="Times New Roman" w:eastAsia="仿宋_GB2312" w:hAnsi="Times New Roman"/>
          <w:color w:val="000000"/>
          <w:sz w:val="32"/>
          <w:szCs w:val="32"/>
        </w:rPr>
        <w:t>产品</w:t>
      </w:r>
      <w:r>
        <w:rPr>
          <w:rFonts w:ascii="Times New Roman" w:eastAsia="仿宋_GB2312" w:hAnsi="Times New Roman" w:hint="eastAsia"/>
          <w:color w:val="000000"/>
          <w:sz w:val="32"/>
          <w:szCs w:val="32"/>
        </w:rPr>
        <w:t>漂白</w:t>
      </w:r>
      <w:r>
        <w:rPr>
          <w:rFonts w:ascii="Times New Roman" w:eastAsia="仿宋_GB2312" w:hAnsi="Times New Roman"/>
          <w:color w:val="000000"/>
          <w:sz w:val="32"/>
          <w:szCs w:val="32"/>
        </w:rPr>
        <w:t>功效有效性的支持性研究资料。明确产品</w:t>
      </w:r>
      <w:r>
        <w:rPr>
          <w:rFonts w:ascii="Times New Roman" w:eastAsia="仿宋_GB2312" w:hAnsi="Times New Roman"/>
          <w:color w:val="000000"/>
          <w:sz w:val="32"/>
          <w:szCs w:val="32"/>
        </w:rPr>
        <w:lastRenderedPageBreak/>
        <w:t>显效周期，提交</w:t>
      </w:r>
      <w:r>
        <w:rPr>
          <w:rFonts w:ascii="Times New Roman" w:eastAsia="仿宋_GB2312" w:hAnsi="Times New Roman" w:hint="eastAsia"/>
          <w:color w:val="000000"/>
          <w:sz w:val="32"/>
          <w:szCs w:val="32"/>
        </w:rPr>
        <w:t>漂白</w:t>
      </w:r>
      <w:r>
        <w:rPr>
          <w:rFonts w:ascii="Times New Roman" w:eastAsia="仿宋_GB2312" w:hAnsi="Times New Roman"/>
          <w:color w:val="000000"/>
          <w:sz w:val="32"/>
          <w:szCs w:val="32"/>
        </w:rPr>
        <w:t>显效研究资料及</w:t>
      </w:r>
      <w:r>
        <w:rPr>
          <w:rFonts w:ascii="Times New Roman" w:eastAsia="仿宋_GB2312" w:hAnsi="Times New Roman"/>
          <w:color w:val="000000"/>
          <w:sz w:val="32"/>
          <w:szCs w:val="32"/>
        </w:rPr>
        <w:t>本产品漂白后颜色反跳时间周期的研究资料</w:t>
      </w:r>
      <w:r>
        <w:rPr>
          <w:rFonts w:ascii="Times New Roman" w:eastAsia="仿宋_GB2312" w:hAnsi="Times New Roman" w:hint="eastAsia"/>
          <w:color w:val="000000"/>
          <w:sz w:val="32"/>
          <w:szCs w:val="32"/>
        </w:rPr>
        <w:t>。</w:t>
      </w:r>
    </w:p>
    <w:p w14:paraId="476D1CBC"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提交</w:t>
      </w:r>
      <w:r>
        <w:rPr>
          <w:rFonts w:ascii="Times New Roman" w:eastAsia="仿宋_GB2312" w:hAnsi="Times New Roman"/>
          <w:color w:val="000000"/>
          <w:sz w:val="32"/>
          <w:szCs w:val="32"/>
        </w:rPr>
        <w:t>微生物含量</w:t>
      </w:r>
      <w:r>
        <w:rPr>
          <w:rFonts w:ascii="Times New Roman" w:eastAsia="仿宋_GB2312" w:hAnsi="Times New Roman" w:hint="eastAsia"/>
          <w:color w:val="000000"/>
          <w:sz w:val="32"/>
          <w:szCs w:val="32"/>
        </w:rPr>
        <w:t>研究</w:t>
      </w:r>
      <w:r>
        <w:rPr>
          <w:rFonts w:ascii="Times New Roman" w:eastAsia="仿宋_GB2312" w:hAnsi="Times New Roman"/>
          <w:color w:val="000000"/>
          <w:sz w:val="32"/>
          <w:szCs w:val="32"/>
        </w:rPr>
        <w:t>资料。</w:t>
      </w:r>
    </w:p>
    <w:p w14:paraId="28E1B73D"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3.3</w:t>
      </w:r>
      <w:r>
        <w:rPr>
          <w:rFonts w:ascii="Times New Roman" w:eastAsia="仿宋_GB2312" w:hAnsi="Times New Roman"/>
          <w:color w:val="000000"/>
          <w:sz w:val="32"/>
          <w:szCs w:val="32"/>
        </w:rPr>
        <w:t>生物学评价</w:t>
      </w:r>
    </w:p>
    <w:p w14:paraId="4A3DF8E4"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申请人需按照</w:t>
      </w:r>
      <w:r>
        <w:rPr>
          <w:rFonts w:ascii="Times New Roman" w:eastAsia="仿宋_GB2312" w:hAnsi="Times New Roman"/>
          <w:color w:val="000000"/>
          <w:sz w:val="32"/>
          <w:szCs w:val="32"/>
        </w:rPr>
        <w:t>GB/T 16886.1</w:t>
      </w:r>
      <w:r>
        <w:rPr>
          <w:rFonts w:ascii="Times New Roman" w:eastAsia="仿宋_GB2312" w:hAnsi="Times New Roman"/>
          <w:color w:val="000000"/>
          <w:sz w:val="32"/>
          <w:szCs w:val="32"/>
        </w:rPr>
        <w:t>《医疗器械生物学评价第</w:t>
      </w:r>
      <w:r>
        <w:rPr>
          <w:rFonts w:ascii="Times New Roman" w:eastAsia="仿宋_GB2312" w:hAnsi="Times New Roman"/>
          <w:color w:val="000000"/>
          <w:sz w:val="32"/>
          <w:szCs w:val="32"/>
        </w:rPr>
        <w:t>1</w:t>
      </w:r>
      <w:r>
        <w:rPr>
          <w:rFonts w:ascii="Times New Roman" w:eastAsia="仿宋_GB2312" w:hAnsi="Times New Roman"/>
          <w:color w:val="000000"/>
          <w:sz w:val="32"/>
          <w:szCs w:val="32"/>
        </w:rPr>
        <w:t>部分：风险管理过程中的评价与试验》</w:t>
      </w:r>
      <w:r>
        <w:rPr>
          <w:rFonts w:ascii="Times New Roman" w:eastAsia="仿宋_GB2312" w:hAnsi="Times New Roman"/>
          <w:sz w:val="32"/>
          <w:szCs w:val="32"/>
        </w:rPr>
        <w:t>和</w:t>
      </w:r>
      <w:r>
        <w:rPr>
          <w:rFonts w:ascii="Times New Roman" w:eastAsia="仿宋_GB2312" w:hAnsi="Times New Roman"/>
          <w:sz w:val="32"/>
          <w:szCs w:val="32"/>
        </w:rPr>
        <w:t>YY/T 0268</w:t>
      </w:r>
      <w:r>
        <w:rPr>
          <w:rFonts w:ascii="Times New Roman" w:eastAsia="仿宋_GB2312" w:hAnsi="Times New Roman"/>
          <w:sz w:val="32"/>
          <w:szCs w:val="32"/>
        </w:rPr>
        <w:t>《牙科学口腔医疗器械生物学评价第</w:t>
      </w:r>
      <w:r>
        <w:rPr>
          <w:rFonts w:ascii="Times New Roman" w:eastAsia="仿宋_GB2312" w:hAnsi="Times New Roman"/>
          <w:sz w:val="32"/>
          <w:szCs w:val="32"/>
        </w:rPr>
        <w:t>1</w:t>
      </w:r>
      <w:r>
        <w:rPr>
          <w:rFonts w:ascii="Times New Roman" w:eastAsia="仿宋_GB2312" w:hAnsi="Times New Roman"/>
          <w:sz w:val="32"/>
          <w:szCs w:val="32"/>
        </w:rPr>
        <w:t>单元：评价与试验》相关要求，</w:t>
      </w:r>
      <w:r>
        <w:rPr>
          <w:rFonts w:ascii="Times New Roman" w:eastAsia="仿宋_GB2312" w:hAnsi="Times New Roman"/>
          <w:color w:val="000000"/>
          <w:sz w:val="32"/>
          <w:szCs w:val="32"/>
        </w:rPr>
        <w:t>必要时根据</w:t>
      </w:r>
      <w:r>
        <w:rPr>
          <w:rFonts w:ascii="Times New Roman" w:eastAsia="仿宋_GB2312" w:hAnsi="Times New Roman"/>
          <w:color w:val="000000"/>
          <w:sz w:val="32"/>
          <w:szCs w:val="32"/>
        </w:rPr>
        <w:t>GB/T 16886</w:t>
      </w:r>
      <w:r>
        <w:rPr>
          <w:rFonts w:ascii="Times New Roman" w:eastAsia="仿宋_GB2312" w:hAnsi="Times New Roman"/>
          <w:color w:val="000000"/>
          <w:sz w:val="32"/>
          <w:szCs w:val="32"/>
        </w:rPr>
        <w:t>系列标准进行生物学试验。</w:t>
      </w:r>
      <w:r>
        <w:rPr>
          <w:rFonts w:ascii="Times New Roman" w:eastAsia="仿宋_GB2312" w:hAnsi="Times New Roman" w:hint="eastAsia"/>
          <w:color w:val="000000"/>
          <w:sz w:val="32"/>
          <w:szCs w:val="32"/>
        </w:rPr>
        <w:t>对于</w:t>
      </w:r>
      <w:r>
        <w:rPr>
          <w:rFonts w:ascii="Times New Roman" w:eastAsia="仿宋_GB2312" w:hAnsi="Times New Roman"/>
          <w:color w:val="000000"/>
          <w:sz w:val="32"/>
          <w:szCs w:val="32"/>
        </w:rPr>
        <w:t>表面接触</w:t>
      </w:r>
      <w:r>
        <w:rPr>
          <w:rFonts w:ascii="Times New Roman" w:eastAsia="仿宋_GB2312" w:hAnsi="Times New Roman" w:hint="eastAsia"/>
          <w:color w:val="000000"/>
          <w:sz w:val="32"/>
          <w:szCs w:val="32"/>
        </w:rPr>
        <w:t>的牙齿</w:t>
      </w:r>
      <w:r>
        <w:rPr>
          <w:rFonts w:ascii="Times New Roman" w:eastAsia="仿宋_GB2312" w:hAnsi="Times New Roman"/>
          <w:color w:val="000000"/>
          <w:sz w:val="32"/>
          <w:szCs w:val="32"/>
        </w:rPr>
        <w:t>漂白剂产品，单次有效疗程累计使用时间</w:t>
      </w:r>
      <w:r>
        <w:rPr>
          <w:rFonts w:ascii="Times New Roman" w:eastAsia="仿宋_GB2312" w:hAnsi="Times New Roman" w:hint="eastAsia"/>
          <w:color w:val="000000"/>
          <w:sz w:val="32"/>
          <w:szCs w:val="32"/>
        </w:rPr>
        <w:t>不超过</w:t>
      </w:r>
      <w:r>
        <w:rPr>
          <w:rFonts w:ascii="Times New Roman" w:eastAsia="仿宋_GB2312" w:hAnsi="Times New Roman" w:hint="eastAsia"/>
          <w:color w:val="000000"/>
          <w:sz w:val="32"/>
          <w:szCs w:val="32"/>
        </w:rPr>
        <w:t>30</w:t>
      </w:r>
      <w:r>
        <w:rPr>
          <w:rFonts w:ascii="Times New Roman" w:eastAsia="仿宋_GB2312" w:hAnsi="Times New Roman" w:hint="eastAsia"/>
          <w:color w:val="000000"/>
          <w:sz w:val="32"/>
          <w:szCs w:val="32"/>
        </w:rPr>
        <w:t>天</w:t>
      </w:r>
      <w:r>
        <w:rPr>
          <w:rFonts w:ascii="Times New Roman" w:eastAsia="仿宋_GB2312" w:hAnsi="Times New Roman"/>
          <w:color w:val="000000"/>
          <w:sz w:val="32"/>
          <w:szCs w:val="32"/>
        </w:rPr>
        <w:t>的，生物学评价终点一般包括细胞毒性、</w:t>
      </w:r>
      <w:r>
        <w:rPr>
          <w:rFonts w:ascii="Times New Roman" w:eastAsia="仿宋_GB2312" w:hAnsi="Times New Roman" w:hint="eastAsia"/>
          <w:color w:val="000000"/>
          <w:sz w:val="32"/>
          <w:szCs w:val="32"/>
        </w:rPr>
        <w:t>口腔</w:t>
      </w:r>
      <w:r>
        <w:rPr>
          <w:rFonts w:ascii="Times New Roman" w:eastAsia="仿宋_GB2312" w:hAnsi="Times New Roman"/>
          <w:color w:val="000000"/>
          <w:sz w:val="32"/>
          <w:szCs w:val="32"/>
        </w:rPr>
        <w:t>黏膜刺激</w:t>
      </w:r>
      <w:r>
        <w:rPr>
          <w:rFonts w:ascii="Times New Roman" w:eastAsia="仿宋_GB2312" w:hAnsi="Times New Roman" w:hint="eastAsia"/>
          <w:color w:val="000000"/>
          <w:sz w:val="32"/>
          <w:szCs w:val="32"/>
        </w:rPr>
        <w:t>/</w:t>
      </w:r>
      <w:r>
        <w:rPr>
          <w:rFonts w:ascii="Times New Roman" w:eastAsia="仿宋_GB2312" w:hAnsi="Times New Roman"/>
          <w:color w:val="000000"/>
          <w:sz w:val="32"/>
          <w:szCs w:val="32"/>
        </w:rPr>
        <w:t>皮内刺激、迟发型超敏反应。</w:t>
      </w:r>
    </w:p>
    <w:p w14:paraId="484A47AB"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3.4</w:t>
      </w:r>
      <w:r>
        <w:rPr>
          <w:rFonts w:ascii="Times New Roman" w:eastAsia="仿宋_GB2312" w:hAnsi="Times New Roman"/>
          <w:color w:val="000000"/>
          <w:sz w:val="32"/>
          <w:szCs w:val="32"/>
        </w:rPr>
        <w:t>灭菌验证</w:t>
      </w:r>
    </w:p>
    <w:p w14:paraId="505865DE"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产品以非灭菌包装状态交付。</w:t>
      </w:r>
    </w:p>
    <w:p w14:paraId="2767AA0D"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 xml:space="preserve">3.5 </w:t>
      </w:r>
      <w:r>
        <w:rPr>
          <w:rFonts w:ascii="Times New Roman" w:eastAsia="仿宋_GB2312" w:hAnsi="Times New Roman"/>
          <w:color w:val="000000"/>
          <w:sz w:val="32"/>
          <w:szCs w:val="32"/>
        </w:rPr>
        <w:t>动物试验</w:t>
      </w:r>
    </w:p>
    <w:p w14:paraId="1A26A1C5"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申请人若开展动物试验研究，应按照《医疗器械动物试验研究注册审查指导原则第一部分：决策原则（</w:t>
      </w:r>
      <w:r>
        <w:rPr>
          <w:rFonts w:ascii="Times New Roman" w:eastAsia="仿宋_GB2312" w:hAnsi="Times New Roman"/>
          <w:color w:val="000000"/>
          <w:sz w:val="32"/>
          <w:szCs w:val="32"/>
        </w:rPr>
        <w:t xml:space="preserve">2021 </w:t>
      </w:r>
      <w:r>
        <w:rPr>
          <w:rFonts w:ascii="Times New Roman" w:eastAsia="仿宋_GB2312" w:hAnsi="Times New Roman"/>
          <w:color w:val="000000"/>
          <w:sz w:val="32"/>
          <w:szCs w:val="32"/>
        </w:rPr>
        <w:t>年修订版）》《医疗器械动物试验研究注册审查指导原则第二部分：试验设计、实施质量保证》的要求开展动物试验。</w:t>
      </w:r>
    </w:p>
    <w:p w14:paraId="009E3DE3"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4.</w:t>
      </w:r>
      <w:r>
        <w:rPr>
          <w:rFonts w:ascii="Times New Roman" w:eastAsia="仿宋_GB2312" w:hAnsi="Times New Roman"/>
          <w:color w:val="000000"/>
          <w:sz w:val="32"/>
          <w:szCs w:val="32"/>
        </w:rPr>
        <w:t>稳定性研究</w:t>
      </w:r>
    </w:p>
    <w:p w14:paraId="3C15DC36"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申报产品需参照《无源植入物医疗器械稳定性研究指导原则》（</w:t>
      </w:r>
      <w:r>
        <w:rPr>
          <w:rFonts w:ascii="Times New Roman" w:eastAsia="仿宋_GB2312" w:hAnsi="Times New Roman"/>
          <w:color w:val="000000"/>
          <w:sz w:val="32"/>
          <w:szCs w:val="32"/>
        </w:rPr>
        <w:t>2022</w:t>
      </w:r>
      <w:r>
        <w:rPr>
          <w:rFonts w:ascii="Times New Roman" w:eastAsia="仿宋_GB2312" w:hAnsi="Times New Roman"/>
          <w:color w:val="000000"/>
          <w:sz w:val="32"/>
          <w:szCs w:val="32"/>
        </w:rPr>
        <w:t>年修订版）的要求提供相关资料。</w:t>
      </w:r>
    </w:p>
    <w:p w14:paraId="61DA5A6E"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牙齿</w:t>
      </w:r>
      <w:r>
        <w:rPr>
          <w:rFonts w:ascii="Times New Roman" w:eastAsia="仿宋_GB2312" w:hAnsi="Times New Roman"/>
          <w:color w:val="000000"/>
          <w:sz w:val="32"/>
          <w:szCs w:val="32"/>
        </w:rPr>
        <w:t>漂白材料一般</w:t>
      </w:r>
      <w:r>
        <w:rPr>
          <w:rFonts w:ascii="Times New Roman" w:eastAsia="仿宋_GB2312" w:hAnsi="Times New Roman" w:hint="eastAsia"/>
          <w:color w:val="000000"/>
          <w:sz w:val="32"/>
          <w:szCs w:val="32"/>
        </w:rPr>
        <w:t>为</w:t>
      </w:r>
      <w:r>
        <w:rPr>
          <w:rFonts w:ascii="Times New Roman" w:eastAsia="仿宋_GB2312" w:hAnsi="Times New Roman"/>
          <w:color w:val="000000"/>
          <w:sz w:val="32"/>
          <w:szCs w:val="32"/>
        </w:rPr>
        <w:t>非灭菌</w:t>
      </w:r>
      <w:r>
        <w:rPr>
          <w:rFonts w:ascii="Times New Roman" w:eastAsia="仿宋_GB2312" w:hAnsi="Times New Roman" w:hint="eastAsia"/>
          <w:color w:val="000000"/>
          <w:sz w:val="32"/>
          <w:szCs w:val="32"/>
        </w:rPr>
        <w:t>提供</w:t>
      </w:r>
      <w:r>
        <w:rPr>
          <w:rFonts w:ascii="Times New Roman" w:eastAsia="仿宋_GB2312" w:hAnsi="Times New Roman"/>
          <w:color w:val="000000"/>
          <w:sz w:val="32"/>
          <w:szCs w:val="32"/>
        </w:rPr>
        <w:t>，货架有效期的确定需建立在科学试验的基础上，如稳定性试验，其目的是考察产品在温度、湿度、光线的影响下随时间变化的规律，为产品的生产、包装、贮存、运输条件提供科学依据，同时通过试验建立产品的有效期。因此，申请人在申报产品注册时需提</w:t>
      </w:r>
      <w:r>
        <w:rPr>
          <w:rFonts w:ascii="Times New Roman" w:eastAsia="仿宋_GB2312" w:hAnsi="Times New Roman"/>
          <w:color w:val="000000"/>
          <w:sz w:val="32"/>
          <w:szCs w:val="32"/>
        </w:rPr>
        <w:lastRenderedPageBreak/>
        <w:t>供产品有效期的验证报告及内包装材料信息。</w:t>
      </w:r>
    </w:p>
    <w:p w14:paraId="51AD750E"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需提交运输稳定性验证资料，可依据有关适用的国内、国际标准和验证方案进行，如：产品包装的跌落试验、振荡试验等，提交运输稳定性验证资料，证明在规定的运输条件下，运输过程中环境条件不会对医疗器械的特性和性能造成不利影响。</w:t>
      </w:r>
    </w:p>
    <w:p w14:paraId="000399CE"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5.</w:t>
      </w:r>
      <w:r>
        <w:rPr>
          <w:rFonts w:ascii="Times New Roman" w:eastAsia="仿宋_GB2312" w:hAnsi="Times New Roman"/>
          <w:color w:val="000000"/>
          <w:sz w:val="32"/>
          <w:szCs w:val="32"/>
        </w:rPr>
        <w:t>其他资料</w:t>
      </w:r>
    </w:p>
    <w:p w14:paraId="53C6DE41" w14:textId="77777777" w:rsidR="007E4A58" w:rsidRDefault="00E65812">
      <w:pPr>
        <w:snapToGrid w:val="0"/>
        <w:spacing w:line="520" w:lineRule="exact"/>
        <w:ind w:firstLineChars="200" w:firstLine="640"/>
        <w:rPr>
          <w:rFonts w:ascii="Times New Roman" w:eastAsia="楷体_GB2312" w:hAnsi="Times New Roman"/>
          <w:color w:val="000000"/>
          <w:sz w:val="32"/>
          <w:szCs w:val="32"/>
        </w:rPr>
      </w:pPr>
      <w:r>
        <w:rPr>
          <w:rFonts w:ascii="Times New Roman" w:eastAsia="仿宋_GB2312" w:hAnsi="Times New Roman"/>
          <w:color w:val="000000"/>
          <w:sz w:val="32"/>
          <w:szCs w:val="32"/>
        </w:rPr>
        <w:t>明确产品生产</w:t>
      </w:r>
      <w:r>
        <w:rPr>
          <w:rFonts w:ascii="Times New Roman" w:eastAsia="仿宋_GB2312" w:hAnsi="Times New Roman"/>
          <w:color w:val="000000"/>
          <w:sz w:val="32"/>
          <w:szCs w:val="32"/>
        </w:rPr>
        <w:t>的工艺流程、关键工艺点（共混、消泡）、每个工艺环节的质控要求及措施，提交关键工艺工艺参数。提供从原料至最终产品，所使用物质的化学组成成份、含量。</w:t>
      </w:r>
    </w:p>
    <w:p w14:paraId="529E54A3"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楷体_GB2312" w:hAnsi="Times New Roman"/>
          <w:color w:val="000000"/>
          <w:sz w:val="32"/>
          <w:szCs w:val="32"/>
        </w:rPr>
        <w:t>（三）产品说明书和标签样稿</w:t>
      </w:r>
    </w:p>
    <w:p w14:paraId="15E9D3F0" w14:textId="77777777" w:rsidR="007E4A58" w:rsidRDefault="00E65812">
      <w:pPr>
        <w:snapToGrid w:val="0"/>
        <w:spacing w:line="52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产品说明书、标签和包装标识需符合《医疗器械说明书和标签管理规定》和</w:t>
      </w:r>
      <w:bookmarkStart w:id="0" w:name="_GoBack"/>
      <w:bookmarkEnd w:id="0"/>
      <w:r>
        <w:rPr>
          <w:rFonts w:ascii="Times New Roman" w:eastAsia="仿宋_GB2312" w:hAnsi="Times New Roman"/>
          <w:color w:val="000000"/>
          <w:sz w:val="32"/>
          <w:szCs w:val="32"/>
        </w:rPr>
        <w:t>相关国家标准、行业标准的要求，例如</w:t>
      </w:r>
      <w:r>
        <w:rPr>
          <w:rFonts w:ascii="Times New Roman" w:eastAsia="仿宋_GB2312" w:hAnsi="Times New Roman"/>
          <w:color w:val="000000"/>
          <w:sz w:val="32"/>
          <w:szCs w:val="32"/>
        </w:rPr>
        <w:t>YY/T 0466.1</w:t>
      </w:r>
      <w:r>
        <w:rPr>
          <w:rFonts w:ascii="Times New Roman" w:eastAsia="仿宋_GB2312" w:hAnsi="Times New Roman"/>
          <w:color w:val="000000"/>
          <w:sz w:val="32"/>
          <w:szCs w:val="32"/>
        </w:rPr>
        <w:t>《医疗器械用于医疗器械标签、标记和提供信息的符号第</w:t>
      </w:r>
      <w:r>
        <w:rPr>
          <w:rFonts w:ascii="Times New Roman" w:eastAsia="仿宋_GB2312" w:hAnsi="Times New Roman"/>
          <w:color w:val="000000"/>
          <w:sz w:val="32"/>
          <w:szCs w:val="32"/>
        </w:rPr>
        <w:t>1</w:t>
      </w:r>
      <w:r>
        <w:rPr>
          <w:rFonts w:ascii="Times New Roman" w:eastAsia="仿宋_GB2312" w:hAnsi="Times New Roman"/>
          <w:color w:val="000000"/>
          <w:sz w:val="32"/>
          <w:szCs w:val="32"/>
        </w:rPr>
        <w:t>部分：通用要求》。</w:t>
      </w:r>
    </w:p>
    <w:p w14:paraId="0B3113A6" w14:textId="77777777" w:rsidR="007E4A58" w:rsidRDefault="00E65812">
      <w:pPr>
        <w:snapToGrid w:val="0"/>
        <w:spacing w:line="520" w:lineRule="exact"/>
        <w:ind w:firstLineChars="200" w:firstLine="640"/>
        <w:rPr>
          <w:rFonts w:ascii="Times New Roman" w:hAnsi="Times New Roman"/>
        </w:rPr>
      </w:pPr>
      <w:r>
        <w:rPr>
          <w:rFonts w:ascii="Times New Roman" w:eastAsia="仿宋_GB2312" w:hAnsi="Times New Roman"/>
          <w:color w:val="000000"/>
          <w:sz w:val="32"/>
          <w:szCs w:val="32"/>
        </w:rPr>
        <w:t>说明书需告知使用者所有使用过程中相关的剩余风险。对产品预期使用者的技术知识、经验、教育背景、培训、身体状况以及产品使用环境（含工作条件）有要求的</w:t>
      </w:r>
      <w:r>
        <w:rPr>
          <w:rFonts w:ascii="Times New Roman" w:eastAsia="仿宋_GB2312" w:hAnsi="Times New Roman"/>
          <w:color w:val="000000"/>
          <w:sz w:val="32"/>
          <w:szCs w:val="32"/>
        </w:rPr>
        <w:t>，在说明书中需予以明确。若产品适用于除成人以外的人群，需在说明书中予以明确。</w:t>
      </w:r>
      <w:r>
        <w:rPr>
          <w:rFonts w:ascii="仿宋_GB2312" w:eastAsia="仿宋_GB2312" w:hAnsi="Times New Roman" w:hint="eastAsia"/>
          <w:sz w:val="32"/>
          <w:szCs w:val="32"/>
        </w:rPr>
        <w:t>需在</w:t>
      </w:r>
      <w:r>
        <w:rPr>
          <w:rFonts w:ascii="仿宋_GB2312" w:eastAsia="仿宋_GB2312" w:hAnsi="Times New Roman"/>
          <w:sz w:val="32"/>
          <w:szCs w:val="32"/>
        </w:rPr>
        <w:t>产品说明书中明确</w:t>
      </w:r>
      <w:r>
        <w:rPr>
          <w:rFonts w:ascii="Times New Roman" w:eastAsia="仿宋_GB2312" w:hAnsi="Times New Roman"/>
          <w:color w:val="000000"/>
          <w:sz w:val="32"/>
          <w:szCs w:val="32"/>
        </w:rPr>
        <w:t>产品具体使用方法、使用疗程、疗程间隔、使用时间，明确产品每次用量、疗程用量及累计用量，明确配合使用的设备信息</w:t>
      </w:r>
      <w:r>
        <w:rPr>
          <w:rFonts w:ascii="Times New Roman" w:eastAsia="仿宋_GB2312" w:hAnsi="Times New Roman" w:hint="eastAsia"/>
          <w:color w:val="000000"/>
          <w:sz w:val="32"/>
          <w:szCs w:val="32"/>
        </w:rPr>
        <w:t>。对于家用型</w:t>
      </w:r>
      <w:r>
        <w:rPr>
          <w:rFonts w:ascii="Times New Roman" w:eastAsia="仿宋_GB2312" w:hAnsi="Times New Roman"/>
          <w:color w:val="000000"/>
          <w:sz w:val="32"/>
          <w:szCs w:val="32"/>
        </w:rPr>
        <w:t>产品需在警示信息中</w:t>
      </w:r>
      <w:r>
        <w:rPr>
          <w:rFonts w:ascii="Times New Roman" w:eastAsia="仿宋_GB2312" w:hAnsi="Times New Roman" w:hint="eastAsia"/>
          <w:color w:val="000000"/>
          <w:sz w:val="32"/>
          <w:szCs w:val="32"/>
        </w:rPr>
        <w:t>明确</w:t>
      </w:r>
      <w:r>
        <w:rPr>
          <w:rFonts w:ascii="Times New Roman" w:eastAsia="仿宋_GB2312" w:hAnsi="Times New Roman"/>
          <w:color w:val="000000"/>
          <w:sz w:val="32"/>
          <w:szCs w:val="32"/>
        </w:rPr>
        <w:t>对口腔软组织灼伤等风险，</w:t>
      </w:r>
      <w:r>
        <w:rPr>
          <w:rFonts w:ascii="Times New Roman" w:eastAsia="仿宋_GB2312" w:hAnsi="Times New Roman" w:hint="eastAsia"/>
          <w:color w:val="000000"/>
          <w:sz w:val="32"/>
          <w:szCs w:val="32"/>
        </w:rPr>
        <w:t>应标注</w:t>
      </w:r>
      <w:r>
        <w:rPr>
          <w:rFonts w:ascii="Times New Roman" w:eastAsia="仿宋_GB2312" w:hAnsi="Times New Roman"/>
          <w:color w:val="000000"/>
          <w:sz w:val="32"/>
          <w:szCs w:val="32"/>
        </w:rPr>
        <w:t>“</w:t>
      </w:r>
      <w:r>
        <w:rPr>
          <w:rFonts w:ascii="Times New Roman" w:eastAsia="仿宋_GB2312" w:hAnsi="Times New Roman"/>
          <w:color w:val="000000"/>
          <w:sz w:val="32"/>
          <w:szCs w:val="32"/>
        </w:rPr>
        <w:t>出现不适时应立即停用，并及时就医</w:t>
      </w:r>
      <w:r>
        <w:rPr>
          <w:rFonts w:ascii="Times New Roman" w:eastAsia="仿宋_GB2312" w:hAnsi="Times New Roman"/>
          <w:color w:val="000000"/>
          <w:sz w:val="32"/>
          <w:szCs w:val="32"/>
        </w:rPr>
        <w:t>”</w:t>
      </w:r>
      <w:r>
        <w:rPr>
          <w:rFonts w:ascii="Times New Roman" w:eastAsia="仿宋_GB2312" w:hAnsi="Times New Roman"/>
          <w:color w:val="000000"/>
          <w:sz w:val="32"/>
          <w:szCs w:val="32"/>
        </w:rPr>
        <w:t>。</w:t>
      </w:r>
    </w:p>
    <w:sectPr w:rsidR="007E4A58">
      <w:headerReference w:type="first" r:id="rId6"/>
      <w:pgSz w:w="11906" w:h="16838"/>
      <w:pgMar w:top="1440" w:right="1800" w:bottom="1440" w:left="1800" w:header="851" w:footer="992" w:gutter="0"/>
      <w:lnNumType w:countBy="1" w:restart="continuous"/>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26B036" w14:textId="77777777" w:rsidR="00E65812" w:rsidRDefault="00E65812">
      <w:r>
        <w:separator/>
      </w:r>
    </w:p>
  </w:endnote>
  <w:endnote w:type="continuationSeparator" w:id="0">
    <w:p w14:paraId="15D4E984" w14:textId="77777777" w:rsidR="00E65812" w:rsidRDefault="00E65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楷体_GB2312">
    <w:altName w:val="楷体"/>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3198F7" w14:textId="77777777" w:rsidR="00E65812" w:rsidRDefault="00E65812">
      <w:r>
        <w:separator/>
      </w:r>
    </w:p>
  </w:footnote>
  <w:footnote w:type="continuationSeparator" w:id="0">
    <w:p w14:paraId="007819B8" w14:textId="77777777" w:rsidR="00E65812" w:rsidRDefault="00E65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8"/>
      <w:gridCol w:w="3908"/>
    </w:tblGrid>
    <w:tr w:rsidR="007E4A58" w14:paraId="5E2C419F" w14:textId="77777777">
      <w:trPr>
        <w:trHeight w:val="351"/>
        <w:jc w:val="center"/>
      </w:trPr>
      <w:tc>
        <w:tcPr>
          <w:tcW w:w="4419" w:type="dxa"/>
          <w:vAlign w:val="center"/>
        </w:tcPr>
        <w:p w14:paraId="451EBDC0" w14:textId="77777777" w:rsidR="007E4A58" w:rsidRDefault="00E65812">
          <w:pPr>
            <w:pStyle w:val="a5"/>
            <w:rPr>
              <w:rFonts w:eastAsia="宋体"/>
            </w:rPr>
          </w:pPr>
          <w:r>
            <w:rPr>
              <w:rFonts w:eastAsia="宋体"/>
            </w:rPr>
            <w:t>国家药品监督管理局医疗器械技术审评中心</w:t>
          </w:r>
        </w:p>
      </w:tc>
      <w:tc>
        <w:tcPr>
          <w:tcW w:w="3934" w:type="dxa"/>
          <w:vAlign w:val="center"/>
        </w:tcPr>
        <w:p w14:paraId="48B4C52C" w14:textId="77777777" w:rsidR="007E4A58" w:rsidRDefault="00E65812">
          <w:pPr>
            <w:adjustRightInd w:val="0"/>
            <w:snapToGrid w:val="0"/>
            <w:rPr>
              <w:rFonts w:eastAsia="宋体"/>
              <w:sz w:val="18"/>
              <w:szCs w:val="18"/>
            </w:rPr>
          </w:pPr>
          <w:r>
            <w:rPr>
              <w:rFonts w:eastAsia="宋体"/>
              <w:sz w:val="18"/>
              <w:szCs w:val="18"/>
            </w:rPr>
            <w:t>版本</w:t>
          </w:r>
          <w:r>
            <w:rPr>
              <w:rFonts w:eastAsia="宋体" w:hint="eastAsia"/>
              <w:sz w:val="18"/>
              <w:szCs w:val="18"/>
            </w:rPr>
            <w:t>号</w:t>
          </w:r>
          <w:r>
            <w:rPr>
              <w:rFonts w:eastAsia="宋体"/>
              <w:sz w:val="18"/>
              <w:szCs w:val="18"/>
              <w:lang w:val="en-GB"/>
            </w:rPr>
            <w:t>：</w:t>
          </w:r>
          <w:r>
            <w:rPr>
              <w:rFonts w:eastAsia="宋体" w:hint="eastAsia"/>
              <w:sz w:val="18"/>
              <w:szCs w:val="18"/>
              <w:lang w:val="en-GB"/>
            </w:rPr>
            <w:t>V2</w:t>
          </w:r>
        </w:p>
      </w:tc>
    </w:tr>
    <w:tr w:rsidR="007E4A58" w14:paraId="65F30EA8" w14:textId="77777777">
      <w:trPr>
        <w:trHeight w:val="351"/>
        <w:jc w:val="center"/>
      </w:trPr>
      <w:tc>
        <w:tcPr>
          <w:tcW w:w="4419" w:type="dxa"/>
          <w:vMerge w:val="restart"/>
          <w:vAlign w:val="center"/>
        </w:tcPr>
        <w:p w14:paraId="098FEC89" w14:textId="77777777" w:rsidR="007E4A58" w:rsidRDefault="00E65812">
          <w:pPr>
            <w:adjustRightInd w:val="0"/>
            <w:snapToGrid w:val="0"/>
            <w:jc w:val="center"/>
            <w:rPr>
              <w:rFonts w:eastAsia="楷体_GB2312"/>
              <w:sz w:val="24"/>
            </w:rPr>
          </w:pPr>
          <w:r>
            <w:rPr>
              <w:rFonts w:eastAsia="楷体_GB2312" w:hint="eastAsia"/>
              <w:sz w:val="24"/>
            </w:rPr>
            <w:t>技</w:t>
          </w:r>
          <w:r>
            <w:rPr>
              <w:rFonts w:eastAsia="楷体_GB2312" w:hint="eastAsia"/>
              <w:sz w:val="24"/>
            </w:rPr>
            <w:t xml:space="preserve"> </w:t>
          </w:r>
          <w:r>
            <w:rPr>
              <w:rFonts w:eastAsia="楷体_GB2312" w:hint="eastAsia"/>
              <w:sz w:val="24"/>
            </w:rPr>
            <w:t>术</w:t>
          </w:r>
          <w:r>
            <w:rPr>
              <w:rFonts w:eastAsia="楷体_GB2312" w:hint="eastAsia"/>
              <w:sz w:val="24"/>
            </w:rPr>
            <w:t xml:space="preserve"> </w:t>
          </w:r>
          <w:r>
            <w:rPr>
              <w:rFonts w:eastAsia="楷体_GB2312" w:hint="eastAsia"/>
              <w:sz w:val="24"/>
            </w:rPr>
            <w:t>审</w:t>
          </w:r>
          <w:r>
            <w:rPr>
              <w:rFonts w:eastAsia="楷体_GB2312" w:hint="eastAsia"/>
              <w:sz w:val="24"/>
            </w:rPr>
            <w:t xml:space="preserve"> </w:t>
          </w:r>
          <w:r>
            <w:rPr>
              <w:rFonts w:eastAsia="楷体_GB2312" w:hint="eastAsia"/>
              <w:sz w:val="24"/>
            </w:rPr>
            <w:t>评</w:t>
          </w:r>
          <w:r>
            <w:rPr>
              <w:rFonts w:eastAsia="楷体_GB2312" w:hint="eastAsia"/>
              <w:sz w:val="24"/>
            </w:rPr>
            <w:t xml:space="preserve"> </w:t>
          </w:r>
          <w:r>
            <w:rPr>
              <w:rFonts w:eastAsia="楷体_GB2312" w:hint="eastAsia"/>
              <w:sz w:val="24"/>
            </w:rPr>
            <w:t>要</w:t>
          </w:r>
          <w:r>
            <w:rPr>
              <w:rFonts w:eastAsia="楷体_GB2312" w:hint="eastAsia"/>
              <w:sz w:val="24"/>
            </w:rPr>
            <w:t xml:space="preserve"> </w:t>
          </w:r>
          <w:r>
            <w:rPr>
              <w:rFonts w:eastAsia="楷体_GB2312" w:hint="eastAsia"/>
              <w:sz w:val="24"/>
            </w:rPr>
            <w:t>点</w:t>
          </w:r>
        </w:p>
      </w:tc>
      <w:tc>
        <w:tcPr>
          <w:tcW w:w="3934" w:type="dxa"/>
          <w:vAlign w:val="center"/>
        </w:tcPr>
        <w:p w14:paraId="409F069E" w14:textId="77777777" w:rsidR="007E4A58" w:rsidRDefault="00E65812">
          <w:pPr>
            <w:adjustRightInd w:val="0"/>
            <w:snapToGrid w:val="0"/>
            <w:rPr>
              <w:rFonts w:eastAsia="宋体"/>
              <w:sz w:val="18"/>
              <w:szCs w:val="18"/>
            </w:rPr>
          </w:pPr>
          <w:r>
            <w:rPr>
              <w:rFonts w:eastAsia="宋体" w:hint="eastAsia"/>
              <w:sz w:val="18"/>
              <w:szCs w:val="18"/>
            </w:rPr>
            <w:t>相关产品</w:t>
          </w:r>
          <w:r>
            <w:rPr>
              <w:rFonts w:eastAsia="宋体"/>
              <w:sz w:val="18"/>
              <w:szCs w:val="18"/>
            </w:rPr>
            <w:t>受理号</w:t>
          </w:r>
          <w:r>
            <w:rPr>
              <w:rFonts w:eastAsia="宋体" w:hint="eastAsia"/>
              <w:sz w:val="18"/>
              <w:szCs w:val="18"/>
            </w:rPr>
            <w:t>（如有）</w:t>
          </w:r>
          <w:r>
            <w:rPr>
              <w:rFonts w:eastAsia="宋体"/>
              <w:sz w:val="18"/>
              <w:szCs w:val="18"/>
            </w:rPr>
            <w:t>：</w:t>
          </w:r>
          <w:r>
            <w:rPr>
              <w:rFonts w:eastAsia="宋体" w:hint="eastAsia"/>
              <w:sz w:val="18"/>
              <w:szCs w:val="18"/>
            </w:rPr>
            <w:t xml:space="preserve"> </w:t>
          </w:r>
        </w:p>
      </w:tc>
    </w:tr>
    <w:tr w:rsidR="007E4A58" w14:paraId="60D7081E" w14:textId="77777777">
      <w:trPr>
        <w:trHeight w:val="351"/>
        <w:jc w:val="center"/>
      </w:trPr>
      <w:tc>
        <w:tcPr>
          <w:tcW w:w="4419" w:type="dxa"/>
          <w:vMerge/>
          <w:vAlign w:val="center"/>
        </w:tcPr>
        <w:p w14:paraId="76275E03" w14:textId="77777777" w:rsidR="007E4A58" w:rsidRDefault="007E4A58">
          <w:pPr>
            <w:adjustRightInd w:val="0"/>
            <w:snapToGrid w:val="0"/>
            <w:spacing w:line="360" w:lineRule="auto"/>
            <w:jc w:val="center"/>
            <w:rPr>
              <w:sz w:val="24"/>
            </w:rPr>
          </w:pPr>
        </w:p>
      </w:tc>
      <w:tc>
        <w:tcPr>
          <w:tcW w:w="3934" w:type="dxa"/>
          <w:vAlign w:val="center"/>
        </w:tcPr>
        <w:p w14:paraId="35414B39" w14:textId="77777777" w:rsidR="007E4A58" w:rsidRDefault="00E65812">
          <w:pPr>
            <w:adjustRightInd w:val="0"/>
            <w:snapToGrid w:val="0"/>
            <w:rPr>
              <w:rFonts w:eastAsia="宋体"/>
              <w:sz w:val="18"/>
              <w:szCs w:val="18"/>
            </w:rPr>
          </w:pPr>
          <w:r>
            <w:rPr>
              <w:rFonts w:eastAsia="宋体" w:hint="eastAsia"/>
              <w:sz w:val="18"/>
              <w:szCs w:val="18"/>
            </w:rPr>
            <w:t>审评</w:t>
          </w:r>
          <w:r>
            <w:rPr>
              <w:rFonts w:eastAsia="宋体"/>
              <w:sz w:val="18"/>
              <w:szCs w:val="18"/>
            </w:rPr>
            <w:t>资质代码：</w:t>
          </w:r>
          <w:r>
            <w:rPr>
              <w:rFonts w:eastAsia="宋体" w:hint="eastAsia"/>
              <w:sz w:val="18"/>
              <w:szCs w:val="18"/>
            </w:rPr>
            <w:t>MD239</w:t>
          </w:r>
        </w:p>
      </w:tc>
    </w:tr>
    <w:tr w:rsidR="007E4A58" w14:paraId="0D28DC02" w14:textId="77777777">
      <w:trPr>
        <w:trHeight w:val="351"/>
        <w:jc w:val="center"/>
      </w:trPr>
      <w:tc>
        <w:tcPr>
          <w:tcW w:w="4419" w:type="dxa"/>
          <w:vAlign w:val="center"/>
        </w:tcPr>
        <w:p w14:paraId="3A44C886" w14:textId="77777777" w:rsidR="007E4A58" w:rsidRDefault="00E65812">
          <w:pPr>
            <w:pStyle w:val="a5"/>
            <w:pBdr>
              <w:bottom w:val="none" w:sz="0" w:space="0" w:color="auto"/>
            </w:pBdr>
            <w:ind w:firstLineChars="200" w:firstLine="360"/>
            <w:jc w:val="both"/>
            <w:rPr>
              <w:rFonts w:eastAsia="宋体"/>
              <w:sz w:val="24"/>
            </w:rPr>
          </w:pPr>
          <w:r>
            <w:rPr>
              <w:rFonts w:eastAsia="宋体"/>
            </w:rPr>
            <w:t>题目：</w:t>
          </w:r>
          <w:r>
            <w:rPr>
              <w:rFonts w:eastAsia="宋体" w:hint="eastAsia"/>
            </w:rPr>
            <w:t xml:space="preserve">    </w:t>
          </w:r>
          <w:r>
            <w:rPr>
              <w:rFonts w:eastAsia="宋体" w:hint="eastAsia"/>
            </w:rPr>
            <w:t>牙齿漂白材料审评要点</w:t>
          </w:r>
        </w:p>
      </w:tc>
      <w:tc>
        <w:tcPr>
          <w:tcW w:w="3934" w:type="dxa"/>
          <w:vAlign w:val="center"/>
        </w:tcPr>
        <w:p w14:paraId="5607DC78" w14:textId="77777777" w:rsidR="007E4A58" w:rsidRDefault="00E65812">
          <w:pPr>
            <w:adjustRightInd w:val="0"/>
            <w:snapToGrid w:val="0"/>
            <w:rPr>
              <w:rFonts w:eastAsia="宋体"/>
              <w:sz w:val="18"/>
              <w:szCs w:val="18"/>
            </w:rPr>
          </w:pPr>
          <w:r>
            <w:rPr>
              <w:rFonts w:eastAsia="宋体" w:hint="eastAsia"/>
              <w:sz w:val="18"/>
              <w:szCs w:val="18"/>
            </w:rPr>
            <w:t>修订说明</w:t>
          </w:r>
          <w:r>
            <w:rPr>
              <w:rFonts w:eastAsia="宋体"/>
              <w:sz w:val="18"/>
              <w:szCs w:val="18"/>
            </w:rPr>
            <w:t>（</w:t>
          </w:r>
          <w:r>
            <w:rPr>
              <w:rFonts w:eastAsia="宋体" w:hint="eastAsia"/>
              <w:sz w:val="18"/>
              <w:szCs w:val="18"/>
            </w:rPr>
            <w:t>如有</w:t>
          </w:r>
          <w:r>
            <w:rPr>
              <w:rFonts w:eastAsia="宋体"/>
              <w:sz w:val="18"/>
              <w:szCs w:val="18"/>
            </w:rPr>
            <w:t>）</w:t>
          </w:r>
          <w:r>
            <w:rPr>
              <w:rFonts w:eastAsia="宋体" w:hint="eastAsia"/>
              <w:sz w:val="18"/>
              <w:szCs w:val="18"/>
            </w:rPr>
            <w:t>：</w:t>
          </w:r>
          <w:r>
            <w:rPr>
              <w:rFonts w:eastAsia="宋体" w:hint="eastAsia"/>
              <w:sz w:val="18"/>
              <w:szCs w:val="18"/>
            </w:rPr>
            <w:t xml:space="preserve"> </w:t>
          </w:r>
        </w:p>
      </w:tc>
    </w:tr>
  </w:tbl>
  <w:p w14:paraId="17C0FAD7" w14:textId="77777777" w:rsidR="007E4A58" w:rsidRDefault="007E4A58">
    <w:pPr>
      <w:pStyle w:val="a5"/>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6357"/>
    <w:rsid w:val="00014307"/>
    <w:rsid w:val="00042B1F"/>
    <w:rsid w:val="00045554"/>
    <w:rsid w:val="00062AE8"/>
    <w:rsid w:val="000B25B0"/>
    <w:rsid w:val="000B6A24"/>
    <w:rsid w:val="000D7C5A"/>
    <w:rsid w:val="001046AB"/>
    <w:rsid w:val="00156130"/>
    <w:rsid w:val="00173A40"/>
    <w:rsid w:val="001F00E1"/>
    <w:rsid w:val="001F251E"/>
    <w:rsid w:val="00250982"/>
    <w:rsid w:val="0025461B"/>
    <w:rsid w:val="002A7D93"/>
    <w:rsid w:val="002B7CA4"/>
    <w:rsid w:val="002D6266"/>
    <w:rsid w:val="003050C9"/>
    <w:rsid w:val="00317990"/>
    <w:rsid w:val="00387726"/>
    <w:rsid w:val="003D6793"/>
    <w:rsid w:val="003F483B"/>
    <w:rsid w:val="00412BEE"/>
    <w:rsid w:val="0043517C"/>
    <w:rsid w:val="00436FBC"/>
    <w:rsid w:val="004708F4"/>
    <w:rsid w:val="00471968"/>
    <w:rsid w:val="004868AE"/>
    <w:rsid w:val="004B3D03"/>
    <w:rsid w:val="004B7A66"/>
    <w:rsid w:val="004C12F8"/>
    <w:rsid w:val="00503EAF"/>
    <w:rsid w:val="00566453"/>
    <w:rsid w:val="00592B2E"/>
    <w:rsid w:val="005D27F0"/>
    <w:rsid w:val="007142CB"/>
    <w:rsid w:val="00736C48"/>
    <w:rsid w:val="007507C3"/>
    <w:rsid w:val="00781B20"/>
    <w:rsid w:val="007B1E0D"/>
    <w:rsid w:val="007E4A58"/>
    <w:rsid w:val="007E62C5"/>
    <w:rsid w:val="008231D0"/>
    <w:rsid w:val="008A454C"/>
    <w:rsid w:val="008E059F"/>
    <w:rsid w:val="009335BB"/>
    <w:rsid w:val="009560D6"/>
    <w:rsid w:val="009B4E97"/>
    <w:rsid w:val="009F1C40"/>
    <w:rsid w:val="009F419E"/>
    <w:rsid w:val="00A15B0E"/>
    <w:rsid w:val="00A477A4"/>
    <w:rsid w:val="00A63305"/>
    <w:rsid w:val="00A66378"/>
    <w:rsid w:val="00AE5CF1"/>
    <w:rsid w:val="00BE7D13"/>
    <w:rsid w:val="00C41D4E"/>
    <w:rsid w:val="00C84CF0"/>
    <w:rsid w:val="00CB7F5A"/>
    <w:rsid w:val="00CD628C"/>
    <w:rsid w:val="00CD7D7F"/>
    <w:rsid w:val="00CE71D9"/>
    <w:rsid w:val="00CF6357"/>
    <w:rsid w:val="00D2358F"/>
    <w:rsid w:val="00DD7932"/>
    <w:rsid w:val="00E30EB9"/>
    <w:rsid w:val="00E57548"/>
    <w:rsid w:val="00E65812"/>
    <w:rsid w:val="00F107FC"/>
    <w:rsid w:val="06A54C26"/>
    <w:rsid w:val="25207E5E"/>
    <w:rsid w:val="38AC78FA"/>
    <w:rsid w:val="5415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A7566"/>
  <w15:docId w15:val="{ED66857E-2DC8-4CAD-8DDE-56546322E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等线" w:eastAsia="等线" w:hAnsi="等线"/>
      <w:kern w:val="2"/>
      <w:sz w:val="21"/>
      <w:szCs w:val="22"/>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8">
    <w:name w:val="List Paragraph"/>
    <w:basedOn w:val="a"/>
    <w:qFormat/>
    <w:pPr>
      <w:ind w:firstLineChars="200" w:firstLine="420"/>
    </w:pPr>
    <w:rPr>
      <w:rFonts w:asciiTheme="minorHAnsi" w:eastAsiaTheme="minorEastAsia" w:hAnsiTheme="minorHAnsi" w:cstheme="minorBidi"/>
    </w:rPr>
  </w:style>
  <w:style w:type="paragraph" w:customStyle="1" w:styleId="a9">
    <w:name w:val="调查项目"/>
    <w:basedOn w:val="a"/>
    <w:qFormat/>
    <w:pPr>
      <w:widowControl/>
      <w:jc w:val="left"/>
      <w:outlineLvl w:val="1"/>
    </w:pPr>
    <w:rPr>
      <w:rFonts w:ascii="Tahoma" w:eastAsia="黑体" w:hAnsi="Tahoma"/>
      <w:bCs/>
      <w:color w:val="333399"/>
      <w:kern w:val="0"/>
      <w:sz w:val="18"/>
      <w:szCs w:val="18"/>
    </w:rPr>
  </w:style>
  <w:style w:type="paragraph" w:customStyle="1" w:styleId="aa">
    <w:name w:val="列标题"/>
    <w:basedOn w:val="2"/>
    <w:qFormat/>
    <w:pPr>
      <w:keepNext w:val="0"/>
      <w:keepLines w:val="0"/>
      <w:widowControl/>
      <w:spacing w:before="0" w:after="0" w:line="240" w:lineRule="auto"/>
      <w:jc w:val="center"/>
    </w:pPr>
    <w:rPr>
      <w:rFonts w:ascii="Tahoma" w:eastAsia="黑体" w:hAnsi="Tahoma" w:cs="Times New Roman"/>
      <w:b w:val="0"/>
      <w:color w:val="333399"/>
      <w:kern w:val="0"/>
      <w:sz w:val="18"/>
      <w:szCs w:val="18"/>
    </w:rPr>
  </w:style>
  <w:style w:type="paragraph" w:customStyle="1" w:styleId="ab">
    <w:name w:val="表格正文文本"/>
    <w:basedOn w:val="a"/>
    <w:qFormat/>
    <w:pPr>
      <w:widowControl/>
      <w:jc w:val="center"/>
    </w:pPr>
    <w:rPr>
      <w:rFonts w:ascii="Tahoma" w:eastAsia="宋体" w:hAnsi="Tahoma"/>
      <w:kern w:val="0"/>
      <w:sz w:val="18"/>
      <w:szCs w:val="20"/>
    </w:rPr>
  </w:style>
  <w:style w:type="character" w:customStyle="1" w:styleId="20">
    <w:name w:val="标题 2 字符"/>
    <w:basedOn w:val="a0"/>
    <w:link w:val="2"/>
    <w:uiPriority w:val="9"/>
    <w:semiHidden/>
    <w:rPr>
      <w:rFonts w:asciiTheme="majorHAnsi" w:eastAsiaTheme="majorEastAsia" w:hAnsiTheme="majorHAnsi" w:cstheme="majorBidi"/>
      <w:b/>
      <w:bCs/>
      <w:sz w:val="32"/>
      <w:szCs w:val="32"/>
    </w:rPr>
  </w:style>
  <w:style w:type="character" w:styleId="ac">
    <w:name w:val="line number"/>
    <w:basedOn w:val="a0"/>
    <w:uiPriority w:val="99"/>
    <w:semiHidden/>
    <w:unhideWhenUsed/>
    <w:rsid w:val="00062A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560</Words>
  <Characters>3192</Characters>
  <Application>Microsoft Office Word</Application>
  <DocSecurity>0</DocSecurity>
  <Lines>26</Lines>
  <Paragraphs>7</Paragraphs>
  <ScaleCrop>false</ScaleCrop>
  <Company>神州网信技术有限公司</Company>
  <LinksUpToDate>false</LinksUpToDate>
  <CharactersWithSpaces>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郭晓磊</dc:creator>
  <cp:lastModifiedBy>高田</cp:lastModifiedBy>
  <cp:revision>6</cp:revision>
  <dcterms:created xsi:type="dcterms:W3CDTF">2025-12-17T07:00:00Z</dcterms:created>
  <dcterms:modified xsi:type="dcterms:W3CDTF">2025-12-24T08:14:00Z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eyJoZGlkIjoiYzc3ZGFhYTY4MzVlMmNjMWJjNWFjM2I2MzE1ZjdkZmQiLCJ1c2VySWQiOiI0MzUyMzY0MzEifQ==</vt:lpwstr>
  </property>
  <property fmtid="{D5CDD505-2E9C-101B-9397-08002B2CF9AE}" pid="4" name="ICV">
    <vt:lpwstr>E338586A78B8426180E9B4188F0665A6_12</vt:lpwstr>
  </property>
</Properties>
</file>