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667" w:rsidRDefault="00833A54">
      <w:pPr>
        <w:spacing w:line="520" w:lineRule="exact"/>
        <w:ind w:rightChars="-32" w:right="-102"/>
        <w:jc w:val="center"/>
        <w:rPr>
          <w:rFonts w:eastAsia="方正小标宋简体"/>
          <w:bCs/>
          <w:color w:val="000000"/>
          <w:sz w:val="44"/>
          <w:szCs w:val="44"/>
        </w:rPr>
      </w:pPr>
      <w:bookmarkStart w:id="0" w:name="_GoBack"/>
      <w:bookmarkEnd w:id="0"/>
      <w:r>
        <w:rPr>
          <w:rFonts w:eastAsia="方正小标宋简体" w:hint="eastAsia"/>
          <w:color w:val="000000"/>
          <w:sz w:val="44"/>
        </w:rPr>
        <w:t>止血绷带</w:t>
      </w:r>
      <w:r>
        <w:rPr>
          <w:rFonts w:eastAsia="方正小标宋简体"/>
          <w:bCs/>
          <w:color w:val="000000"/>
          <w:sz w:val="44"/>
          <w:szCs w:val="44"/>
        </w:rPr>
        <w:t>注册</w:t>
      </w:r>
      <w:r>
        <w:rPr>
          <w:rFonts w:eastAsia="方正小标宋简体"/>
          <w:bCs/>
          <w:sz w:val="44"/>
          <w:szCs w:val="44"/>
        </w:rPr>
        <w:t>审查</w:t>
      </w:r>
      <w:r>
        <w:rPr>
          <w:rFonts w:eastAsia="方正小标宋简体"/>
          <w:bCs/>
          <w:color w:val="000000"/>
          <w:sz w:val="44"/>
          <w:szCs w:val="44"/>
        </w:rPr>
        <w:t>指导原则</w:t>
      </w:r>
    </w:p>
    <w:p w:rsidR="004C6DDB" w:rsidRDefault="004C6DDB">
      <w:pPr>
        <w:spacing w:line="520" w:lineRule="exact"/>
        <w:ind w:rightChars="-32" w:right="-102"/>
        <w:jc w:val="center"/>
        <w:rPr>
          <w:rFonts w:eastAsia="方正小标宋简体"/>
          <w:bCs/>
          <w:color w:val="000000"/>
          <w:sz w:val="44"/>
          <w:szCs w:val="44"/>
        </w:rPr>
      </w:pPr>
      <w:r>
        <w:rPr>
          <w:rFonts w:eastAsia="方正小标宋简体" w:hint="eastAsia"/>
          <w:bCs/>
          <w:color w:val="000000"/>
          <w:sz w:val="44"/>
          <w:szCs w:val="44"/>
        </w:rPr>
        <w:t>（征求意见稿）</w:t>
      </w:r>
    </w:p>
    <w:p w:rsidR="00001667" w:rsidRDefault="00001667">
      <w:pPr>
        <w:spacing w:line="520" w:lineRule="exact"/>
        <w:ind w:rightChars="-32" w:right="-102"/>
        <w:jc w:val="center"/>
        <w:rPr>
          <w:rFonts w:eastAsia="方正小标宋简体"/>
          <w:color w:val="000000"/>
          <w:szCs w:val="44"/>
        </w:rPr>
      </w:pPr>
    </w:p>
    <w:p w:rsidR="00001667" w:rsidRDefault="00833A54">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Pr>
          <w:rFonts w:eastAsia="仿宋_GB2312" w:hint="eastAsia"/>
          <w:color w:val="000000"/>
          <w:szCs w:val="32"/>
        </w:rPr>
        <w:t>止血绷带</w:t>
      </w:r>
      <w:r>
        <w:rPr>
          <w:rFonts w:eastAsia="仿宋_GB2312"/>
          <w:color w:val="000000"/>
          <w:szCs w:val="32"/>
        </w:rPr>
        <w:t>产品注册申报资料的准备及撰写，同时也为技术审评部门对注册申报资料的审评提供技术参考。</w:t>
      </w:r>
    </w:p>
    <w:p w:rsidR="00001667" w:rsidRDefault="00833A54">
      <w:pPr>
        <w:spacing w:line="520" w:lineRule="exact"/>
        <w:ind w:firstLineChars="200" w:firstLine="640"/>
        <w:rPr>
          <w:rFonts w:eastAsia="仿宋_GB2312"/>
          <w:color w:val="000000"/>
          <w:szCs w:val="32"/>
        </w:rPr>
      </w:pPr>
      <w:r>
        <w:rPr>
          <w:rFonts w:eastAsia="仿宋_GB2312"/>
          <w:color w:val="000000"/>
          <w:szCs w:val="32"/>
        </w:rPr>
        <w:t>本指导原则是对</w:t>
      </w:r>
      <w:r>
        <w:rPr>
          <w:rFonts w:eastAsia="仿宋_GB2312" w:hint="eastAsia"/>
          <w:color w:val="000000"/>
          <w:szCs w:val="32"/>
        </w:rPr>
        <w:t>止血绷带</w:t>
      </w:r>
      <w:r>
        <w:rPr>
          <w:rFonts w:eastAsia="仿宋_GB2312"/>
          <w:color w:val="000000"/>
          <w:szCs w:val="32"/>
        </w:rPr>
        <w:t>注册申报资料的一般要求，注册申请人需依据产品的具体特性确定其中内容是否</w:t>
      </w:r>
      <w:r>
        <w:rPr>
          <w:rFonts w:eastAsia="仿宋_GB2312" w:hint="eastAsia"/>
          <w:color w:val="000000"/>
          <w:szCs w:val="32"/>
        </w:rPr>
        <w:t>适用</w:t>
      </w:r>
      <w:r>
        <w:rPr>
          <w:rFonts w:eastAsia="仿宋_GB2312"/>
          <w:color w:val="000000"/>
          <w:szCs w:val="32"/>
        </w:rPr>
        <w:t>。若不适用，需具体阐述理由及相应的科学依据，并依据产品的具体特性对注册申报资料的内容进行充实和细化。</w:t>
      </w:r>
    </w:p>
    <w:p w:rsidR="00001667" w:rsidRDefault="00833A54">
      <w:pPr>
        <w:spacing w:line="520" w:lineRule="exact"/>
        <w:ind w:firstLineChars="200" w:firstLine="64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001667" w:rsidRDefault="00833A54">
      <w:pPr>
        <w:spacing w:line="52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001667" w:rsidRDefault="00833A54">
      <w:pPr>
        <w:spacing w:line="520" w:lineRule="exact"/>
        <w:ind w:firstLineChars="200" w:firstLine="640"/>
        <w:rPr>
          <w:rFonts w:eastAsia="黑体"/>
          <w:color w:val="000000"/>
          <w:szCs w:val="32"/>
        </w:rPr>
      </w:pPr>
      <w:r>
        <w:rPr>
          <w:rFonts w:eastAsia="黑体"/>
          <w:color w:val="000000"/>
          <w:szCs w:val="32"/>
        </w:rPr>
        <w:t>一、适用范围</w:t>
      </w:r>
    </w:p>
    <w:p w:rsidR="00001667" w:rsidRDefault="00833A54">
      <w:pPr>
        <w:spacing w:line="520" w:lineRule="exact"/>
        <w:ind w:firstLineChars="200" w:firstLine="640"/>
        <w:rPr>
          <w:rFonts w:eastAsia="仿宋_GB2312"/>
          <w:szCs w:val="32"/>
        </w:rPr>
      </w:pPr>
      <w:r>
        <w:rPr>
          <w:rFonts w:eastAsia="仿宋_GB2312"/>
          <w:color w:val="000000"/>
          <w:szCs w:val="32"/>
        </w:rPr>
        <w:t>本指导原则适用于按照第</w:t>
      </w:r>
      <w:r>
        <w:rPr>
          <w:rFonts w:eastAsia="仿宋_GB2312" w:hint="eastAsia"/>
          <w:color w:val="000000"/>
          <w:szCs w:val="32"/>
        </w:rPr>
        <w:t>二</w:t>
      </w:r>
      <w:r>
        <w:rPr>
          <w:rFonts w:eastAsia="仿宋_GB2312"/>
          <w:color w:val="000000"/>
          <w:szCs w:val="32"/>
        </w:rPr>
        <w:t>类医疗器械管理的</w:t>
      </w:r>
      <w:r>
        <w:rPr>
          <w:rFonts w:eastAsia="仿宋_GB2312" w:hint="eastAsia"/>
          <w:color w:val="000000"/>
          <w:szCs w:val="32"/>
        </w:rPr>
        <w:t>止血绷带</w:t>
      </w:r>
      <w:r>
        <w:rPr>
          <w:rFonts w:eastAsia="仿宋_GB2312"/>
          <w:color w:val="000000"/>
          <w:szCs w:val="32"/>
        </w:rPr>
        <w:t>，分类编码为</w:t>
      </w:r>
      <w:r>
        <w:rPr>
          <w:rFonts w:eastAsia="仿宋_GB2312" w:hint="eastAsia"/>
          <w:color w:val="000000"/>
          <w:szCs w:val="32"/>
        </w:rPr>
        <w:t>14-11-01</w:t>
      </w:r>
      <w:r>
        <w:rPr>
          <w:rFonts w:eastAsia="仿宋_GB2312"/>
          <w:color w:val="000000"/>
          <w:szCs w:val="32"/>
        </w:rPr>
        <w:t>。</w:t>
      </w:r>
      <w:r>
        <w:rPr>
          <w:rFonts w:eastAsia="仿宋_GB2312" w:hint="eastAsia"/>
          <w:color w:val="000000"/>
          <w:szCs w:val="32"/>
        </w:rPr>
        <w:t>用于非慢性创面的护理，或用于对创面敷料或肢体提供束缚力，以起到包扎、固定作用。</w:t>
      </w:r>
    </w:p>
    <w:p w:rsidR="00001667" w:rsidRDefault="00833A54">
      <w:pPr>
        <w:spacing w:line="520" w:lineRule="exact"/>
        <w:ind w:firstLineChars="200" w:firstLine="640"/>
        <w:rPr>
          <w:rFonts w:eastAsia="黑体"/>
          <w:color w:val="000000"/>
          <w:szCs w:val="32"/>
        </w:rPr>
      </w:pPr>
      <w:r>
        <w:rPr>
          <w:rFonts w:eastAsia="黑体"/>
          <w:color w:val="000000"/>
          <w:szCs w:val="32"/>
        </w:rPr>
        <w:t>二、注册审查要点</w:t>
      </w:r>
    </w:p>
    <w:p w:rsidR="00001667" w:rsidRDefault="00833A54">
      <w:pPr>
        <w:spacing w:line="520" w:lineRule="exact"/>
        <w:ind w:firstLineChars="200" w:firstLine="640"/>
        <w:rPr>
          <w:rFonts w:eastAsia="楷体_GB2312"/>
          <w:color w:val="000000"/>
          <w:szCs w:val="32"/>
        </w:rPr>
      </w:pPr>
      <w:r>
        <w:rPr>
          <w:rFonts w:eastAsia="楷体_GB2312"/>
          <w:color w:val="000000"/>
          <w:szCs w:val="32"/>
        </w:rPr>
        <w:t>（</w:t>
      </w:r>
      <w:r>
        <w:rPr>
          <w:rFonts w:eastAsia="楷体_GB2312" w:hint="eastAsia"/>
          <w:color w:val="000000"/>
          <w:szCs w:val="32"/>
        </w:rPr>
        <w:t>一</w:t>
      </w:r>
      <w:r>
        <w:rPr>
          <w:rFonts w:eastAsia="楷体_GB2312"/>
          <w:color w:val="000000"/>
          <w:szCs w:val="32"/>
        </w:rPr>
        <w:t>）监管信息</w:t>
      </w:r>
    </w:p>
    <w:p w:rsidR="00001667" w:rsidRDefault="00833A54">
      <w:pPr>
        <w:spacing w:line="520" w:lineRule="exact"/>
        <w:ind w:firstLineChars="200" w:firstLine="640"/>
        <w:rPr>
          <w:rFonts w:eastAsia="仿宋_GB2312"/>
          <w:szCs w:val="32"/>
        </w:rPr>
      </w:pPr>
      <w:r>
        <w:rPr>
          <w:rFonts w:eastAsia="仿宋_GB2312" w:hint="eastAsia"/>
          <w:color w:val="000000"/>
          <w:szCs w:val="32"/>
        </w:rPr>
        <w:t>注册申请人应提供申</w:t>
      </w:r>
      <w:r>
        <w:rPr>
          <w:rFonts w:eastAsia="仿宋_GB2312" w:hint="eastAsia"/>
          <w:szCs w:val="32"/>
        </w:rPr>
        <w:t>请表、既往沟通记录（如不适用，</w:t>
      </w:r>
      <w:r>
        <w:rPr>
          <w:rFonts w:eastAsia="仿宋_GB2312" w:hint="eastAsia"/>
          <w:szCs w:val="32"/>
        </w:rPr>
        <w:lastRenderedPageBreak/>
        <w:t>应当明确声明申报产品没有既往申报和</w:t>
      </w:r>
      <w:r>
        <w:rPr>
          <w:rFonts w:eastAsia="仿宋_GB2312" w:hint="eastAsia"/>
          <w:szCs w:val="32"/>
        </w:rPr>
        <w:t>/</w:t>
      </w:r>
      <w:r>
        <w:rPr>
          <w:rFonts w:eastAsia="仿宋_GB2312" w:hint="eastAsia"/>
          <w:szCs w:val="32"/>
        </w:rPr>
        <w:t>或申报前沟通）、关联文件（如主文档授权信）及其他管理信息等。</w:t>
      </w:r>
    </w:p>
    <w:p w:rsidR="00001667" w:rsidRDefault="00833A54">
      <w:pPr>
        <w:spacing w:line="520" w:lineRule="exact"/>
        <w:ind w:firstLineChars="200" w:firstLine="640"/>
        <w:rPr>
          <w:rFonts w:eastAsia="仿宋_GB2312"/>
          <w:szCs w:val="32"/>
        </w:rPr>
      </w:pPr>
      <w:r>
        <w:rPr>
          <w:rFonts w:eastAsia="仿宋_GB2312" w:hint="eastAsia"/>
          <w:szCs w:val="32"/>
        </w:rPr>
        <w:t>1.</w:t>
      </w:r>
      <w:r>
        <w:rPr>
          <w:rFonts w:eastAsia="仿宋_GB2312" w:hint="eastAsia"/>
          <w:szCs w:val="32"/>
        </w:rPr>
        <w:t>申请表</w:t>
      </w:r>
    </w:p>
    <w:p w:rsidR="00001667" w:rsidRDefault="00833A54">
      <w:pPr>
        <w:spacing w:line="520" w:lineRule="exact"/>
        <w:ind w:firstLineChars="200" w:firstLine="640"/>
        <w:rPr>
          <w:rFonts w:eastAsia="仿宋_GB2312"/>
          <w:szCs w:val="32"/>
        </w:rPr>
      </w:pPr>
      <w:r>
        <w:rPr>
          <w:rFonts w:eastAsia="仿宋_GB2312" w:hint="eastAsia"/>
          <w:szCs w:val="32"/>
        </w:rPr>
        <w:t>1.1</w:t>
      </w:r>
      <w:r>
        <w:rPr>
          <w:rFonts w:eastAsia="仿宋_GB2312" w:hint="eastAsia"/>
          <w:szCs w:val="32"/>
        </w:rPr>
        <w:t>产品名称</w:t>
      </w:r>
    </w:p>
    <w:p w:rsidR="00001667" w:rsidRDefault="00833A54">
      <w:pPr>
        <w:spacing w:line="520" w:lineRule="exact"/>
        <w:ind w:firstLineChars="200" w:firstLine="640"/>
        <w:rPr>
          <w:rFonts w:eastAsia="仿宋_GB2312"/>
          <w:szCs w:val="32"/>
        </w:rPr>
      </w:pPr>
      <w:r>
        <w:rPr>
          <w:rFonts w:eastAsia="仿宋_GB2312" w:hint="eastAsia"/>
          <w:szCs w:val="32"/>
        </w:rPr>
        <w:t>产品名称应符合《医疗器械通用名称命名规则》的要求，产品名称由一个核心词和不超过三个的特征词组成。常见的产品名称举例：止血绷带、急救止血绷带、自粘弹性止血绷带。</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1.2</w:t>
      </w:r>
      <w:r>
        <w:rPr>
          <w:rFonts w:eastAsia="仿宋_GB2312" w:hint="eastAsia"/>
        </w:rPr>
        <w:t>管理</w:t>
      </w:r>
      <w:r>
        <w:rPr>
          <w:rFonts w:eastAsia="仿宋_GB2312"/>
        </w:rPr>
        <w:t>类别、分类编码</w:t>
      </w:r>
    </w:p>
    <w:p w:rsidR="00001667" w:rsidRDefault="00833A54">
      <w:pPr>
        <w:overflowPunct w:val="0"/>
        <w:autoSpaceDE w:val="0"/>
        <w:autoSpaceDN w:val="0"/>
        <w:spacing w:line="520" w:lineRule="exact"/>
        <w:ind w:firstLineChars="200" w:firstLine="640"/>
        <w:rPr>
          <w:rFonts w:eastAsia="仿宋_GB2312"/>
          <w:snapToGrid w:val="0"/>
          <w:kern w:val="0"/>
          <w:szCs w:val="32"/>
        </w:rPr>
      </w:pPr>
      <w:r>
        <w:rPr>
          <w:rFonts w:eastAsia="仿宋_GB2312" w:hint="eastAsia"/>
          <w:color w:val="000000"/>
          <w:szCs w:val="28"/>
        </w:rPr>
        <w:t>根据《医疗器械分类目录》</w:t>
      </w:r>
      <w:r>
        <w:rPr>
          <w:rFonts w:eastAsia="仿宋_GB2312"/>
          <w:snapToGrid w:val="0"/>
          <w:kern w:val="0"/>
          <w:szCs w:val="32"/>
        </w:rPr>
        <w:t>，申报产品</w:t>
      </w:r>
      <w:r>
        <w:rPr>
          <w:rFonts w:eastAsia="仿宋_GB2312"/>
          <w:color w:val="000000"/>
          <w:szCs w:val="32"/>
        </w:rPr>
        <w:t>按照第</w:t>
      </w:r>
      <w:r>
        <w:rPr>
          <w:rFonts w:eastAsia="仿宋_GB2312" w:hint="eastAsia"/>
          <w:bCs/>
          <w:szCs w:val="20"/>
        </w:rPr>
        <w:t>Ⅱ</w:t>
      </w:r>
      <w:r>
        <w:rPr>
          <w:rFonts w:eastAsia="仿宋_GB2312"/>
          <w:color w:val="000000"/>
          <w:szCs w:val="32"/>
        </w:rPr>
        <w:t>类医疗器械管</w:t>
      </w:r>
      <w:r>
        <w:rPr>
          <w:rFonts w:eastAsia="仿宋_GB2312" w:hint="eastAsia"/>
          <w:snapToGrid w:val="0"/>
          <w:kern w:val="0"/>
          <w:szCs w:val="32"/>
        </w:rPr>
        <w:t>理，分类编码为</w:t>
      </w:r>
      <w:r>
        <w:rPr>
          <w:rFonts w:eastAsia="仿宋_GB2312" w:hint="eastAsia"/>
          <w:snapToGrid w:val="0"/>
          <w:kern w:val="0"/>
          <w:szCs w:val="32"/>
        </w:rPr>
        <w:t>14</w:t>
      </w:r>
      <w:r>
        <w:rPr>
          <w:rFonts w:eastAsia="仿宋_GB2312" w:hint="eastAsia"/>
          <w:snapToGrid w:val="0"/>
          <w:kern w:val="0"/>
          <w:szCs w:val="32"/>
        </w:rPr>
        <w:t>注输、护理和防护器械</w:t>
      </w:r>
      <w:r>
        <w:rPr>
          <w:rFonts w:eastAsia="仿宋_GB2312" w:hint="eastAsia"/>
          <w:snapToGrid w:val="0"/>
          <w:kern w:val="0"/>
          <w:szCs w:val="32"/>
        </w:rPr>
        <w:t>-11</w:t>
      </w:r>
      <w:r>
        <w:rPr>
          <w:rFonts w:eastAsia="仿宋_GB2312" w:hint="eastAsia"/>
          <w:snapToGrid w:val="0"/>
          <w:kern w:val="0"/>
          <w:szCs w:val="32"/>
        </w:rPr>
        <w:t>包扎敷料</w:t>
      </w:r>
      <w:r>
        <w:rPr>
          <w:rFonts w:eastAsia="仿宋_GB2312" w:hint="eastAsia"/>
          <w:snapToGrid w:val="0"/>
          <w:kern w:val="0"/>
          <w:szCs w:val="32"/>
        </w:rPr>
        <w:t>-01</w:t>
      </w:r>
      <w:r>
        <w:rPr>
          <w:rFonts w:eastAsia="仿宋_GB2312" w:hint="eastAsia"/>
          <w:snapToGrid w:val="0"/>
          <w:kern w:val="0"/>
          <w:szCs w:val="32"/>
        </w:rPr>
        <w:t>绷带。</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1.3</w:t>
      </w:r>
      <w:r>
        <w:rPr>
          <w:rFonts w:eastAsia="仿宋_GB2312"/>
          <w:color w:val="000000"/>
          <w:szCs w:val="32"/>
        </w:rPr>
        <w:t>注册单元划分的原则和实例</w:t>
      </w:r>
    </w:p>
    <w:p w:rsidR="00001667" w:rsidRDefault="00833A54">
      <w:pPr>
        <w:overflowPunct w:val="0"/>
        <w:autoSpaceDE w:val="0"/>
        <w:autoSpaceDN w:val="0"/>
        <w:spacing w:line="520" w:lineRule="exact"/>
        <w:ind w:firstLineChars="200" w:firstLine="640"/>
        <w:rPr>
          <w:rFonts w:eastAsia="仿宋_GB2312"/>
          <w:snapToGrid w:val="0"/>
          <w:color w:val="FF0000"/>
          <w:kern w:val="0"/>
          <w:szCs w:val="32"/>
          <w:highlight w:val="yellow"/>
        </w:rPr>
      </w:pPr>
      <w:r>
        <w:rPr>
          <w:rFonts w:eastAsia="仿宋_GB2312"/>
          <w:snapToGrid w:val="0"/>
          <w:kern w:val="0"/>
          <w:szCs w:val="32"/>
        </w:rPr>
        <w:t>注册单元的划分应参照《医疗器械注册单元划分指导原则》</w:t>
      </w:r>
      <w:r>
        <w:rPr>
          <w:rFonts w:eastAsia="仿宋_GB2312" w:hint="eastAsia"/>
          <w:snapToGrid w:val="0"/>
          <w:kern w:val="0"/>
          <w:szCs w:val="32"/>
        </w:rPr>
        <w:t>的要求</w:t>
      </w:r>
      <w:r>
        <w:rPr>
          <w:rFonts w:eastAsia="仿宋_GB2312"/>
          <w:snapToGrid w:val="0"/>
          <w:kern w:val="0"/>
          <w:szCs w:val="32"/>
        </w:rPr>
        <w:t>，以产品的技术原理、结构组成、性能指标和适用范围等因素为划分依据。产品结构组成不同而导致产品性能指标不同时，原则上划分为不同的注册单元；主要原材料不同导致产品性能指标不同时，原则上划分为不同注册单元。如敷料</w:t>
      </w:r>
      <w:r>
        <w:rPr>
          <w:rFonts w:eastAsia="仿宋_GB2312" w:hint="eastAsia"/>
          <w:snapToGrid w:val="0"/>
          <w:kern w:val="0"/>
          <w:szCs w:val="32"/>
        </w:rPr>
        <w:t>垫、绷带材质不同，建议不作为同一注册单元</w:t>
      </w:r>
      <w:r>
        <w:rPr>
          <w:rFonts w:eastAsia="仿宋_GB2312" w:hint="eastAsia"/>
          <w:szCs w:val="32"/>
        </w:rPr>
        <w:t>。</w:t>
      </w:r>
    </w:p>
    <w:p w:rsidR="00001667" w:rsidRDefault="00833A54">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2.</w:t>
      </w:r>
      <w:r>
        <w:rPr>
          <w:rFonts w:eastAsia="仿宋_GB2312" w:hint="eastAsia"/>
          <w:snapToGrid w:val="0"/>
          <w:kern w:val="0"/>
          <w:szCs w:val="32"/>
        </w:rPr>
        <w:t>产品列表</w:t>
      </w:r>
    </w:p>
    <w:p w:rsidR="00001667" w:rsidRDefault="00833A54">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应明确列出拟申报产品的型号、规格、结构及组成、附件，以及每个型号规格的标识（如型号的编号等）和描述说明（如具体组成、作用、包装方式等）。</w:t>
      </w:r>
    </w:p>
    <w:p w:rsidR="00001667" w:rsidRDefault="00833A54">
      <w:pPr>
        <w:overflowPunct w:val="0"/>
        <w:autoSpaceDE w:val="0"/>
        <w:autoSpaceDN w:val="0"/>
        <w:spacing w:line="520" w:lineRule="exact"/>
        <w:ind w:firstLineChars="200" w:firstLine="640"/>
        <w:rPr>
          <w:rFonts w:eastAsia="仿宋_GB2312"/>
          <w:snapToGrid w:val="0"/>
          <w:kern w:val="0"/>
          <w:szCs w:val="32"/>
        </w:rPr>
      </w:pPr>
      <w:r>
        <w:rPr>
          <w:rFonts w:eastAsia="仿宋_GB2312" w:hint="eastAsia"/>
          <w:snapToGrid w:val="0"/>
          <w:kern w:val="0"/>
          <w:szCs w:val="32"/>
        </w:rPr>
        <w:t>3.</w:t>
      </w:r>
      <w:r>
        <w:rPr>
          <w:rFonts w:eastAsia="仿宋_GB2312" w:hint="eastAsia"/>
          <w:snapToGrid w:val="0"/>
          <w:kern w:val="0"/>
          <w:szCs w:val="32"/>
        </w:rPr>
        <w:t>既往沟通记录</w:t>
      </w:r>
    </w:p>
    <w:p w:rsidR="00001667" w:rsidRDefault="00833A54">
      <w:pPr>
        <w:spacing w:line="520" w:lineRule="exact"/>
        <w:ind w:firstLineChars="200" w:firstLine="640"/>
        <w:rPr>
          <w:rFonts w:eastAsia="仿宋_GB2312"/>
          <w:color w:val="000000"/>
          <w:szCs w:val="32"/>
        </w:rPr>
      </w:pPr>
      <w:r>
        <w:rPr>
          <w:rFonts w:eastAsia="仿宋_GB2312"/>
          <w:bCs/>
          <w:szCs w:val="32"/>
        </w:rPr>
        <w:t>在产品申报前，如果</w:t>
      </w:r>
      <w:r>
        <w:rPr>
          <w:rFonts w:eastAsia="仿宋_GB2312" w:hint="eastAsia"/>
          <w:bCs/>
          <w:szCs w:val="32"/>
        </w:rPr>
        <w:t>注册</w:t>
      </w:r>
      <w:r>
        <w:rPr>
          <w:rFonts w:eastAsia="仿宋_GB2312"/>
          <w:bCs/>
          <w:szCs w:val="32"/>
        </w:rPr>
        <w:t>申请人与监管机构针对申报产品以会议形式进行了沟通，或者申报产品与既往注册申报相</w:t>
      </w:r>
      <w:r>
        <w:rPr>
          <w:rFonts w:eastAsia="仿宋_GB2312"/>
          <w:bCs/>
          <w:szCs w:val="32"/>
        </w:rPr>
        <w:lastRenderedPageBreak/>
        <w:t>关</w:t>
      </w:r>
      <w:r>
        <w:rPr>
          <w:rFonts w:eastAsia="仿宋_GB2312" w:hint="eastAsia"/>
          <w:bCs/>
          <w:szCs w:val="32"/>
        </w:rPr>
        <w:t>，应提交相关沟通记录。</w:t>
      </w:r>
    </w:p>
    <w:p w:rsidR="00001667" w:rsidRDefault="00833A54">
      <w:pPr>
        <w:spacing w:line="520" w:lineRule="exact"/>
        <w:ind w:firstLineChars="200" w:firstLine="640"/>
        <w:rPr>
          <w:rFonts w:eastAsia="楷体_GB2312"/>
          <w:color w:val="000000"/>
          <w:szCs w:val="32"/>
        </w:rPr>
      </w:pPr>
      <w:r>
        <w:rPr>
          <w:rFonts w:eastAsia="楷体_GB2312"/>
          <w:color w:val="000000"/>
          <w:szCs w:val="32"/>
        </w:rPr>
        <w:t>（二）综述资料</w:t>
      </w:r>
    </w:p>
    <w:p w:rsidR="00001667" w:rsidRDefault="00833A54">
      <w:pPr>
        <w:spacing w:line="520" w:lineRule="exact"/>
        <w:ind w:firstLineChars="200" w:firstLine="640"/>
        <w:outlineLvl w:val="2"/>
        <w:rPr>
          <w:rFonts w:eastAsia="仿宋_GB2312" w:cs="仿宋_GB2312"/>
          <w:bCs/>
          <w:szCs w:val="32"/>
        </w:rPr>
      </w:pPr>
      <w:r>
        <w:rPr>
          <w:rFonts w:eastAsia="仿宋_GB2312" w:hint="eastAsia"/>
          <w:bCs/>
          <w:szCs w:val="32"/>
        </w:rPr>
        <w:t>1.</w:t>
      </w:r>
      <w:r>
        <w:rPr>
          <w:rFonts w:eastAsia="仿宋_GB2312" w:cs="仿宋_GB2312" w:hint="eastAsia"/>
          <w:bCs/>
          <w:szCs w:val="32"/>
        </w:rPr>
        <w:t>概述</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描述申报产品的管理类别、分类编码及名称的确定依据。产品分类编码为</w:t>
      </w:r>
      <w:r>
        <w:rPr>
          <w:rFonts w:eastAsia="仿宋_GB2312" w:hint="eastAsia"/>
          <w:snapToGrid w:val="0"/>
          <w:kern w:val="0"/>
          <w:szCs w:val="32"/>
        </w:rPr>
        <w:t>14</w:t>
      </w:r>
      <w:r>
        <w:rPr>
          <w:rFonts w:eastAsia="仿宋_GB2312" w:hint="eastAsia"/>
          <w:snapToGrid w:val="0"/>
          <w:kern w:val="0"/>
          <w:szCs w:val="32"/>
        </w:rPr>
        <w:t>注输、护理和防护器械</w:t>
      </w:r>
      <w:r>
        <w:rPr>
          <w:rFonts w:eastAsia="仿宋_GB2312" w:hint="eastAsia"/>
          <w:snapToGrid w:val="0"/>
          <w:kern w:val="0"/>
          <w:szCs w:val="32"/>
        </w:rPr>
        <w:t>-11</w:t>
      </w:r>
      <w:r>
        <w:rPr>
          <w:rFonts w:eastAsia="仿宋_GB2312" w:hint="eastAsia"/>
          <w:snapToGrid w:val="0"/>
          <w:kern w:val="0"/>
          <w:szCs w:val="32"/>
        </w:rPr>
        <w:t>包扎敷料</w:t>
      </w:r>
      <w:r>
        <w:rPr>
          <w:rFonts w:eastAsia="仿宋_GB2312" w:hint="eastAsia"/>
          <w:snapToGrid w:val="0"/>
          <w:kern w:val="0"/>
          <w:szCs w:val="32"/>
        </w:rPr>
        <w:t>-01</w:t>
      </w:r>
      <w:r>
        <w:rPr>
          <w:rFonts w:eastAsia="仿宋_GB2312" w:hint="eastAsia"/>
          <w:snapToGrid w:val="0"/>
          <w:kern w:val="0"/>
          <w:szCs w:val="32"/>
        </w:rPr>
        <w:t>绷带</w:t>
      </w:r>
      <w:r>
        <w:rPr>
          <w:rFonts w:eastAsia="仿宋_GB2312" w:cs="仿宋_GB2312" w:hint="eastAsia"/>
          <w:szCs w:val="32"/>
        </w:rPr>
        <w:t>，管理类别为第二类。</w:t>
      </w:r>
    </w:p>
    <w:p w:rsidR="00001667" w:rsidRDefault="00833A54">
      <w:pPr>
        <w:overflowPunct w:val="0"/>
        <w:spacing w:line="520" w:lineRule="exact"/>
        <w:ind w:firstLineChars="200" w:firstLine="640"/>
        <w:rPr>
          <w:rFonts w:eastAsia="仿宋_GB2312"/>
          <w:szCs w:val="32"/>
        </w:rPr>
      </w:pPr>
      <w:r>
        <w:rPr>
          <w:rFonts w:eastAsia="仿宋_GB2312" w:hint="eastAsia"/>
          <w:bCs/>
          <w:szCs w:val="32"/>
        </w:rPr>
        <w:t>2.</w:t>
      </w:r>
      <w:r>
        <w:rPr>
          <w:rFonts w:eastAsia="仿宋_GB2312"/>
          <w:szCs w:val="32"/>
        </w:rPr>
        <w:t>结构组成</w:t>
      </w:r>
    </w:p>
    <w:p w:rsidR="00001667" w:rsidRDefault="00833A54">
      <w:pPr>
        <w:spacing w:line="500" w:lineRule="exact"/>
        <w:ind w:firstLineChars="200" w:firstLine="640"/>
        <w:outlineLvl w:val="1"/>
        <w:rPr>
          <w:rFonts w:eastAsia="仿宋_GB2312" w:cs="仿宋_GB2312"/>
          <w:szCs w:val="32"/>
        </w:rPr>
      </w:pPr>
      <w:r>
        <w:rPr>
          <w:rFonts w:eastAsia="仿宋_GB2312" w:cs="仿宋_GB2312" w:hint="eastAsia"/>
          <w:szCs w:val="32"/>
        </w:rPr>
        <w:t>产品通常由绷带、敷料垫及固定装置（如有）组成。部分绷带具有弹力或自粘等特性。</w:t>
      </w:r>
    </w:p>
    <w:p w:rsidR="00001667" w:rsidRDefault="00833A54">
      <w:pPr>
        <w:spacing w:line="520" w:lineRule="exact"/>
        <w:ind w:firstLineChars="200" w:firstLine="640"/>
        <w:rPr>
          <w:rFonts w:eastAsia="仿宋_GB2312" w:cs="仿宋_GB2312"/>
          <w:szCs w:val="32"/>
        </w:rPr>
      </w:pPr>
      <w:r>
        <w:rPr>
          <w:rFonts w:eastAsia="仿宋_GB2312" w:cs="仿宋_GB2312" w:hint="eastAsia"/>
          <w:szCs w:val="32"/>
        </w:rPr>
        <w:t>3.</w:t>
      </w:r>
      <w:r>
        <w:rPr>
          <w:rFonts w:eastAsia="仿宋_GB2312" w:cs="仿宋_GB2312" w:hint="eastAsia"/>
          <w:szCs w:val="32"/>
        </w:rPr>
        <w:t>产品工作原理</w:t>
      </w:r>
      <w:r>
        <w:rPr>
          <w:rFonts w:eastAsia="仿宋_GB2312" w:cs="仿宋_GB2312" w:hint="eastAsia"/>
          <w:szCs w:val="32"/>
        </w:rPr>
        <w:t>/</w:t>
      </w:r>
      <w:r>
        <w:rPr>
          <w:rFonts w:eastAsia="仿宋_GB2312" w:cs="仿宋_GB2312" w:hint="eastAsia"/>
          <w:szCs w:val="32"/>
        </w:rPr>
        <w:t>作用机理</w:t>
      </w:r>
    </w:p>
    <w:p w:rsidR="00001667" w:rsidRDefault="00833A54">
      <w:pPr>
        <w:ind w:firstLineChars="200" w:firstLine="640"/>
        <w:jc w:val="left"/>
        <w:rPr>
          <w:rFonts w:eastAsia="仿宋_GB2312" w:cs="仿宋_GB2312"/>
          <w:szCs w:val="32"/>
          <w:highlight w:val="yellow"/>
        </w:rPr>
      </w:pPr>
      <w:r>
        <w:rPr>
          <w:rFonts w:eastAsia="仿宋_GB2312" w:cs="仿宋_GB2312" w:hint="eastAsia"/>
          <w:szCs w:val="32"/>
        </w:rPr>
        <w:t>产品通过绷带、敷料垫、固定装置（如有）</w:t>
      </w:r>
      <w:r>
        <w:rPr>
          <w:rFonts w:eastAsia="仿宋_GB2312" w:cs="仿宋_GB2312" w:hint="eastAsia"/>
          <w:kern w:val="0"/>
          <w:szCs w:val="32"/>
        </w:rPr>
        <w:t>对创面敷料或肢体提供束缚力，以起到包扎止血、固定作用。</w:t>
      </w:r>
    </w:p>
    <w:p w:rsidR="00001667" w:rsidRDefault="00833A54">
      <w:pPr>
        <w:spacing w:line="560" w:lineRule="exact"/>
        <w:ind w:firstLineChars="200" w:firstLine="624"/>
        <w:rPr>
          <w:rFonts w:eastAsia="仿宋_GB2312" w:cs="仿宋_GB2312"/>
          <w:szCs w:val="32"/>
        </w:rPr>
      </w:pPr>
      <w:r>
        <w:rPr>
          <w:rFonts w:eastAsia="仿宋_GB2312" w:hint="eastAsia"/>
          <w:bCs/>
          <w:color w:val="000000"/>
          <w:spacing w:val="-4"/>
          <w:szCs w:val="32"/>
        </w:rPr>
        <w:t>对于采用特殊结构设计、宣称具有特定功能或采用新材料制造的止血绷带，注册申请人应详细说明其工作原理和作用。</w:t>
      </w:r>
    </w:p>
    <w:p w:rsidR="00001667" w:rsidRDefault="00833A54">
      <w:pPr>
        <w:spacing w:line="520" w:lineRule="exact"/>
        <w:ind w:firstLineChars="200" w:firstLine="640"/>
        <w:rPr>
          <w:rFonts w:eastAsia="仿宋_GB2312" w:cs="仿宋_GB2312"/>
          <w:szCs w:val="32"/>
        </w:rPr>
      </w:pPr>
      <w:r>
        <w:rPr>
          <w:rFonts w:eastAsia="仿宋_GB2312" w:cs="仿宋_GB2312" w:hint="eastAsia"/>
          <w:szCs w:val="32"/>
        </w:rPr>
        <w:t>4.</w:t>
      </w:r>
      <w:r>
        <w:rPr>
          <w:rFonts w:eastAsia="仿宋_GB2312" w:cs="仿宋_GB2312" w:hint="eastAsia"/>
          <w:szCs w:val="32"/>
        </w:rPr>
        <w:t>型号规格</w:t>
      </w:r>
    </w:p>
    <w:p w:rsidR="00001667" w:rsidRDefault="00833A54">
      <w:pPr>
        <w:spacing w:line="520" w:lineRule="exact"/>
        <w:ind w:firstLineChars="200" w:firstLine="640"/>
        <w:rPr>
          <w:rFonts w:eastAsia="仿宋_GB2312" w:cs="仿宋_GB2312"/>
          <w:szCs w:val="32"/>
        </w:rPr>
      </w:pPr>
      <w:r>
        <w:rPr>
          <w:rFonts w:eastAsia="仿宋_GB2312" w:cs="仿宋_GB2312" w:hint="eastAsia"/>
          <w:szCs w:val="32"/>
        </w:rPr>
        <w:t>说明产品的型号规格及划分依据，明确各型号规格之间的区别。可采用列表形式对不同型号规格的结构组成加以描述，必要时应提供差异部分的图示说明。</w:t>
      </w:r>
    </w:p>
    <w:p w:rsidR="00001667" w:rsidRDefault="00833A54">
      <w:pPr>
        <w:tabs>
          <w:tab w:val="left" w:pos="312"/>
        </w:tabs>
        <w:spacing w:line="520" w:lineRule="exact"/>
        <w:ind w:firstLineChars="200" w:firstLine="640"/>
        <w:outlineLvl w:val="2"/>
        <w:rPr>
          <w:rFonts w:eastAsia="仿宋_GB2312" w:cs="仿宋_GB2312"/>
          <w:szCs w:val="32"/>
        </w:rPr>
      </w:pPr>
      <w:r>
        <w:rPr>
          <w:rFonts w:eastAsia="仿宋_GB2312" w:hint="eastAsia"/>
          <w:bCs/>
          <w:szCs w:val="32"/>
        </w:rPr>
        <w:t>5.</w:t>
      </w:r>
      <w:r>
        <w:rPr>
          <w:rFonts w:eastAsia="仿宋_GB2312" w:cs="仿宋_GB2312" w:hint="eastAsia"/>
          <w:szCs w:val="32"/>
        </w:rPr>
        <w:t>包装说明</w:t>
      </w:r>
    </w:p>
    <w:p w:rsidR="00001667" w:rsidRDefault="00833A54">
      <w:pPr>
        <w:spacing w:line="520" w:lineRule="exact"/>
        <w:ind w:firstLineChars="200" w:firstLine="640"/>
        <w:rPr>
          <w:rFonts w:eastAsia="仿宋_GB2312"/>
          <w:color w:val="000000"/>
          <w:szCs w:val="32"/>
        </w:rPr>
      </w:pPr>
      <w:r>
        <w:rPr>
          <w:rFonts w:eastAsia="仿宋_GB2312" w:hint="eastAsia"/>
          <w:szCs w:val="32"/>
        </w:rPr>
        <w:t>申报产品需要描述注册单元内所有产品组成的包装情况，说明包装清单和包装方式，提供包装图示。产品以</w:t>
      </w:r>
      <w:r>
        <w:rPr>
          <w:rFonts w:eastAsia="仿宋_GB2312" w:cs="仿宋_GB2312" w:hint="eastAsia"/>
          <w:szCs w:val="32"/>
        </w:rPr>
        <w:t>无菌形式提供，应当说明其无菌屏障系统的信息。说明如何确保最终使用者可清晰地辨识包装的完整性。</w:t>
      </w:r>
    </w:p>
    <w:p w:rsidR="00001667" w:rsidRDefault="00833A54">
      <w:pPr>
        <w:tabs>
          <w:tab w:val="left" w:pos="312"/>
        </w:tabs>
        <w:spacing w:line="520" w:lineRule="exact"/>
        <w:ind w:firstLineChars="200" w:firstLine="640"/>
        <w:outlineLvl w:val="2"/>
        <w:rPr>
          <w:rFonts w:eastAsia="仿宋_GB2312" w:cs="仿宋_GB2312"/>
          <w:bCs/>
          <w:szCs w:val="32"/>
        </w:rPr>
      </w:pPr>
      <w:r>
        <w:rPr>
          <w:rFonts w:eastAsia="仿宋_GB2312" w:hint="eastAsia"/>
          <w:bCs/>
          <w:szCs w:val="32"/>
        </w:rPr>
        <w:t>6.</w:t>
      </w:r>
      <w:r>
        <w:rPr>
          <w:rFonts w:eastAsia="仿宋_GB2312" w:cs="仿宋_GB2312" w:hint="eastAsia"/>
          <w:bCs/>
          <w:szCs w:val="32"/>
        </w:rPr>
        <w:t>研发历程</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阐述申报产品的研发背景和目的。如有参考的同类产品或前代产品（如有），应当提供同类产品或前代产品的信息，</w:t>
      </w:r>
      <w:r>
        <w:rPr>
          <w:rFonts w:eastAsia="仿宋_GB2312" w:cs="仿宋_GB2312" w:hint="eastAsia"/>
          <w:szCs w:val="32"/>
        </w:rPr>
        <w:lastRenderedPageBreak/>
        <w:t>并说明选择其作为研发参考的原因。</w:t>
      </w:r>
    </w:p>
    <w:p w:rsidR="00001667" w:rsidRDefault="00833A54">
      <w:pPr>
        <w:tabs>
          <w:tab w:val="left" w:pos="540"/>
        </w:tabs>
        <w:spacing w:line="520" w:lineRule="exact"/>
        <w:ind w:firstLineChars="200" w:firstLine="640"/>
        <w:rPr>
          <w:rFonts w:eastAsia="仿宋_GB2312" w:cs="仿宋_GB2312"/>
          <w:szCs w:val="32"/>
          <w:highlight w:val="green"/>
        </w:rPr>
      </w:pPr>
      <w:r>
        <w:rPr>
          <w:rFonts w:eastAsia="仿宋_GB2312" w:cs="仿宋_GB2312" w:hint="eastAsia"/>
          <w:szCs w:val="32"/>
        </w:rPr>
        <w:t>申请人需明确产品设计开发立题依据，根据产品实际情况如产品特性等，通过市场调研、临床文献资料等方式，从临床需求、产品技术优势等方面，论述产品临床获益。</w:t>
      </w:r>
      <w:r>
        <w:rPr>
          <w:rFonts w:eastAsia="仿宋_GB2312" w:hint="eastAsia"/>
          <w:color w:val="000000"/>
          <w:szCs w:val="32"/>
        </w:rPr>
        <w:t>产品设计开发和生产过程应保证产生的</w:t>
      </w:r>
      <w:r>
        <w:rPr>
          <w:rFonts w:eastAsia="仿宋_GB2312" w:hint="eastAsia"/>
          <w:szCs w:val="32"/>
        </w:rPr>
        <w:t>析出物（包括可沥滤物和</w:t>
      </w:r>
      <w:r>
        <w:rPr>
          <w:rFonts w:eastAsia="仿宋_GB2312" w:hint="eastAsia"/>
          <w:szCs w:val="32"/>
        </w:rPr>
        <w:t>/</w:t>
      </w:r>
      <w:r>
        <w:rPr>
          <w:rFonts w:eastAsia="仿宋_GB2312" w:hint="eastAsia"/>
          <w:szCs w:val="32"/>
        </w:rPr>
        <w:t>或蒸发物）、降解产物、加工残留物等</w:t>
      </w:r>
      <w:r>
        <w:rPr>
          <w:rFonts w:eastAsia="仿宋_GB2312" w:hint="eastAsia"/>
          <w:color w:val="000000"/>
          <w:szCs w:val="32"/>
        </w:rPr>
        <w:t>降低到可接受水平，为患者提供最大程度的安全保障。</w:t>
      </w:r>
    </w:p>
    <w:p w:rsidR="00001667" w:rsidRDefault="00833A54">
      <w:pPr>
        <w:tabs>
          <w:tab w:val="left" w:pos="540"/>
        </w:tabs>
        <w:spacing w:line="520" w:lineRule="exact"/>
        <w:ind w:firstLineChars="200" w:firstLine="640"/>
        <w:outlineLvl w:val="2"/>
        <w:rPr>
          <w:rFonts w:eastAsia="仿宋_GB2312" w:cs="仿宋_GB2312"/>
          <w:szCs w:val="32"/>
        </w:rPr>
      </w:pPr>
      <w:r>
        <w:rPr>
          <w:rFonts w:eastAsia="仿宋_GB2312" w:hint="eastAsia"/>
          <w:bCs/>
          <w:szCs w:val="32"/>
        </w:rPr>
        <w:t>7.</w:t>
      </w:r>
      <w:r>
        <w:rPr>
          <w:rFonts w:eastAsia="仿宋_GB2312" w:cs="仿宋_GB2312" w:hint="eastAsia"/>
          <w:bCs/>
          <w:szCs w:val="32"/>
        </w:rPr>
        <w:t>与同类和</w:t>
      </w:r>
      <w:r>
        <w:rPr>
          <w:rFonts w:eastAsia="仿宋_GB2312" w:cs="仿宋_GB2312" w:hint="eastAsia"/>
          <w:bCs/>
          <w:szCs w:val="32"/>
        </w:rPr>
        <w:t>/</w:t>
      </w:r>
      <w:r>
        <w:rPr>
          <w:rFonts w:eastAsia="仿宋_GB2312" w:cs="仿宋_GB2312" w:hint="eastAsia"/>
          <w:bCs/>
          <w:szCs w:val="32"/>
        </w:rPr>
        <w:t>或前代产品比较</w:t>
      </w:r>
    </w:p>
    <w:p w:rsidR="00001667" w:rsidRDefault="00833A54">
      <w:pPr>
        <w:spacing w:line="520" w:lineRule="exact"/>
        <w:ind w:firstLineChars="200" w:firstLine="640"/>
        <w:rPr>
          <w:rFonts w:eastAsia="仿宋_GB2312" w:cs="仿宋_GB2312"/>
          <w:bCs/>
          <w:szCs w:val="32"/>
        </w:rPr>
      </w:pPr>
      <w:r>
        <w:rPr>
          <w:rFonts w:eastAsia="仿宋_GB2312"/>
          <w:bCs/>
          <w:color w:val="000000"/>
          <w:szCs w:val="32"/>
        </w:rPr>
        <w:t>列表比较说明申报产品与同类产品和</w:t>
      </w:r>
      <w:r>
        <w:rPr>
          <w:rFonts w:eastAsia="仿宋_GB2312"/>
          <w:bCs/>
          <w:color w:val="000000"/>
          <w:szCs w:val="32"/>
        </w:rPr>
        <w:t>/</w:t>
      </w:r>
      <w:r>
        <w:rPr>
          <w:rFonts w:eastAsia="仿宋_GB2312"/>
          <w:bCs/>
          <w:color w:val="000000"/>
          <w:szCs w:val="32"/>
        </w:rPr>
        <w:t>或前代产品在工作原理、结构组成、制造材料、性能指标、作用方式以及适用范围等方面的异同。</w:t>
      </w:r>
      <w:r>
        <w:rPr>
          <w:rFonts w:eastAsia="仿宋_GB2312" w:cs="仿宋_GB2312" w:hint="eastAsia"/>
          <w:bCs/>
          <w:szCs w:val="32"/>
        </w:rPr>
        <w:t>同类和</w:t>
      </w:r>
      <w:r>
        <w:rPr>
          <w:rFonts w:eastAsia="仿宋_GB2312" w:cs="仿宋_GB2312" w:hint="eastAsia"/>
          <w:bCs/>
          <w:szCs w:val="32"/>
        </w:rPr>
        <w:t>/</w:t>
      </w:r>
      <w:r>
        <w:rPr>
          <w:rFonts w:eastAsia="仿宋_GB2312" w:cs="仿宋_GB2312" w:hint="eastAsia"/>
          <w:bCs/>
          <w:szCs w:val="32"/>
        </w:rPr>
        <w:t>或前代产品需符合本指导原则的定义范畴。</w:t>
      </w:r>
    </w:p>
    <w:p w:rsidR="00001667" w:rsidRDefault="00833A54">
      <w:pPr>
        <w:tabs>
          <w:tab w:val="left" w:pos="540"/>
        </w:tabs>
        <w:spacing w:line="520" w:lineRule="exact"/>
        <w:ind w:firstLineChars="200" w:firstLine="640"/>
        <w:outlineLvl w:val="2"/>
        <w:rPr>
          <w:rFonts w:eastAsia="仿宋_GB2312" w:cs="仿宋_GB2312"/>
          <w:szCs w:val="32"/>
        </w:rPr>
      </w:pPr>
      <w:r>
        <w:rPr>
          <w:rFonts w:eastAsia="仿宋_GB2312" w:hint="eastAsia"/>
          <w:bCs/>
          <w:szCs w:val="32"/>
        </w:rPr>
        <w:t>8.</w:t>
      </w:r>
      <w:r>
        <w:rPr>
          <w:rFonts w:eastAsia="仿宋_GB2312" w:cs="仿宋_GB2312" w:hint="eastAsia"/>
          <w:szCs w:val="32"/>
        </w:rPr>
        <w:t>适用范围和禁忌证</w:t>
      </w:r>
    </w:p>
    <w:p w:rsidR="00001667" w:rsidRDefault="00833A54">
      <w:pPr>
        <w:tabs>
          <w:tab w:val="left" w:pos="675"/>
        </w:tabs>
        <w:spacing w:line="520" w:lineRule="exact"/>
        <w:ind w:firstLine="640"/>
        <w:rPr>
          <w:iCs/>
          <w:color w:val="000000"/>
        </w:rPr>
      </w:pPr>
      <w:r>
        <w:rPr>
          <w:rFonts w:hint="eastAsia"/>
          <w:iCs/>
          <w:color w:val="000000"/>
        </w:rPr>
        <w:t>8.1</w:t>
      </w:r>
      <w:r>
        <w:rPr>
          <w:rFonts w:hint="eastAsia"/>
          <w:iCs/>
          <w:color w:val="000000"/>
        </w:rPr>
        <w:t>适用范围</w:t>
      </w:r>
    </w:p>
    <w:p w:rsidR="00001667" w:rsidRDefault="00833A54">
      <w:pPr>
        <w:widowControl/>
        <w:spacing w:line="520" w:lineRule="exact"/>
        <w:ind w:firstLineChars="200" w:firstLine="640"/>
        <w:rPr>
          <w:rFonts w:eastAsia="仿宋_GB2312"/>
          <w:bCs/>
          <w:color w:val="000000"/>
          <w:szCs w:val="32"/>
        </w:rPr>
      </w:pPr>
      <w:r>
        <w:rPr>
          <w:rFonts w:eastAsia="仿宋_GB2312" w:hint="eastAsia"/>
          <w:bCs/>
          <w:szCs w:val="32"/>
        </w:rPr>
        <w:t>8.1.1</w:t>
      </w:r>
      <w:r>
        <w:rPr>
          <w:rFonts w:eastAsia="仿宋_GB2312" w:hint="eastAsia"/>
          <w:bCs/>
          <w:szCs w:val="32"/>
        </w:rPr>
        <w:t>应当描述申报产品的适用范围，明确预期用途。如用于非慢性创面的护理，或用于对创面敷料或肢体提供束缚力，以起到包扎、固定作用。</w:t>
      </w:r>
      <w:r>
        <w:rPr>
          <w:rFonts w:eastAsia="仿宋_GB2312" w:hint="eastAsia"/>
          <w:bCs/>
          <w:color w:val="000000"/>
          <w:szCs w:val="32"/>
        </w:rPr>
        <w:t>如产品宣称其他的适用范围，应与临床评价结论一致，应有充分的临床数据支持。</w:t>
      </w:r>
    </w:p>
    <w:p w:rsidR="00001667" w:rsidRDefault="00833A54">
      <w:pPr>
        <w:spacing w:line="520" w:lineRule="exact"/>
        <w:ind w:firstLineChars="200" w:firstLine="640"/>
        <w:rPr>
          <w:rFonts w:eastAsia="仿宋_GB2312"/>
          <w:bCs/>
          <w:color w:val="000000"/>
          <w:szCs w:val="32"/>
        </w:rPr>
      </w:pPr>
      <w:r>
        <w:rPr>
          <w:rFonts w:eastAsia="仿宋_GB2312" w:hint="eastAsia"/>
          <w:bCs/>
          <w:color w:val="000000"/>
          <w:szCs w:val="32"/>
        </w:rPr>
        <w:t>8.1.2</w:t>
      </w:r>
      <w:r>
        <w:rPr>
          <w:rFonts w:eastAsia="仿宋_GB2312" w:hint="eastAsia"/>
          <w:bCs/>
          <w:color w:val="000000"/>
          <w:szCs w:val="32"/>
        </w:rPr>
        <w:t>明确目标用户及其操作或使用申报产品应当具备的技能</w:t>
      </w:r>
      <w:r>
        <w:rPr>
          <w:rFonts w:eastAsia="仿宋_GB2312" w:hint="eastAsia"/>
          <w:bCs/>
          <w:color w:val="000000"/>
          <w:szCs w:val="32"/>
        </w:rPr>
        <w:t>/</w:t>
      </w:r>
      <w:r>
        <w:rPr>
          <w:rFonts w:eastAsia="仿宋_GB2312" w:hint="eastAsia"/>
          <w:bCs/>
          <w:color w:val="000000"/>
          <w:szCs w:val="32"/>
        </w:rPr>
        <w:t>知识</w:t>
      </w:r>
      <w:r>
        <w:rPr>
          <w:rFonts w:eastAsia="仿宋_GB2312" w:hint="eastAsia"/>
          <w:bCs/>
          <w:color w:val="000000"/>
          <w:szCs w:val="32"/>
        </w:rPr>
        <w:t>/</w:t>
      </w:r>
      <w:r>
        <w:rPr>
          <w:rFonts w:eastAsia="仿宋_GB2312" w:hint="eastAsia"/>
          <w:bCs/>
          <w:color w:val="000000"/>
          <w:szCs w:val="32"/>
        </w:rPr>
        <w:t>培训。如适用，明确与申报产品联合使用实现预期用途的其他产品的详细信息。</w:t>
      </w:r>
    </w:p>
    <w:p w:rsidR="00001667" w:rsidRDefault="00833A54">
      <w:pPr>
        <w:tabs>
          <w:tab w:val="left" w:pos="540"/>
        </w:tabs>
        <w:spacing w:line="520" w:lineRule="exact"/>
        <w:ind w:firstLineChars="200" w:firstLine="640"/>
        <w:rPr>
          <w:rFonts w:eastAsia="仿宋_GB2312" w:cs="仿宋_GB2312"/>
          <w:szCs w:val="32"/>
        </w:rPr>
      </w:pPr>
      <w:r>
        <w:rPr>
          <w:rFonts w:eastAsia="仿宋_GB2312" w:hint="eastAsia"/>
          <w:bCs/>
          <w:szCs w:val="32"/>
        </w:rPr>
        <w:t>8.2</w:t>
      </w:r>
      <w:r>
        <w:rPr>
          <w:rFonts w:eastAsia="仿宋_GB2312" w:cs="仿宋_GB2312" w:hint="eastAsia"/>
          <w:szCs w:val="32"/>
        </w:rPr>
        <w:t>预期使用环境</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明确该产品预期使用的环境，如医疗机构、</w:t>
      </w:r>
      <w:r>
        <w:rPr>
          <w:rFonts w:eastAsia="仿宋_GB2312" w:hint="eastAsia"/>
          <w:szCs w:val="32"/>
        </w:rPr>
        <w:t>诊所</w:t>
      </w:r>
      <w:r>
        <w:rPr>
          <w:rFonts w:eastAsia="仿宋_GB2312" w:cs="仿宋_GB2312" w:hint="eastAsia"/>
          <w:szCs w:val="32"/>
        </w:rPr>
        <w:t>、院前急救等。</w:t>
      </w:r>
    </w:p>
    <w:p w:rsidR="00001667" w:rsidRDefault="00833A54">
      <w:pPr>
        <w:tabs>
          <w:tab w:val="left" w:pos="540"/>
        </w:tabs>
        <w:spacing w:line="520" w:lineRule="exact"/>
        <w:ind w:firstLineChars="200" w:firstLine="640"/>
        <w:rPr>
          <w:rFonts w:eastAsia="仿宋_GB2312" w:cs="仿宋_GB2312"/>
          <w:szCs w:val="32"/>
        </w:rPr>
      </w:pPr>
      <w:r>
        <w:rPr>
          <w:rFonts w:eastAsia="仿宋_GB2312" w:hint="eastAsia"/>
          <w:bCs/>
          <w:szCs w:val="32"/>
        </w:rPr>
        <w:t>8.3</w:t>
      </w:r>
      <w:r>
        <w:rPr>
          <w:rFonts w:eastAsia="仿宋_GB2312" w:cs="仿宋_GB2312" w:hint="eastAsia"/>
          <w:szCs w:val="32"/>
        </w:rPr>
        <w:t>适用人群</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明确目标患者人群的信息。</w:t>
      </w:r>
    </w:p>
    <w:p w:rsidR="00001667" w:rsidRDefault="00833A54">
      <w:pPr>
        <w:tabs>
          <w:tab w:val="left" w:pos="540"/>
        </w:tabs>
        <w:spacing w:line="520" w:lineRule="exact"/>
        <w:ind w:firstLineChars="200" w:firstLine="640"/>
        <w:rPr>
          <w:rFonts w:eastAsia="仿宋_GB2312" w:cs="仿宋_GB2312"/>
          <w:szCs w:val="32"/>
        </w:rPr>
      </w:pPr>
      <w:r>
        <w:rPr>
          <w:rFonts w:eastAsia="仿宋_GB2312" w:hint="eastAsia"/>
          <w:bCs/>
          <w:szCs w:val="32"/>
        </w:rPr>
        <w:lastRenderedPageBreak/>
        <w:t>8.4</w:t>
      </w:r>
      <w:r>
        <w:rPr>
          <w:rFonts w:eastAsia="仿宋_GB2312" w:cs="仿宋_GB2312" w:hint="eastAsia"/>
          <w:szCs w:val="32"/>
        </w:rPr>
        <w:t>禁忌证</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应当明确说明该器械不适宜应用的特定的人群或特定情况等信息，如：对原材料过敏者禁用。</w:t>
      </w:r>
    </w:p>
    <w:p w:rsidR="00001667" w:rsidRDefault="00833A54">
      <w:pPr>
        <w:numPr>
          <w:ilvl w:val="0"/>
          <w:numId w:val="1"/>
        </w:numPr>
        <w:spacing w:line="520" w:lineRule="exact"/>
        <w:ind w:firstLineChars="200" w:firstLine="640"/>
        <w:rPr>
          <w:rFonts w:eastAsia="楷体_GB2312"/>
          <w:color w:val="000000"/>
          <w:szCs w:val="32"/>
        </w:rPr>
      </w:pPr>
      <w:r>
        <w:rPr>
          <w:rFonts w:eastAsia="楷体_GB2312"/>
          <w:color w:val="000000"/>
          <w:szCs w:val="32"/>
        </w:rPr>
        <w:t>非临床资料</w:t>
      </w:r>
    </w:p>
    <w:p w:rsidR="00001667" w:rsidRDefault="00833A54">
      <w:pPr>
        <w:spacing w:line="520" w:lineRule="exact"/>
        <w:ind w:firstLineChars="200" w:firstLine="640"/>
      </w:pPr>
      <w:r>
        <w:rPr>
          <w:rFonts w:eastAsia="仿宋_GB2312"/>
          <w:color w:val="000000"/>
          <w:szCs w:val="32"/>
        </w:rPr>
        <w:t>1.</w:t>
      </w:r>
      <w:r>
        <w:rPr>
          <w:rFonts w:eastAsia="仿宋_GB2312"/>
          <w:color w:val="000000"/>
          <w:szCs w:val="32"/>
        </w:rPr>
        <w:t>产品风险管理资料</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应依据</w:t>
      </w:r>
      <w:r>
        <w:rPr>
          <w:rFonts w:eastAsia="仿宋_GB2312"/>
          <w:szCs w:val="32"/>
        </w:rPr>
        <w:t>GB/T 42062</w:t>
      </w:r>
      <w:r>
        <w:rPr>
          <w:rFonts w:ascii="仿宋_GB2312" w:eastAsia="仿宋_GB2312" w:cs="仿宋_GB2312"/>
          <w:szCs w:val="32"/>
        </w:rPr>
        <w:t>《医疗器械风险管理对医疗器械的应用》提供产品风险管理报告。注册申请人应重点说明：申报产品的研制阶段已对有关可能的危害及产生的风险进行了估计和评价，针对性地实施了降低风险的技术和管理方面的措施。产品性能测试对上述措施的有效性进行了充分验证，达到了相关标准的要求。注册申请人对所有剩余风险进行了评价，全部达到可接受的水平。产品风险分析资料应为注册申请人关于产品安全性的承诺提供支持。应对申报产品的可能危害进行判定并列出清单。与安全有关的特性的识别可参考标准</w:t>
      </w:r>
      <w:r>
        <w:rPr>
          <w:rFonts w:eastAsia="仿宋_GB2312"/>
          <w:szCs w:val="32"/>
        </w:rPr>
        <w:t>YY/T 1437</w:t>
      </w:r>
      <w:r>
        <w:rPr>
          <w:rFonts w:ascii="仿宋_GB2312" w:eastAsia="仿宋_GB2312" w:cs="仿宋_GB2312"/>
          <w:szCs w:val="32"/>
        </w:rPr>
        <w:t>的附录</w:t>
      </w:r>
      <w:r>
        <w:rPr>
          <w:rFonts w:eastAsia="仿宋_GB2312"/>
          <w:szCs w:val="32"/>
        </w:rPr>
        <w:t>A</w:t>
      </w:r>
      <w:r>
        <w:rPr>
          <w:rFonts w:ascii="仿宋_GB2312" w:eastAsia="仿宋_GB2312" w:cs="仿宋_GB2312"/>
          <w:szCs w:val="32"/>
        </w:rPr>
        <w:t>。</w:t>
      </w:r>
    </w:p>
    <w:p w:rsidR="00001667" w:rsidRDefault="00833A54">
      <w:pPr>
        <w:spacing w:line="520" w:lineRule="exact"/>
        <w:ind w:firstLineChars="200" w:firstLine="640"/>
        <w:rPr>
          <w:rFonts w:eastAsia="仿宋_GB2312"/>
          <w:color w:val="FF0000"/>
          <w:szCs w:val="32"/>
        </w:rPr>
      </w:pPr>
      <w:r>
        <w:rPr>
          <w:rFonts w:ascii="仿宋_GB2312" w:eastAsia="仿宋_GB2312" w:cs="仿宋_GB2312"/>
          <w:szCs w:val="32"/>
        </w:rPr>
        <w:t>根据</w:t>
      </w:r>
      <w:r>
        <w:rPr>
          <w:rFonts w:eastAsia="仿宋_GB2312"/>
          <w:szCs w:val="32"/>
        </w:rPr>
        <w:t>GB/T 42062</w:t>
      </w:r>
      <w:r>
        <w:rPr>
          <w:rFonts w:ascii="仿宋_GB2312" w:eastAsia="仿宋_GB2312" w:cs="仿宋_GB2312"/>
          <w:szCs w:val="32"/>
        </w:rPr>
        <w:t>对</w:t>
      </w:r>
      <w:r>
        <w:rPr>
          <w:rFonts w:ascii="仿宋_GB2312" w:eastAsia="仿宋_GB2312" w:cs="仿宋_GB2312" w:hint="eastAsia"/>
          <w:szCs w:val="32"/>
        </w:rPr>
        <w:t>产品</w:t>
      </w:r>
      <w:r>
        <w:rPr>
          <w:rFonts w:ascii="仿宋_GB2312" w:eastAsia="仿宋_GB2312" w:cs="仿宋_GB2312"/>
          <w:szCs w:val="32"/>
        </w:rPr>
        <w:t>已知或可预见的风险进行判定，列举了有关的可能危险示例的不完全清单（见附件）。注册申请人还应根据自身产品特点确定其他可能危险。针对产品的各项风险，注册申请人应确定是否需要采取控制措施确保风险降到可接受的程度。</w:t>
      </w:r>
    </w:p>
    <w:p w:rsidR="00001667" w:rsidRDefault="00833A54">
      <w:pPr>
        <w:spacing w:line="520" w:lineRule="exact"/>
        <w:ind w:firstLineChars="200" w:firstLine="640"/>
        <w:rPr>
          <w:rFonts w:eastAsia="仿宋_GB2312"/>
          <w:szCs w:val="32"/>
        </w:rPr>
      </w:pPr>
      <w:r>
        <w:rPr>
          <w:rFonts w:eastAsia="仿宋_GB2312"/>
          <w:szCs w:val="32"/>
        </w:rPr>
        <w:t>2.</w:t>
      </w:r>
      <w:r>
        <w:rPr>
          <w:rFonts w:ascii="仿宋_GB2312" w:eastAsia="仿宋_GB2312" w:cs="仿宋_GB2312"/>
          <w:szCs w:val="32"/>
        </w:rPr>
        <w:t>医疗器械安全和性能基本原则清单</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应结合申报产品自身特点说明申报产品符合《医疗器械安全和性能基本原则清单》各项适用要求所采用的方法，以及证明其符合性的文件。对于《医疗器械安全和性能基本原则清单》中不适用的各项要求，应当说明理由。</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对于包含在产品注册申报资料中的文件，应当说明其在</w:t>
      </w:r>
      <w:r>
        <w:rPr>
          <w:rFonts w:ascii="仿宋_GB2312" w:eastAsia="仿宋_GB2312" w:cs="仿宋_GB2312"/>
          <w:szCs w:val="32"/>
        </w:rPr>
        <w:lastRenderedPageBreak/>
        <w:t>申报资料中的具体位置；对于未包含在产品注册申报资料中的文件，应当注明该证据文件名称及其在质量管理体系文件中的编号备查。</w:t>
      </w:r>
    </w:p>
    <w:p w:rsidR="00001667" w:rsidRDefault="00833A54">
      <w:pPr>
        <w:spacing w:line="520" w:lineRule="exact"/>
        <w:ind w:firstLineChars="200" w:firstLine="640"/>
        <w:rPr>
          <w:rFonts w:eastAsia="仿宋_GB2312"/>
          <w:szCs w:val="32"/>
        </w:rPr>
      </w:pPr>
      <w:r>
        <w:rPr>
          <w:rFonts w:eastAsia="仿宋_GB2312"/>
          <w:szCs w:val="32"/>
        </w:rPr>
        <w:t>3.</w:t>
      </w:r>
      <w:r>
        <w:rPr>
          <w:rFonts w:ascii="仿宋_GB2312" w:eastAsia="仿宋_GB2312" w:cs="仿宋_GB2312"/>
          <w:szCs w:val="32"/>
        </w:rPr>
        <w:t>产品技术要求及检验报告</w:t>
      </w:r>
    </w:p>
    <w:p w:rsidR="00001667" w:rsidRDefault="00833A54">
      <w:pPr>
        <w:spacing w:line="520" w:lineRule="exact"/>
        <w:ind w:firstLineChars="200" w:firstLine="640"/>
        <w:rPr>
          <w:rFonts w:eastAsia="仿宋_GB2312"/>
          <w:szCs w:val="32"/>
        </w:rPr>
      </w:pPr>
      <w:r>
        <w:rPr>
          <w:rFonts w:eastAsia="仿宋_GB2312"/>
          <w:szCs w:val="32"/>
        </w:rPr>
        <w:t>3.1</w:t>
      </w:r>
      <w:r>
        <w:rPr>
          <w:rFonts w:ascii="仿宋_GB2312" w:eastAsia="仿宋_GB2312" w:cs="仿宋_GB2312"/>
          <w:szCs w:val="32"/>
        </w:rPr>
        <w:t>产品技术要求</w:t>
      </w:r>
    </w:p>
    <w:p w:rsidR="00001667" w:rsidRDefault="00833A54">
      <w:pPr>
        <w:spacing w:line="520" w:lineRule="exact"/>
        <w:ind w:firstLineChars="200" w:firstLine="640"/>
        <w:rPr>
          <w:rFonts w:eastAsia="仿宋_GB2312"/>
          <w:color w:val="000000"/>
          <w:szCs w:val="32"/>
        </w:rPr>
      </w:pPr>
      <w:r>
        <w:rPr>
          <w:rFonts w:ascii="仿宋_GB2312" w:eastAsia="仿宋_GB2312" w:cs="仿宋_GB2312"/>
          <w:szCs w:val="32"/>
        </w:rPr>
        <w:t>注册申请人应按照《医疗器械产品技术要求编写指导原则》并结合产品的技术特征和临床使用情况来编制技术要求，</w:t>
      </w:r>
      <w:r>
        <w:rPr>
          <w:rFonts w:eastAsia="仿宋_GB2312"/>
          <w:color w:val="000000"/>
          <w:szCs w:val="32"/>
        </w:rPr>
        <w:t>参考</w:t>
      </w:r>
      <w:r>
        <w:rPr>
          <w:rFonts w:eastAsia="仿宋_GB2312" w:hint="eastAsia"/>
          <w:color w:val="000000"/>
          <w:szCs w:val="32"/>
        </w:rPr>
        <w:t>标准</w:t>
      </w:r>
      <w:r>
        <w:rPr>
          <w:rFonts w:eastAsia="仿宋_GB2312" w:hint="eastAsia"/>
          <w:color w:val="000000"/>
          <w:szCs w:val="32"/>
        </w:rPr>
        <w:t>YY/T 0507-2009</w:t>
      </w:r>
      <w:r>
        <w:rPr>
          <w:rFonts w:eastAsia="仿宋_GB2312" w:hint="eastAsia"/>
          <w:color w:val="000000"/>
          <w:szCs w:val="32"/>
        </w:rPr>
        <w:t>《医用弹性绷带基本性能参数表征及试验方法》、</w:t>
      </w:r>
      <w:r>
        <w:rPr>
          <w:rFonts w:eastAsia="仿宋_GB2312" w:hint="eastAsia"/>
          <w:color w:val="000000"/>
          <w:szCs w:val="32"/>
        </w:rPr>
        <w:t>YY/T 1467-2016</w:t>
      </w:r>
      <w:r>
        <w:rPr>
          <w:rFonts w:eastAsia="仿宋_GB2312" w:hint="eastAsia"/>
          <w:color w:val="000000"/>
          <w:szCs w:val="32"/>
        </w:rPr>
        <w:t>《医用包扎敷料救护绷带》等</w:t>
      </w:r>
      <w:r>
        <w:rPr>
          <w:rFonts w:eastAsia="仿宋_GB2312"/>
          <w:color w:val="000000"/>
          <w:szCs w:val="32"/>
        </w:rPr>
        <w:t>适用条款制定产品的性能指标要求。如产品有特定设计，注册申请人还需根据产品设计特征设定相应的性能指标，并将其列入产品技术要求。</w:t>
      </w:r>
    </w:p>
    <w:p w:rsidR="00001667" w:rsidRDefault="00833A54">
      <w:pPr>
        <w:spacing w:line="520" w:lineRule="exact"/>
        <w:ind w:firstLineChars="200" w:firstLine="640"/>
        <w:rPr>
          <w:rFonts w:eastAsia="仿宋_GB2312"/>
          <w:color w:val="FF0000"/>
          <w:szCs w:val="32"/>
        </w:rPr>
      </w:pPr>
      <w:r>
        <w:rPr>
          <w:rFonts w:eastAsia="仿宋_GB2312"/>
          <w:szCs w:val="32"/>
        </w:rPr>
        <w:t>产品技术要求中的性能指标包括但不限于以下几点。</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3.1.1</w:t>
      </w:r>
      <w:r>
        <w:rPr>
          <w:rFonts w:eastAsia="仿宋_GB2312"/>
          <w:color w:val="000000"/>
          <w:szCs w:val="32"/>
        </w:rPr>
        <w:t>外观</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3.1.2</w:t>
      </w:r>
      <w:r>
        <w:rPr>
          <w:rFonts w:eastAsia="仿宋_GB2312"/>
          <w:color w:val="000000"/>
          <w:szCs w:val="32"/>
        </w:rPr>
        <w:t>尺寸</w:t>
      </w:r>
      <w:r>
        <w:rPr>
          <w:rFonts w:eastAsia="仿宋_GB2312" w:hint="eastAsia"/>
          <w:color w:val="000000"/>
          <w:szCs w:val="32"/>
        </w:rPr>
        <w:t>及允差</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3.1.3</w:t>
      </w:r>
      <w:r>
        <w:rPr>
          <w:rFonts w:eastAsia="仿宋_GB2312" w:hint="eastAsia"/>
          <w:color w:val="000000"/>
          <w:szCs w:val="32"/>
        </w:rPr>
        <w:t>连接牢固度（各组件连接处）</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3.1.4</w:t>
      </w:r>
      <w:r>
        <w:rPr>
          <w:rFonts w:eastAsia="仿宋_GB2312" w:hint="eastAsia"/>
          <w:color w:val="000000"/>
          <w:szCs w:val="32"/>
        </w:rPr>
        <w:t>无菌</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3.1.5</w:t>
      </w:r>
      <w:r>
        <w:rPr>
          <w:rFonts w:eastAsia="仿宋_GB2312" w:hint="eastAsia"/>
          <w:color w:val="000000"/>
          <w:szCs w:val="32"/>
        </w:rPr>
        <w:t>环氧乙烷残留量（如适用）</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若产品经环氧乙烷灭菌，环氧乙烷残留量应不大于</w:t>
      </w:r>
      <w:r>
        <w:rPr>
          <w:rFonts w:eastAsia="仿宋_GB2312" w:hint="eastAsia"/>
          <w:color w:val="000000"/>
          <w:szCs w:val="32"/>
        </w:rPr>
        <w:t>10</w:t>
      </w:r>
      <w:r>
        <w:rPr>
          <w:rFonts w:eastAsia="仿宋_GB2312" w:hint="eastAsia"/>
          <w:color w:val="000000"/>
          <w:szCs w:val="32"/>
        </w:rPr>
        <w:t>μ</w:t>
      </w:r>
      <w:r>
        <w:rPr>
          <w:rFonts w:eastAsia="仿宋_GB2312" w:hint="eastAsia"/>
          <w:color w:val="000000"/>
          <w:szCs w:val="32"/>
        </w:rPr>
        <w:t>g/g</w:t>
      </w:r>
      <w:r>
        <w:rPr>
          <w:rFonts w:eastAsia="仿宋_GB2312" w:hint="eastAsia"/>
          <w:color w:val="000000"/>
          <w:szCs w:val="32"/>
        </w:rPr>
        <w:t>。</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3.1.6</w:t>
      </w:r>
      <w:r>
        <w:rPr>
          <w:rFonts w:eastAsia="仿宋_GB2312" w:hint="eastAsia"/>
          <w:color w:val="000000"/>
          <w:szCs w:val="32"/>
        </w:rPr>
        <w:t>组件要求</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敷料垫：根据产品材质及适用性建议参考</w:t>
      </w:r>
      <w:r>
        <w:rPr>
          <w:rFonts w:eastAsia="仿宋_GB2312" w:hint="eastAsia"/>
          <w:color w:val="000000"/>
          <w:szCs w:val="32"/>
        </w:rPr>
        <w:t>YY 0594</w:t>
      </w:r>
      <w:r>
        <w:rPr>
          <w:rFonts w:eastAsia="仿宋_GB2312" w:hint="eastAsia"/>
          <w:color w:val="000000"/>
          <w:szCs w:val="32"/>
        </w:rPr>
        <w:t>、</w:t>
      </w:r>
      <w:r>
        <w:rPr>
          <w:rFonts w:eastAsia="仿宋_GB2312" w:hint="eastAsia"/>
          <w:color w:val="000000"/>
          <w:szCs w:val="32"/>
        </w:rPr>
        <w:t>YY/T 0330</w:t>
      </w:r>
      <w:r>
        <w:rPr>
          <w:rFonts w:eastAsia="仿宋_GB2312" w:hint="eastAsia"/>
          <w:color w:val="000000"/>
          <w:szCs w:val="32"/>
        </w:rPr>
        <w:t>或</w:t>
      </w:r>
      <w:r>
        <w:rPr>
          <w:rFonts w:eastAsia="仿宋_GB2312" w:hint="eastAsia"/>
          <w:color w:val="000000"/>
          <w:szCs w:val="32"/>
        </w:rPr>
        <w:t>YY/T 0471</w:t>
      </w:r>
      <w:r>
        <w:rPr>
          <w:rFonts w:eastAsia="仿宋_GB2312" w:hint="eastAsia"/>
          <w:color w:val="000000"/>
          <w:szCs w:val="32"/>
        </w:rPr>
        <w:t>、</w:t>
      </w:r>
      <w:r>
        <w:rPr>
          <w:rFonts w:eastAsia="仿宋_GB2312" w:hint="eastAsia"/>
          <w:color w:val="000000"/>
          <w:szCs w:val="32"/>
        </w:rPr>
        <w:t>YY/T 1293</w:t>
      </w:r>
      <w:r>
        <w:rPr>
          <w:rFonts w:eastAsia="仿宋_GB2312" w:hint="eastAsia"/>
          <w:color w:val="000000"/>
          <w:szCs w:val="32"/>
        </w:rPr>
        <w:t>系列标准等制定相关规定。</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至少包括：弥散特性、水蒸气透过率、液体吸收量、</w:t>
      </w:r>
      <w:r>
        <w:rPr>
          <w:rFonts w:eastAsia="仿宋_GB2312" w:hint="eastAsia"/>
          <w:szCs w:val="32"/>
        </w:rPr>
        <w:t>干燥失重、</w:t>
      </w:r>
      <w:r>
        <w:rPr>
          <w:rFonts w:eastAsia="仿宋_GB2312" w:hint="eastAsia"/>
          <w:color w:val="000000"/>
          <w:szCs w:val="32"/>
        </w:rPr>
        <w:t>水中可溶物、荧光物、酸碱度、表面活性物质。</w:t>
      </w:r>
    </w:p>
    <w:p w:rsidR="00001667" w:rsidRDefault="00833A54">
      <w:pPr>
        <w:spacing w:line="520" w:lineRule="exact"/>
        <w:ind w:firstLineChars="200" w:firstLine="640"/>
        <w:rPr>
          <w:rFonts w:eastAsia="仿宋_GB2312"/>
          <w:szCs w:val="32"/>
        </w:rPr>
      </w:pPr>
      <w:r>
        <w:rPr>
          <w:rFonts w:eastAsia="仿宋_GB2312" w:hint="eastAsia"/>
          <w:color w:val="000000"/>
          <w:szCs w:val="32"/>
        </w:rPr>
        <w:t>绷带</w:t>
      </w:r>
      <w:r>
        <w:rPr>
          <w:rFonts w:eastAsia="仿宋_GB2312" w:hint="eastAsia"/>
          <w:szCs w:val="32"/>
        </w:rPr>
        <w:t>：弹性绷带应符合</w:t>
      </w:r>
      <w:r>
        <w:rPr>
          <w:rFonts w:eastAsia="仿宋_GB2312" w:hint="eastAsia"/>
          <w:szCs w:val="32"/>
        </w:rPr>
        <w:t>YY/T 0507</w:t>
      </w:r>
      <w:r>
        <w:rPr>
          <w:rFonts w:eastAsia="仿宋_GB2312" w:hint="eastAsia"/>
          <w:szCs w:val="32"/>
        </w:rPr>
        <w:t>标准的相关规定。至少包括：断裂强力、弹性伸长率、拉伸弹性回复率等。非弹性绷带</w:t>
      </w:r>
      <w:r>
        <w:rPr>
          <w:rFonts w:eastAsia="仿宋_GB2312" w:hint="eastAsia"/>
          <w:color w:val="000000"/>
          <w:szCs w:val="32"/>
        </w:rPr>
        <w:t>根据产品材质及适用性建议参考</w:t>
      </w:r>
      <w:r>
        <w:rPr>
          <w:rFonts w:eastAsia="仿宋_GB2312" w:hint="eastAsia"/>
          <w:szCs w:val="32"/>
        </w:rPr>
        <w:t>YY/T 1467</w:t>
      </w:r>
      <w:r>
        <w:rPr>
          <w:rFonts w:eastAsia="仿宋_GB2312" w:hint="eastAsia"/>
          <w:szCs w:val="32"/>
        </w:rPr>
        <w:t>标准</w:t>
      </w:r>
      <w:r>
        <w:rPr>
          <w:rFonts w:eastAsia="仿宋_GB2312" w:hint="eastAsia"/>
          <w:color w:val="000000"/>
          <w:szCs w:val="32"/>
        </w:rPr>
        <w:t>制定相关规定。至少包括：断裂强力、单位面积质量</w:t>
      </w:r>
      <w:r>
        <w:rPr>
          <w:rFonts w:eastAsia="仿宋_GB2312" w:hint="eastAsia"/>
          <w:szCs w:val="32"/>
        </w:rPr>
        <w:t>等。</w:t>
      </w:r>
    </w:p>
    <w:p w:rsidR="00001667" w:rsidRDefault="00833A54">
      <w:pPr>
        <w:spacing w:line="520" w:lineRule="exact"/>
        <w:ind w:firstLineChars="200" w:firstLine="640"/>
        <w:rPr>
          <w:rFonts w:eastAsia="仿宋_GB2312"/>
          <w:szCs w:val="32"/>
        </w:rPr>
      </w:pPr>
      <w:r>
        <w:rPr>
          <w:rFonts w:eastAsia="仿宋_GB2312" w:hint="eastAsia"/>
          <w:szCs w:val="32"/>
        </w:rPr>
        <w:t>带自粘性能的绷带还</w:t>
      </w:r>
      <w:r>
        <w:rPr>
          <w:rFonts w:eastAsia="仿宋_GB2312" w:hint="eastAsia"/>
          <w:color w:val="000000"/>
          <w:szCs w:val="32"/>
        </w:rPr>
        <w:t>应结合临床使用要求</w:t>
      </w:r>
      <w:r>
        <w:rPr>
          <w:rFonts w:eastAsia="仿宋_GB2312" w:hint="eastAsia"/>
          <w:szCs w:val="32"/>
        </w:rPr>
        <w:t>制定剥离强度等要求。</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其他组件，如固定装置，应结合临床使用要求制定适宜的性能指标，如固定性能等。</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3.1.7</w:t>
      </w:r>
      <w:r>
        <w:rPr>
          <w:rFonts w:eastAsia="仿宋_GB2312"/>
          <w:color w:val="000000"/>
          <w:szCs w:val="32"/>
        </w:rPr>
        <w:t>宣称的其他技术参数和功能，均应在产品技术要求中予以规定。引用标准应当为现行有效版本。</w:t>
      </w:r>
    </w:p>
    <w:p w:rsidR="00001667" w:rsidRDefault="00833A54">
      <w:pPr>
        <w:pStyle w:val="ae"/>
        <w:ind w:firstLineChars="200" w:firstLine="640"/>
        <w:rPr>
          <w:rFonts w:ascii="Times New Roman" w:eastAsia="仿宋_GB2312" w:hAnsi="Times New Roman"/>
          <w:color w:val="000000"/>
          <w:kern w:val="2"/>
          <w:sz w:val="32"/>
          <w:szCs w:val="32"/>
        </w:rPr>
      </w:pPr>
      <w:r>
        <w:rPr>
          <w:rFonts w:ascii="Times New Roman" w:eastAsia="仿宋_GB2312" w:hAnsi="Times New Roman" w:hint="eastAsia"/>
          <w:color w:val="000000"/>
          <w:kern w:val="2"/>
          <w:sz w:val="32"/>
          <w:szCs w:val="32"/>
        </w:rPr>
        <w:t>3.2</w:t>
      </w:r>
      <w:r>
        <w:rPr>
          <w:rFonts w:ascii="Times New Roman" w:eastAsia="仿宋_GB2312" w:hAnsi="Times New Roman" w:hint="eastAsia"/>
          <w:color w:val="000000"/>
          <w:kern w:val="2"/>
          <w:sz w:val="32"/>
          <w:szCs w:val="32"/>
        </w:rPr>
        <w:t>检验方法</w:t>
      </w:r>
    </w:p>
    <w:p w:rsidR="00001667" w:rsidRDefault="00833A54">
      <w:pPr>
        <w:spacing w:line="520" w:lineRule="exact"/>
        <w:ind w:firstLineChars="200" w:firstLine="640"/>
        <w:rPr>
          <w:rFonts w:eastAsia="仿宋_GB2312"/>
          <w:color w:val="000000"/>
          <w:szCs w:val="32"/>
        </w:rPr>
      </w:pPr>
      <w:r>
        <w:rPr>
          <w:rFonts w:eastAsia="仿宋_GB2312"/>
          <w:color w:val="000000"/>
          <w:szCs w:val="32"/>
        </w:rPr>
        <w:t>申报产品适用标准中未对相关性能指标的检验方法做出明确规定的，注册申请人可采用经过自行验证的检验方法。</w:t>
      </w:r>
    </w:p>
    <w:p w:rsidR="00001667" w:rsidRDefault="00833A54">
      <w:pPr>
        <w:spacing w:line="520" w:lineRule="exact"/>
        <w:ind w:firstLineChars="200" w:firstLine="640"/>
        <w:rPr>
          <w:rFonts w:eastAsia="仿宋_GB2312"/>
          <w:color w:val="000000"/>
          <w:szCs w:val="32"/>
        </w:rPr>
      </w:pPr>
      <w:r>
        <w:rPr>
          <w:rFonts w:eastAsia="仿宋_GB2312"/>
          <w:color w:val="000000"/>
          <w:szCs w:val="32"/>
        </w:rPr>
        <w:t>如适用的国家标准或行业标准中对产品各性能指标有明确的检验方法，建议优先选择作为各性能指标对应的检验方法。</w:t>
      </w:r>
    </w:p>
    <w:p w:rsidR="00001667" w:rsidRDefault="00833A54">
      <w:pPr>
        <w:spacing w:line="52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.3</w:t>
      </w:r>
      <w:r>
        <w:rPr>
          <w:rFonts w:eastAsia="仿宋_GB2312" w:hint="eastAsia"/>
          <w:color w:val="000000"/>
          <w:szCs w:val="32"/>
        </w:rPr>
        <w:t>产品检验报告</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可提交以下任一形式的检验报告：</w:t>
      </w:r>
    </w:p>
    <w:p w:rsidR="00001667" w:rsidRDefault="00833A54">
      <w:pPr>
        <w:numPr>
          <w:ilvl w:val="0"/>
          <w:numId w:val="2"/>
        </w:numPr>
        <w:spacing w:line="520" w:lineRule="exact"/>
        <w:ind w:firstLineChars="200" w:firstLine="640"/>
        <w:rPr>
          <w:rFonts w:ascii="仿宋_GB2312" w:eastAsia="仿宋_GB2312" w:cs="仿宋_GB2312"/>
          <w:szCs w:val="32"/>
        </w:rPr>
      </w:pPr>
      <w:r>
        <w:rPr>
          <w:rFonts w:ascii="仿宋_GB2312" w:eastAsia="仿宋_GB2312" w:cs="仿宋_GB2312" w:hint="eastAsia"/>
          <w:szCs w:val="32"/>
        </w:rPr>
        <w:t>注册</w:t>
      </w:r>
      <w:r>
        <w:rPr>
          <w:rFonts w:ascii="仿宋_GB2312" w:eastAsia="仿宋_GB2312" w:cs="仿宋_GB2312"/>
          <w:szCs w:val="32"/>
        </w:rPr>
        <w:t>申请人出具的自检报告。</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提交自检报告的</w:t>
      </w:r>
      <w:r>
        <w:rPr>
          <w:rFonts w:ascii="仿宋_GB2312" w:eastAsia="仿宋_GB2312" w:cs="仿宋_GB2312" w:hint="eastAsia"/>
          <w:szCs w:val="32"/>
        </w:rPr>
        <w:t>，</w:t>
      </w:r>
      <w:r>
        <w:rPr>
          <w:rFonts w:ascii="仿宋_GB2312" w:eastAsia="仿宋_GB2312" w:cs="仿宋_GB2312"/>
          <w:szCs w:val="32"/>
        </w:rPr>
        <w:t>应符合《医疗器械注册自检管理规定》（</w:t>
      </w:r>
      <w:r>
        <w:rPr>
          <w:rFonts w:eastAsia="仿宋_GB2312"/>
          <w:szCs w:val="32"/>
        </w:rPr>
        <w:t>2021</w:t>
      </w:r>
      <w:r>
        <w:rPr>
          <w:rFonts w:ascii="仿宋_GB2312" w:eastAsia="仿宋_GB2312" w:cs="仿宋_GB2312"/>
          <w:szCs w:val="32"/>
        </w:rPr>
        <w:t>年第</w:t>
      </w:r>
      <w:r>
        <w:rPr>
          <w:rFonts w:eastAsia="仿宋_GB2312"/>
          <w:szCs w:val="32"/>
        </w:rPr>
        <w:t>126</w:t>
      </w:r>
      <w:r>
        <w:rPr>
          <w:rFonts w:ascii="仿宋_GB2312" w:eastAsia="仿宋_GB2312" w:cs="仿宋_GB2312"/>
          <w:szCs w:val="32"/>
        </w:rPr>
        <w:t>号）相关要求。</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w:t>
      </w:r>
      <w:r>
        <w:rPr>
          <w:rFonts w:eastAsia="仿宋_GB2312"/>
          <w:szCs w:val="32"/>
        </w:rPr>
        <w:t>2</w:t>
      </w:r>
      <w:r>
        <w:rPr>
          <w:rFonts w:ascii="仿宋_GB2312" w:eastAsia="仿宋_GB2312" w:cs="仿宋_GB2312"/>
          <w:szCs w:val="32"/>
        </w:rPr>
        <w:t>）委托有资质的医疗器械检验机构出具的检验报告。</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申报产品有多个型号的，可选择典型型号产品进行检验，注册申请人应提供检验样品型号</w:t>
      </w:r>
      <w:r>
        <w:rPr>
          <w:rFonts w:eastAsia="仿宋_GB2312"/>
          <w:szCs w:val="32"/>
        </w:rPr>
        <w:t>/</w:t>
      </w:r>
      <w:r>
        <w:rPr>
          <w:rFonts w:ascii="仿宋_GB2312" w:eastAsia="仿宋_GB2312" w:cs="仿宋_GB2312"/>
          <w:szCs w:val="32"/>
        </w:rPr>
        <w:t>规格的选择依据。所检验型号</w:t>
      </w:r>
      <w:r>
        <w:rPr>
          <w:rFonts w:eastAsia="仿宋_GB2312"/>
          <w:szCs w:val="32"/>
        </w:rPr>
        <w:t>/</w:t>
      </w:r>
      <w:r>
        <w:rPr>
          <w:rFonts w:ascii="仿宋_GB2312" w:eastAsia="仿宋_GB2312" w:cs="仿宋_GB2312"/>
          <w:szCs w:val="32"/>
        </w:rPr>
        <w:t>规格</w:t>
      </w:r>
      <w:r>
        <w:rPr>
          <w:rFonts w:ascii="仿宋_GB2312" w:eastAsia="仿宋_GB2312" w:cs="仿宋_GB2312" w:hint="eastAsia"/>
          <w:szCs w:val="32"/>
        </w:rPr>
        <w:t>须</w:t>
      </w:r>
      <w:r>
        <w:rPr>
          <w:rFonts w:ascii="仿宋_GB2312" w:eastAsia="仿宋_GB2312" w:cs="仿宋_GB2312"/>
          <w:szCs w:val="32"/>
        </w:rPr>
        <w:t>为能够代表本注册单元内其他型号</w:t>
      </w:r>
      <w:r>
        <w:rPr>
          <w:rFonts w:eastAsia="仿宋_GB2312"/>
          <w:szCs w:val="32"/>
        </w:rPr>
        <w:t>/</w:t>
      </w:r>
      <w:r>
        <w:rPr>
          <w:rFonts w:ascii="仿宋_GB2312" w:eastAsia="仿宋_GB2312" w:cs="仿宋_GB2312"/>
          <w:szCs w:val="32"/>
        </w:rPr>
        <w:t>规格的典型产品。选取用于检验的典型产品时需综合考虑产品的结构组成、制造材料、性能指标、生产工艺（包括灭菌</w:t>
      </w:r>
      <w:r>
        <w:rPr>
          <w:rFonts w:ascii="仿宋_GB2312" w:eastAsia="仿宋_GB2312" w:cs="仿宋_GB2312" w:hint="eastAsia"/>
          <w:szCs w:val="32"/>
        </w:rPr>
        <w:t>工艺</w:t>
      </w:r>
      <w:r>
        <w:rPr>
          <w:rFonts w:ascii="仿宋_GB2312" w:eastAsia="仿宋_GB2312" w:cs="仿宋_GB2312"/>
          <w:szCs w:val="32"/>
        </w:rPr>
        <w:t>等）等方面的影响因素。典型产品应能代表申请注册产品的安全性和有效性，一般选取结构最复杂、功能最全的型号作为典型产品，并提供典型产品检验覆盖说明。</w:t>
      </w:r>
    </w:p>
    <w:p w:rsidR="00001667" w:rsidRDefault="00833A54">
      <w:pPr>
        <w:spacing w:line="520" w:lineRule="exact"/>
        <w:ind w:firstLineChars="200" w:firstLine="640"/>
      </w:pPr>
      <w:r>
        <w:rPr>
          <w:rFonts w:ascii="仿宋_GB2312" w:eastAsia="仿宋_GB2312" w:cs="仿宋_GB2312"/>
          <w:szCs w:val="32"/>
        </w:rPr>
        <w:t>若一个型号规格不能覆盖，</w:t>
      </w:r>
      <w:r>
        <w:rPr>
          <w:rFonts w:ascii="仿宋_GB2312" w:eastAsia="仿宋_GB2312" w:cs="仿宋_GB2312" w:hint="eastAsia"/>
          <w:szCs w:val="32"/>
        </w:rPr>
        <w:t>如固定方式不同，</w:t>
      </w:r>
      <w:r>
        <w:rPr>
          <w:rFonts w:ascii="仿宋_GB2312" w:eastAsia="仿宋_GB2312" w:cs="仿宋_GB2312"/>
          <w:szCs w:val="32"/>
        </w:rPr>
        <w:t>应进行差异性检验。需注意，典型型号</w:t>
      </w:r>
      <w:r>
        <w:rPr>
          <w:rFonts w:eastAsia="仿宋_GB2312"/>
          <w:szCs w:val="32"/>
        </w:rPr>
        <w:t>/</w:t>
      </w:r>
      <w:r>
        <w:rPr>
          <w:rFonts w:ascii="仿宋_GB2312" w:eastAsia="仿宋_GB2312" w:cs="仿宋_GB2312"/>
          <w:szCs w:val="32"/>
        </w:rPr>
        <w:t>规格不一定是临床常用型号</w:t>
      </w:r>
      <w:r>
        <w:rPr>
          <w:rFonts w:eastAsia="仿宋_GB2312"/>
          <w:szCs w:val="32"/>
        </w:rPr>
        <w:t>/</w:t>
      </w:r>
      <w:r>
        <w:rPr>
          <w:rFonts w:ascii="仿宋_GB2312" w:eastAsia="仿宋_GB2312" w:cs="仿宋_GB2312"/>
          <w:szCs w:val="32"/>
        </w:rPr>
        <w:t>规格。</w:t>
      </w:r>
    </w:p>
    <w:p w:rsidR="00001667" w:rsidRDefault="00833A54">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研究资料</w:t>
      </w:r>
    </w:p>
    <w:p w:rsidR="00001667" w:rsidRDefault="00833A54">
      <w:pPr>
        <w:spacing w:line="520" w:lineRule="exact"/>
        <w:ind w:firstLineChars="200" w:firstLine="640"/>
        <w:rPr>
          <w:rFonts w:eastAsia="仿宋_GB2312"/>
          <w:szCs w:val="32"/>
        </w:rPr>
      </w:pPr>
      <w:r>
        <w:rPr>
          <w:rFonts w:eastAsia="仿宋_GB2312"/>
          <w:szCs w:val="32"/>
        </w:rPr>
        <w:t>4.1</w:t>
      </w:r>
      <w:r>
        <w:rPr>
          <w:rFonts w:ascii="仿宋_GB2312" w:eastAsia="仿宋_GB2312" w:cs="仿宋_GB2312"/>
          <w:szCs w:val="32"/>
        </w:rPr>
        <w:t>产品性能研究</w:t>
      </w:r>
    </w:p>
    <w:p w:rsidR="00001667" w:rsidRDefault="00833A54">
      <w:pPr>
        <w:spacing w:line="520" w:lineRule="exact"/>
        <w:ind w:firstLineChars="200" w:firstLine="640"/>
        <w:rPr>
          <w:rFonts w:ascii="仿宋" w:eastAsia="仿宋" w:hAnsi="仿宋" w:cs="仿宋"/>
          <w:szCs w:val="32"/>
        </w:rPr>
      </w:pPr>
      <w:r>
        <w:rPr>
          <w:rFonts w:ascii="仿宋_GB2312" w:eastAsia="仿宋_GB2312" w:cs="仿宋_GB2312"/>
          <w:szCs w:val="32"/>
        </w:rPr>
        <w:t>应当提供产品性能研究资料以及产品技术要求的研究和编制说明，包括有效性、安全性指标的确定依据</w:t>
      </w:r>
      <w:r>
        <w:rPr>
          <w:rFonts w:ascii="仿宋_GB2312" w:eastAsia="仿宋_GB2312" w:cs="仿宋_GB2312" w:hint="eastAsia"/>
          <w:szCs w:val="32"/>
        </w:rPr>
        <w:t>，</w:t>
      </w:r>
      <w:r>
        <w:rPr>
          <w:rFonts w:ascii="仿宋_GB2312" w:eastAsia="仿宋_GB2312" w:cs="仿宋_GB2312"/>
          <w:szCs w:val="32"/>
        </w:rPr>
        <w:t>所采用的标准或方法、采用的原因及理论基础等</w:t>
      </w:r>
      <w:r>
        <w:rPr>
          <w:rFonts w:ascii="仿宋" w:eastAsia="仿宋" w:hAnsi="仿宋" w:cs="仿宋" w:hint="eastAsia"/>
          <w:szCs w:val="32"/>
        </w:rPr>
        <w:t>。</w:t>
      </w:r>
    </w:p>
    <w:p w:rsidR="00001667" w:rsidRDefault="00833A54">
      <w:pPr>
        <w:spacing w:line="580" w:lineRule="exact"/>
        <w:ind w:firstLineChars="200" w:firstLine="640"/>
        <w:rPr>
          <w:rFonts w:eastAsia="仿宋_GB2312"/>
          <w:szCs w:val="32"/>
        </w:rPr>
      </w:pPr>
      <w:r>
        <w:rPr>
          <w:rFonts w:eastAsia="仿宋_GB2312" w:hint="eastAsia"/>
          <w:szCs w:val="32"/>
        </w:rPr>
        <w:t>4.2</w:t>
      </w:r>
      <w:r>
        <w:rPr>
          <w:rFonts w:eastAsia="仿宋_GB2312" w:hint="eastAsia"/>
          <w:szCs w:val="32"/>
        </w:rPr>
        <w:t>原材料</w:t>
      </w:r>
      <w:r>
        <w:rPr>
          <w:rFonts w:eastAsia="仿宋_GB2312"/>
          <w:szCs w:val="32"/>
        </w:rPr>
        <w:t>控制</w:t>
      </w:r>
    </w:p>
    <w:p w:rsidR="00001667" w:rsidRDefault="00833A54">
      <w:pPr>
        <w:spacing w:line="580" w:lineRule="exact"/>
        <w:ind w:firstLineChars="200" w:firstLine="640"/>
        <w:rPr>
          <w:rFonts w:eastAsia="仿宋_GB2312"/>
          <w:szCs w:val="32"/>
        </w:rPr>
      </w:pPr>
      <w:r>
        <w:rPr>
          <w:rFonts w:eastAsia="仿宋_GB2312" w:hint="eastAsia"/>
          <w:szCs w:val="32"/>
        </w:rPr>
        <w:t>原材料</w:t>
      </w:r>
      <w:r>
        <w:rPr>
          <w:rFonts w:eastAsia="仿宋_GB2312"/>
          <w:szCs w:val="32"/>
        </w:rPr>
        <w:t>应具有稳定的供货渠道，以保证终产品的质量，明确其质控标准及检验方法，提交符合相应标准的报告和安全性评价资料。</w:t>
      </w:r>
    </w:p>
    <w:p w:rsidR="00001667" w:rsidRDefault="00833A54">
      <w:pPr>
        <w:spacing w:line="520" w:lineRule="exact"/>
        <w:ind w:firstLineChars="200" w:firstLine="640"/>
        <w:rPr>
          <w:rFonts w:eastAsia="仿宋_GB2312"/>
          <w:szCs w:val="32"/>
        </w:rPr>
      </w:pPr>
      <w:r>
        <w:rPr>
          <w:rFonts w:eastAsia="仿宋_GB2312"/>
          <w:szCs w:val="32"/>
        </w:rPr>
        <w:t>4.</w:t>
      </w:r>
      <w:r>
        <w:rPr>
          <w:rFonts w:eastAsia="仿宋_GB2312" w:hint="eastAsia"/>
          <w:szCs w:val="32"/>
        </w:rPr>
        <w:t>3</w:t>
      </w:r>
      <w:r>
        <w:rPr>
          <w:rFonts w:ascii="仿宋_GB2312" w:eastAsia="仿宋_GB2312" w:cs="仿宋_GB2312"/>
          <w:szCs w:val="32"/>
        </w:rPr>
        <w:t>生物学特性研究</w:t>
      </w:r>
    </w:p>
    <w:p w:rsidR="00001667" w:rsidRDefault="00833A54">
      <w:pPr>
        <w:spacing w:line="520" w:lineRule="exact"/>
        <w:ind w:firstLineChars="200" w:firstLine="640"/>
        <w:rPr>
          <w:rFonts w:eastAsia="仿宋_GB2312"/>
          <w:kern w:val="0"/>
          <w:szCs w:val="32"/>
        </w:rPr>
      </w:pPr>
      <w:r>
        <w:rPr>
          <w:rFonts w:eastAsia="仿宋_GB2312" w:hint="eastAsia"/>
          <w:bCs/>
          <w:szCs w:val="32"/>
        </w:rPr>
        <w:t>止血绷带通常</w:t>
      </w:r>
      <w:r>
        <w:rPr>
          <w:rFonts w:eastAsia="仿宋_GB2312"/>
          <w:bCs/>
          <w:szCs w:val="32"/>
        </w:rPr>
        <w:t>与</w:t>
      </w:r>
      <w:r>
        <w:rPr>
          <w:rFonts w:eastAsia="仿宋_GB2312" w:hint="eastAsia"/>
          <w:bCs/>
          <w:szCs w:val="32"/>
        </w:rPr>
        <w:t>破裂或损伤表面短期</w:t>
      </w:r>
      <w:r>
        <w:rPr>
          <w:rFonts w:eastAsia="仿宋_GB2312"/>
          <w:bCs/>
          <w:szCs w:val="32"/>
        </w:rPr>
        <w:t>接触</w:t>
      </w:r>
      <w:r>
        <w:rPr>
          <w:rFonts w:eastAsia="仿宋_GB2312" w:hint="eastAsia"/>
          <w:bCs/>
          <w:szCs w:val="32"/>
        </w:rPr>
        <w:t>，属于表面接触医疗器械</w:t>
      </w:r>
      <w:r>
        <w:rPr>
          <w:rFonts w:eastAsia="仿宋_GB2312"/>
          <w:bCs/>
          <w:szCs w:val="32"/>
        </w:rPr>
        <w:t>，目前根据</w:t>
      </w:r>
      <w:r>
        <w:rPr>
          <w:rFonts w:eastAsia="仿宋_GB2312"/>
          <w:bCs/>
          <w:szCs w:val="32"/>
        </w:rPr>
        <w:t>GB/T 16886</w:t>
      </w:r>
      <w:r>
        <w:rPr>
          <w:rFonts w:eastAsia="仿宋_GB2312"/>
          <w:bCs/>
          <w:szCs w:val="32"/>
        </w:rPr>
        <w:t>《医疗器械生物学评价》系列标准，考虑的生物相容性评价终点需包括：热原、细胞毒性、致敏、皮内反应、急性全身毒性等。对于首次需用于医疗器械的新材料，还需提供该材料适合用于人体安全性的相关研究资料。</w:t>
      </w:r>
    </w:p>
    <w:p w:rsidR="00001667" w:rsidRDefault="00833A54">
      <w:pPr>
        <w:spacing w:line="520" w:lineRule="exact"/>
        <w:ind w:firstLineChars="200" w:firstLine="640"/>
        <w:rPr>
          <w:rFonts w:eastAsia="仿宋_GB2312"/>
          <w:szCs w:val="32"/>
        </w:rPr>
      </w:pPr>
      <w:r>
        <w:rPr>
          <w:rFonts w:eastAsia="仿宋_GB2312"/>
          <w:szCs w:val="32"/>
        </w:rPr>
        <w:t>4.</w:t>
      </w:r>
      <w:r>
        <w:rPr>
          <w:rFonts w:eastAsia="仿宋_GB2312" w:hint="eastAsia"/>
          <w:szCs w:val="32"/>
        </w:rPr>
        <w:t>4</w:t>
      </w:r>
      <w:r>
        <w:rPr>
          <w:rFonts w:ascii="仿宋_GB2312" w:eastAsia="仿宋_GB2312" w:cs="仿宋_GB2312"/>
          <w:szCs w:val="32"/>
        </w:rPr>
        <w:t>产品灭菌工艺研究</w:t>
      </w:r>
    </w:p>
    <w:p w:rsidR="00001667" w:rsidRDefault="00833A54">
      <w:pPr>
        <w:spacing w:line="520" w:lineRule="exact"/>
        <w:ind w:firstLineChars="200" w:firstLine="640"/>
        <w:rPr>
          <w:rFonts w:eastAsia="仿宋_GB2312"/>
          <w:kern w:val="0"/>
          <w:szCs w:val="32"/>
        </w:rPr>
      </w:pPr>
      <w:r>
        <w:rPr>
          <w:rFonts w:eastAsia="仿宋_GB2312"/>
          <w:kern w:val="0"/>
          <w:szCs w:val="32"/>
        </w:rPr>
        <w:t>提交产品灭菌方法的选择依据及验证报告。器械的灭菌应通过</w:t>
      </w:r>
      <w:r>
        <w:rPr>
          <w:rFonts w:eastAsia="仿宋_GB2312"/>
          <w:kern w:val="0"/>
          <w:szCs w:val="32"/>
        </w:rPr>
        <w:t>GB 18279</w:t>
      </w:r>
      <w:r>
        <w:rPr>
          <w:rFonts w:eastAsia="仿宋_GB2312"/>
          <w:kern w:val="0"/>
          <w:szCs w:val="32"/>
        </w:rPr>
        <w:t>或</w:t>
      </w:r>
      <w:r>
        <w:rPr>
          <w:rFonts w:eastAsia="仿宋_GB2312"/>
          <w:kern w:val="0"/>
          <w:szCs w:val="32"/>
        </w:rPr>
        <w:t>GB 18280</w:t>
      </w:r>
      <w:r>
        <w:rPr>
          <w:rFonts w:eastAsia="仿宋_GB2312"/>
          <w:kern w:val="0"/>
          <w:szCs w:val="32"/>
        </w:rPr>
        <w:t>确认并进行常规控制，无菌保证水平（</w:t>
      </w:r>
      <w:r>
        <w:rPr>
          <w:rFonts w:eastAsia="仿宋_GB2312"/>
          <w:kern w:val="0"/>
          <w:szCs w:val="32"/>
        </w:rPr>
        <w:t>SAL</w:t>
      </w:r>
      <w:r>
        <w:rPr>
          <w:rFonts w:eastAsia="仿宋_GB2312"/>
          <w:kern w:val="0"/>
          <w:szCs w:val="32"/>
        </w:rPr>
        <w:t>）应保证达到</w:t>
      </w:r>
      <w:r>
        <w:rPr>
          <w:rFonts w:eastAsia="仿宋_GB2312"/>
          <w:kern w:val="0"/>
          <w:szCs w:val="32"/>
        </w:rPr>
        <w:t>1×10</w:t>
      </w:r>
      <w:r>
        <w:rPr>
          <w:rFonts w:eastAsia="仿宋_GB2312"/>
          <w:kern w:val="0"/>
          <w:szCs w:val="32"/>
          <w:vertAlign w:val="superscript"/>
        </w:rPr>
        <w:t>－</w:t>
      </w:r>
      <w:r>
        <w:rPr>
          <w:rFonts w:eastAsia="仿宋_GB2312"/>
          <w:kern w:val="0"/>
          <w:szCs w:val="32"/>
          <w:vertAlign w:val="superscript"/>
        </w:rPr>
        <w:t>6</w:t>
      </w:r>
      <w:r>
        <w:rPr>
          <w:rFonts w:eastAsia="仿宋_GB2312"/>
          <w:kern w:val="0"/>
          <w:szCs w:val="32"/>
        </w:rPr>
        <w:t>。灭菌过程的选择应至少考虑以下因素：产品与灭菌过程的适应性；包装材料与灭菌过程的适应性、灭菌对产品安全有效性的影响。</w:t>
      </w:r>
    </w:p>
    <w:p w:rsidR="00001667" w:rsidRDefault="00833A54">
      <w:pPr>
        <w:spacing w:line="520" w:lineRule="exact"/>
        <w:ind w:firstLineChars="200" w:firstLine="640"/>
        <w:rPr>
          <w:rFonts w:eastAsia="仿宋_GB2312"/>
          <w:bCs/>
          <w:szCs w:val="32"/>
        </w:rPr>
      </w:pPr>
      <w:r>
        <w:rPr>
          <w:rFonts w:eastAsia="仿宋_GB2312"/>
          <w:bCs/>
          <w:szCs w:val="32"/>
        </w:rPr>
        <w:t>残留毒性：若灭菌使用的方法容易出现残留，如环氧乙烷灭菌，应当明确残留物信息及采取的处理方法，并提供研究资料。</w:t>
      </w:r>
    </w:p>
    <w:p w:rsidR="00001667" w:rsidRDefault="00833A54">
      <w:pPr>
        <w:spacing w:line="520" w:lineRule="exact"/>
        <w:ind w:firstLineChars="200" w:firstLine="640"/>
        <w:rPr>
          <w:rFonts w:eastAsia="仿宋_GB2312"/>
          <w:szCs w:val="32"/>
        </w:rPr>
      </w:pPr>
      <w:r>
        <w:rPr>
          <w:rFonts w:eastAsia="仿宋_GB2312"/>
          <w:szCs w:val="32"/>
        </w:rPr>
        <w:t>4.</w:t>
      </w:r>
      <w:r>
        <w:rPr>
          <w:rFonts w:eastAsia="仿宋_GB2312" w:hint="eastAsia"/>
          <w:szCs w:val="32"/>
        </w:rPr>
        <w:t>5</w:t>
      </w:r>
      <w:r>
        <w:rPr>
          <w:rFonts w:ascii="仿宋_GB2312" w:eastAsia="仿宋_GB2312" w:cs="仿宋_GB2312"/>
          <w:szCs w:val="32"/>
        </w:rPr>
        <w:t>产品稳定性研究</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w:t>
      </w:r>
      <w:r>
        <w:rPr>
          <w:rFonts w:eastAsia="仿宋_GB2312"/>
          <w:szCs w:val="32"/>
        </w:rPr>
        <w:t>1</w:t>
      </w:r>
      <w:r>
        <w:rPr>
          <w:rFonts w:ascii="仿宋_GB2312" w:eastAsia="仿宋_GB2312" w:cs="仿宋_GB2312"/>
          <w:szCs w:val="32"/>
        </w:rPr>
        <w:t>）货架有效期</w:t>
      </w:r>
    </w:p>
    <w:p w:rsidR="00001667" w:rsidRDefault="00833A54">
      <w:pPr>
        <w:spacing w:line="520" w:lineRule="exact"/>
        <w:ind w:firstLineChars="200" w:firstLine="640"/>
        <w:rPr>
          <w:rFonts w:eastAsia="仿宋_GB2312"/>
          <w:color w:val="000000"/>
          <w:kern w:val="0"/>
          <w:szCs w:val="32"/>
        </w:rPr>
      </w:pPr>
      <w:r>
        <w:rPr>
          <w:rFonts w:eastAsia="仿宋_GB2312"/>
          <w:color w:val="000000"/>
          <w:kern w:val="0"/>
          <w:szCs w:val="32"/>
        </w:rPr>
        <w:t>应当提供产品货架有效期和包装研究资料，证明在货架有效期内，在生产企业规定的运输贮存条件下，产品可保持性能满足使用要求，并保持无菌状态。</w:t>
      </w:r>
    </w:p>
    <w:p w:rsidR="00001667" w:rsidRDefault="00833A54">
      <w:pPr>
        <w:spacing w:line="520" w:lineRule="exact"/>
        <w:ind w:firstLineChars="200" w:firstLine="640"/>
        <w:rPr>
          <w:rFonts w:eastAsia="仿宋_GB2312"/>
          <w:color w:val="000000"/>
          <w:kern w:val="0"/>
          <w:szCs w:val="32"/>
        </w:rPr>
      </w:pPr>
      <w:r>
        <w:rPr>
          <w:rFonts w:eastAsia="仿宋_GB2312"/>
          <w:color w:val="000000"/>
          <w:kern w:val="0"/>
          <w:szCs w:val="32"/>
        </w:rPr>
        <w:t>产品货架有效期的验证可选择加速稳定性试验或实时稳定性试验，具体需根据产品特性选择验证方式。无论加速稳定性试验还是实时稳定性试验，注册申请人均需在试验方案中设定测试项目、测试方法及判定标准。货架有效期验证项目通常包括产品技术要求中与有效期密切相关的条款，加速老化研究的具体要求可参考</w:t>
      </w:r>
      <w:r>
        <w:rPr>
          <w:rFonts w:eastAsia="仿宋_GB2312"/>
          <w:color w:val="000000"/>
          <w:kern w:val="0"/>
          <w:szCs w:val="32"/>
        </w:rPr>
        <w:t>YY/T 0681.1</w:t>
      </w:r>
      <w:r>
        <w:rPr>
          <w:rFonts w:eastAsia="仿宋_GB2312"/>
          <w:color w:val="000000"/>
          <w:kern w:val="0"/>
          <w:szCs w:val="32"/>
        </w:rPr>
        <w:t>《无菌医疗器械包装试验方法第</w:t>
      </w:r>
      <w:r>
        <w:rPr>
          <w:rFonts w:eastAsia="仿宋_GB2312"/>
          <w:color w:val="000000"/>
          <w:kern w:val="0"/>
          <w:szCs w:val="32"/>
        </w:rPr>
        <w:t>1</w:t>
      </w:r>
      <w:r>
        <w:rPr>
          <w:rFonts w:eastAsia="仿宋_GB2312"/>
          <w:color w:val="000000"/>
          <w:kern w:val="0"/>
          <w:szCs w:val="32"/>
        </w:rPr>
        <w:t>部分：加速老化试验指南》等标准。</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包装研究资料应包括封口试验以及包装材料对灭菌的适应性研究。可依据</w:t>
      </w:r>
      <w:r>
        <w:rPr>
          <w:rFonts w:eastAsia="仿宋_GB2312"/>
          <w:szCs w:val="32"/>
        </w:rPr>
        <w:t>GB/T 19633</w:t>
      </w:r>
      <w:r>
        <w:rPr>
          <w:rFonts w:ascii="仿宋_GB2312" w:eastAsia="仿宋_GB2312" w:cs="仿宋_GB2312"/>
          <w:szCs w:val="32"/>
        </w:rPr>
        <w:t>、</w:t>
      </w:r>
      <w:r>
        <w:rPr>
          <w:rFonts w:eastAsia="仿宋_GB2312"/>
          <w:szCs w:val="32"/>
        </w:rPr>
        <w:t>GB/T 4857</w:t>
      </w:r>
      <w:r>
        <w:rPr>
          <w:rFonts w:ascii="仿宋_GB2312" w:eastAsia="仿宋_GB2312" w:cs="仿宋_GB2312"/>
          <w:szCs w:val="32"/>
        </w:rPr>
        <w:t>系列标准对包装进行分析研究和评价。直接接触产品的包装材料的选择应至少考虑以下因素：包装材料的物理化学特性；包装材料与产品的适应性；包装材料与成型和密封过程的适应性；包装材料与灭菌过程的适应性；包装材料所能提供的物理、化学和微生物屏障保护；包装材料与使用者使用时的要求无菌开启的适应性；包装材料与标签系统的适应性。</w:t>
      </w:r>
    </w:p>
    <w:p w:rsidR="00001667" w:rsidRDefault="00833A54">
      <w:pPr>
        <w:spacing w:line="520" w:lineRule="exact"/>
        <w:ind w:firstLineChars="200" w:firstLine="640"/>
        <w:rPr>
          <w:rFonts w:eastAsia="仿宋_GB2312"/>
          <w:color w:val="000000"/>
          <w:kern w:val="0"/>
          <w:szCs w:val="32"/>
        </w:rPr>
      </w:pPr>
      <w:r>
        <w:rPr>
          <w:rFonts w:eastAsia="仿宋_GB2312"/>
          <w:color w:val="000000"/>
          <w:kern w:val="0"/>
          <w:szCs w:val="32"/>
        </w:rPr>
        <w:t>提交包装验证报告，常见验证项目包括但不限于：包装完整性、</w:t>
      </w:r>
      <w:r>
        <w:rPr>
          <w:rFonts w:eastAsia="仿宋_GB2312" w:hint="eastAsia"/>
          <w:color w:val="000000"/>
          <w:kern w:val="0"/>
          <w:szCs w:val="32"/>
        </w:rPr>
        <w:t>封口</w:t>
      </w:r>
      <w:r>
        <w:rPr>
          <w:rFonts w:eastAsia="仿宋_GB2312"/>
          <w:color w:val="000000"/>
          <w:kern w:val="0"/>
          <w:szCs w:val="32"/>
        </w:rPr>
        <w:t>强度和微生物屏障性能等。</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w:t>
      </w:r>
      <w:r>
        <w:rPr>
          <w:rFonts w:eastAsia="仿宋_GB2312" w:hint="eastAsia"/>
          <w:szCs w:val="32"/>
        </w:rPr>
        <w:t>2</w:t>
      </w:r>
      <w:r>
        <w:rPr>
          <w:rFonts w:ascii="仿宋_GB2312" w:eastAsia="仿宋_GB2312" w:cs="仿宋_GB2312"/>
          <w:szCs w:val="32"/>
        </w:rPr>
        <w:t>）运输稳定性</w:t>
      </w:r>
    </w:p>
    <w:p w:rsidR="00001667" w:rsidRDefault="00833A54">
      <w:pPr>
        <w:spacing w:line="520" w:lineRule="exact"/>
        <w:ind w:firstLineChars="200" w:firstLine="640"/>
        <w:rPr>
          <w:rFonts w:eastAsia="仿宋_GB2312"/>
          <w:szCs w:val="32"/>
        </w:rPr>
      </w:pPr>
      <w:r>
        <w:rPr>
          <w:rFonts w:ascii="仿宋_GB2312" w:eastAsia="仿宋_GB2312" w:cs="仿宋_GB2312"/>
          <w:szCs w:val="32"/>
        </w:rPr>
        <w:t>在宣称的有效期内以及运输（例如：震动、振动、温度和湿度的波动）储存条件下，提供保持包装完整性的依据。企业需提交产品包装验证和运输验证资料。</w:t>
      </w:r>
    </w:p>
    <w:p w:rsidR="00001667" w:rsidRDefault="00833A54">
      <w:pPr>
        <w:spacing w:line="520" w:lineRule="exact"/>
        <w:ind w:firstLineChars="200" w:firstLine="640"/>
        <w:rPr>
          <w:rFonts w:ascii="仿宋_GB2312" w:eastAsia="仿宋_GB2312" w:cs="仿宋_GB2312"/>
          <w:szCs w:val="32"/>
        </w:rPr>
      </w:pPr>
      <w:r>
        <w:rPr>
          <w:rFonts w:ascii="仿宋_GB2312" w:eastAsia="仿宋_GB2312" w:cs="仿宋_GB2312"/>
          <w:szCs w:val="32"/>
        </w:rPr>
        <w:t>需提交运输稳定性验证资料，可依据</w:t>
      </w:r>
      <w:r>
        <w:rPr>
          <w:rFonts w:eastAsia="仿宋_GB2312"/>
          <w:szCs w:val="32"/>
        </w:rPr>
        <w:t>YY/T 0681.15</w:t>
      </w:r>
      <w:r>
        <w:rPr>
          <w:rFonts w:ascii="仿宋_GB2312" w:eastAsia="仿宋_GB2312" w:cs="仿宋_GB2312"/>
          <w:szCs w:val="32"/>
        </w:rPr>
        <w:t>、</w:t>
      </w:r>
      <w:r>
        <w:rPr>
          <w:rFonts w:eastAsia="仿宋_GB2312"/>
          <w:szCs w:val="32"/>
        </w:rPr>
        <w:t>GB/T 4857</w:t>
      </w:r>
      <w:r>
        <w:rPr>
          <w:rFonts w:ascii="仿宋_GB2312" w:eastAsia="仿宋_GB2312" w:cs="仿宋_GB2312"/>
          <w:szCs w:val="32"/>
        </w:rPr>
        <w:t>系列标准等进行验证并提交运输稳定性验证资料，证明在规定的运输条件下，运输过程中环境条件不会对医疗器械的特性和性能造成不利影响。</w:t>
      </w:r>
    </w:p>
    <w:p w:rsidR="00001667" w:rsidRDefault="00833A54">
      <w:pPr>
        <w:spacing w:line="520" w:lineRule="exact"/>
        <w:ind w:firstLineChars="200" w:firstLine="636"/>
        <w:rPr>
          <w:rFonts w:eastAsia="仿宋_GB2312"/>
          <w:spacing w:val="-1"/>
          <w:szCs w:val="32"/>
        </w:rPr>
      </w:pPr>
      <w:r>
        <w:rPr>
          <w:rFonts w:eastAsia="仿宋_GB2312" w:hint="eastAsia"/>
          <w:spacing w:val="-1"/>
          <w:szCs w:val="32"/>
        </w:rPr>
        <w:t>4.6</w:t>
      </w:r>
      <w:r>
        <w:rPr>
          <w:rFonts w:eastAsia="仿宋_GB2312" w:hint="eastAsia"/>
          <w:spacing w:val="-1"/>
          <w:szCs w:val="32"/>
        </w:rPr>
        <w:t>可用性</w:t>
      </w:r>
      <w:r>
        <w:rPr>
          <w:rFonts w:eastAsia="仿宋_GB2312" w:hint="eastAsia"/>
          <w:spacing w:val="-1"/>
          <w:szCs w:val="32"/>
        </w:rPr>
        <w:t>/</w:t>
      </w:r>
      <w:r>
        <w:rPr>
          <w:rFonts w:eastAsia="仿宋_GB2312" w:hint="eastAsia"/>
          <w:spacing w:val="-1"/>
          <w:szCs w:val="32"/>
        </w:rPr>
        <w:t>人为因素研究</w:t>
      </w:r>
    </w:p>
    <w:p w:rsidR="00001667" w:rsidRDefault="00833A54">
      <w:pPr>
        <w:spacing w:line="520" w:lineRule="exact"/>
        <w:ind w:firstLineChars="200" w:firstLine="636"/>
        <w:rPr>
          <w:rFonts w:eastAsia="仿宋_GB2312"/>
          <w:spacing w:val="-1"/>
          <w:szCs w:val="32"/>
        </w:rPr>
      </w:pPr>
      <w:r>
        <w:rPr>
          <w:rFonts w:eastAsia="仿宋_GB2312" w:hint="eastAsia"/>
          <w:spacing w:val="-1"/>
          <w:szCs w:val="32"/>
        </w:rPr>
        <w:t>止血绷带属于中、低使用风险医疗器械，注册申请人需根据《医疗器械可用性工程注册审查指导原则》提交《使用错误评估报告》。若前期已开展可用性工程工作，亦可提交《可用性工程研究报告》，用于替代《使用错误评估报告》。</w:t>
      </w:r>
    </w:p>
    <w:p w:rsidR="00001667" w:rsidRDefault="00833A54">
      <w:pPr>
        <w:spacing w:line="520" w:lineRule="exact"/>
        <w:ind w:firstLineChars="200" w:firstLine="636"/>
      </w:pPr>
      <w:r>
        <w:rPr>
          <w:rFonts w:eastAsia="仿宋_GB2312" w:hint="eastAsia"/>
          <w:spacing w:val="-1"/>
          <w:szCs w:val="32"/>
        </w:rPr>
        <w:t>4.7</w:t>
      </w:r>
      <w:r>
        <w:rPr>
          <w:rFonts w:eastAsia="仿宋_GB2312" w:hint="eastAsia"/>
          <w:spacing w:val="-1"/>
          <w:szCs w:val="32"/>
        </w:rPr>
        <w:t>证明产品安全性、有效性的其他研究资料。</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若产品宣称具有特殊功能，应提交相关研究资料。</w:t>
      </w:r>
    </w:p>
    <w:p w:rsidR="00001667" w:rsidRDefault="00833A54">
      <w:pPr>
        <w:tabs>
          <w:tab w:val="left" w:pos="540"/>
        </w:tabs>
        <w:spacing w:line="520" w:lineRule="exact"/>
        <w:ind w:firstLineChars="200" w:firstLine="640"/>
        <w:rPr>
          <w:rFonts w:eastAsia="仿宋_GB2312" w:cs="仿宋_GB2312"/>
          <w:szCs w:val="32"/>
          <w:highlight w:val="yellow"/>
        </w:rPr>
      </w:pPr>
      <w:r>
        <w:rPr>
          <w:rFonts w:eastAsia="仿宋_GB2312" w:cs="仿宋_GB2312" w:hint="eastAsia"/>
          <w:szCs w:val="32"/>
        </w:rPr>
        <w:t>止血绷带产品列入《关于发布免于进行临床评价医疗器械目录的通告》（</w:t>
      </w:r>
      <w:r>
        <w:rPr>
          <w:rFonts w:eastAsia="仿宋_GB2312" w:cs="仿宋_GB2312" w:hint="eastAsia"/>
          <w:szCs w:val="32"/>
        </w:rPr>
        <w:t>2025</w:t>
      </w:r>
      <w:r>
        <w:rPr>
          <w:rFonts w:eastAsia="仿宋_GB2312" w:cs="仿宋_GB2312" w:hint="eastAsia"/>
          <w:szCs w:val="32"/>
        </w:rPr>
        <w:t>年第</w:t>
      </w:r>
      <w:r>
        <w:rPr>
          <w:rFonts w:eastAsia="仿宋_GB2312" w:cs="仿宋_GB2312" w:hint="eastAsia"/>
          <w:szCs w:val="32"/>
        </w:rPr>
        <w:t>19</w:t>
      </w:r>
      <w:r>
        <w:rPr>
          <w:rFonts w:eastAsia="仿宋_GB2312" w:cs="仿宋_GB2312" w:hint="eastAsia"/>
          <w:szCs w:val="32"/>
        </w:rPr>
        <w:t>号）（以下简称《目录》），注册申请人需提交申报产品相关信息与《目录》所述内容的对比资料和申报产品与已获准境内注册的《目录》中的医疗器械的对比说明。注册申请人应充分考虑豁免情况不包括新材料、新作用机理、新功能。具体需提交资料的要求可参照《列入免于进行临床评价医疗器械目录产品对比说明技术指导原则》。</w:t>
      </w:r>
    </w:p>
    <w:p w:rsidR="00001667" w:rsidRDefault="00833A54">
      <w:pPr>
        <w:spacing w:line="520" w:lineRule="exact"/>
        <w:ind w:firstLineChars="200" w:firstLine="640"/>
        <w:rPr>
          <w:rFonts w:eastAsia="楷体_GB2312"/>
          <w:color w:val="000000"/>
          <w:szCs w:val="32"/>
        </w:rPr>
      </w:pPr>
      <w:r>
        <w:rPr>
          <w:rFonts w:eastAsia="楷体_GB2312" w:hint="eastAsia"/>
          <w:color w:val="000000"/>
          <w:szCs w:val="32"/>
        </w:rPr>
        <w:t>（四）临床评价资料</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若产品不在《免于临床评价医疗器械目录》的产品描述范围之内，或不能证明与已获准境内注册的产品具有基本等同性，应按照《医疗器械临床评价技术指导原则》进行临床评价。</w:t>
      </w:r>
    </w:p>
    <w:p w:rsidR="00001667" w:rsidRDefault="00833A54">
      <w:pPr>
        <w:spacing w:line="520" w:lineRule="exact"/>
        <w:ind w:firstLineChars="200" w:firstLine="640"/>
        <w:rPr>
          <w:rFonts w:eastAsia="楷体_GB2312"/>
          <w:color w:val="000000"/>
          <w:szCs w:val="32"/>
        </w:rPr>
      </w:pPr>
      <w:r>
        <w:rPr>
          <w:rFonts w:eastAsia="楷体_GB2312" w:hint="eastAsia"/>
          <w:color w:val="000000"/>
          <w:szCs w:val="32"/>
        </w:rPr>
        <w:t>（五）产品说明书和标签样稿</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产品说明书、标签和包装标识应符合《医疗器械说明书和标签管理规定》，建议参照</w:t>
      </w:r>
      <w:r>
        <w:rPr>
          <w:rFonts w:eastAsia="仿宋_GB2312" w:cs="仿宋_GB2312" w:hint="eastAsia"/>
          <w:szCs w:val="32"/>
        </w:rPr>
        <w:t>YY/T 0466.1</w:t>
      </w:r>
      <w:r>
        <w:rPr>
          <w:rFonts w:eastAsia="仿宋_GB2312" w:cs="仿宋_GB2312" w:hint="eastAsia"/>
          <w:szCs w:val="32"/>
        </w:rPr>
        <w:t>《医疗器械用于医疗器械标签、标记和提供信息的符号第</w:t>
      </w:r>
      <w:r>
        <w:rPr>
          <w:rFonts w:eastAsia="仿宋_GB2312" w:cs="仿宋_GB2312" w:hint="eastAsia"/>
          <w:szCs w:val="32"/>
        </w:rPr>
        <w:t>1</w:t>
      </w:r>
      <w:r>
        <w:rPr>
          <w:rFonts w:eastAsia="仿宋_GB2312" w:cs="仿宋_GB2312" w:hint="eastAsia"/>
          <w:szCs w:val="32"/>
        </w:rPr>
        <w:t>部分：通用要求》等相关标准制定说明书及标签内容，同时还应注意以下几点（不限于此）：</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w:t>
      </w:r>
      <w:r>
        <w:rPr>
          <w:rFonts w:eastAsia="仿宋_GB2312" w:cs="仿宋_GB2312" w:hint="eastAsia"/>
          <w:szCs w:val="32"/>
        </w:rPr>
        <w:t>说明书中关于产品性能特征的描述不应超出研究资料及产品技术要求，不得含有未经验证的夸大宣传的相关描述；储存和运输条件不应超出产品货架有效期和运输验证范围。</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w:t>
      </w:r>
      <w:r>
        <w:rPr>
          <w:rFonts w:eastAsia="仿宋_GB2312" w:cs="仿宋_GB2312" w:hint="eastAsia"/>
          <w:szCs w:val="32"/>
        </w:rPr>
        <w:t>应当注明灭菌方式、“无菌”字样或符号等。</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3.</w:t>
      </w:r>
      <w:r>
        <w:rPr>
          <w:rFonts w:eastAsia="仿宋_GB2312" w:cs="仿宋_GB2312" w:hint="eastAsia"/>
          <w:szCs w:val="32"/>
        </w:rPr>
        <w:t>注明产品主要原材料，应有对材料过敏者禁止使用的提示。</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4.</w:t>
      </w:r>
      <w:r>
        <w:rPr>
          <w:rFonts w:eastAsia="仿宋_GB2312" w:cs="仿宋_GB2312" w:hint="eastAsia"/>
          <w:szCs w:val="32"/>
        </w:rPr>
        <w:t>使用前检查初包装是否完好，如有破损，禁止使用。</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5.</w:t>
      </w:r>
      <w:r>
        <w:rPr>
          <w:rFonts w:eastAsia="仿宋_GB2312" w:cs="仿宋_GB2312" w:hint="eastAsia"/>
          <w:szCs w:val="32"/>
        </w:rPr>
        <w:t>应标明产品的货架有效期，严禁使用超过货架有效期的产品；明确产品存储条件（如通风良好、避免阳光暴晒）。</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6.</w:t>
      </w:r>
      <w:r>
        <w:rPr>
          <w:rFonts w:eastAsia="仿宋_GB2312" w:cs="仿宋_GB2312" w:hint="eastAsia"/>
          <w:szCs w:val="32"/>
        </w:rPr>
        <w:t>按医疗垃圾处理的要求：使用后依据当地法规要求，按照医疗垃圾进行处理，不得随意丢弃。</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7.</w:t>
      </w:r>
      <w:r>
        <w:rPr>
          <w:rFonts w:eastAsia="仿宋_GB2312" w:cs="仿宋_GB2312" w:hint="eastAsia"/>
          <w:szCs w:val="32"/>
        </w:rPr>
        <w:t>明确针对产品特点的特殊注意事项、警示信息、可能的不良事件及处理措施等。</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8.</w:t>
      </w:r>
      <w:r>
        <w:rPr>
          <w:rFonts w:eastAsia="仿宋_GB2312" w:cs="仿宋_GB2312" w:hint="eastAsia"/>
          <w:szCs w:val="32"/>
        </w:rPr>
        <w:t>使用时请勿触摸内侧敷布</w:t>
      </w:r>
      <w:r>
        <w:rPr>
          <w:rFonts w:eastAsia="仿宋_GB2312" w:cs="仿宋_GB2312" w:hint="eastAsia"/>
          <w:szCs w:val="32"/>
        </w:rPr>
        <w:t>/</w:t>
      </w:r>
      <w:r>
        <w:rPr>
          <w:rFonts w:eastAsia="仿宋_GB2312" w:cs="仿宋_GB2312" w:hint="eastAsia"/>
          <w:szCs w:val="32"/>
        </w:rPr>
        <w:t>敷芯的提示。</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9.</w:t>
      </w:r>
      <w:r>
        <w:rPr>
          <w:rFonts w:eastAsia="仿宋_GB2312" w:cs="仿宋_GB2312" w:hint="eastAsia"/>
          <w:szCs w:val="32"/>
        </w:rPr>
        <w:t>当产品性状发生变化（吸潮、霉变、脆化）时禁止使用。</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10.</w:t>
      </w:r>
      <w:r>
        <w:rPr>
          <w:rFonts w:eastAsia="仿宋_GB2312" w:cs="仿宋_GB2312" w:hint="eastAsia"/>
          <w:szCs w:val="32"/>
        </w:rPr>
        <w:t>一次性使用，严禁重复使用。</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11.</w:t>
      </w:r>
      <w:r>
        <w:rPr>
          <w:rFonts w:eastAsia="仿宋_GB2312" w:cs="仿宋_GB2312" w:hint="eastAsia"/>
          <w:szCs w:val="32"/>
        </w:rPr>
        <w:t>其他应载明的内容。</w:t>
      </w:r>
    </w:p>
    <w:p w:rsidR="00001667" w:rsidRDefault="00833A54">
      <w:pPr>
        <w:spacing w:line="520" w:lineRule="exact"/>
        <w:ind w:firstLineChars="200" w:firstLine="640"/>
        <w:rPr>
          <w:rFonts w:eastAsia="楷体_GB2312"/>
          <w:color w:val="000000"/>
          <w:szCs w:val="32"/>
        </w:rPr>
      </w:pPr>
      <w:r>
        <w:rPr>
          <w:rFonts w:eastAsia="楷体_GB2312" w:hint="eastAsia"/>
          <w:color w:val="000000"/>
          <w:szCs w:val="32"/>
        </w:rPr>
        <w:t>（六）质量管理体系文件</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质量管理体系文件应符合国家药品监督管理局《关于公布医疗器械注册申报资料要求和批准证明文件格式的公告》中对质量管理体系文件的要求。</w:t>
      </w:r>
    </w:p>
    <w:p w:rsidR="00001667" w:rsidRDefault="00833A54">
      <w:pPr>
        <w:spacing w:line="520" w:lineRule="exact"/>
        <w:ind w:firstLineChars="200" w:firstLine="640"/>
        <w:rPr>
          <w:rFonts w:eastAsia="黑体"/>
          <w:color w:val="000000"/>
          <w:szCs w:val="32"/>
        </w:rPr>
      </w:pPr>
      <w:r>
        <w:rPr>
          <w:rFonts w:eastAsia="黑体" w:hint="eastAsia"/>
          <w:color w:val="000000"/>
          <w:szCs w:val="32"/>
        </w:rPr>
        <w:t>三、参考文献</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w:t>
      </w:r>
      <w:r>
        <w:rPr>
          <w:rFonts w:eastAsia="仿宋_GB2312" w:cs="仿宋_GB2312" w:hint="eastAsia"/>
          <w:szCs w:val="32"/>
        </w:rPr>
        <w:t>中华人民共和国国务院</w:t>
      </w:r>
      <w:r>
        <w:rPr>
          <w:rFonts w:eastAsia="仿宋_GB2312" w:cs="仿宋_GB2312" w:hint="eastAsia"/>
          <w:szCs w:val="32"/>
        </w:rPr>
        <w:t>.</w:t>
      </w:r>
      <w:r>
        <w:rPr>
          <w:rFonts w:eastAsia="仿宋_GB2312" w:cs="仿宋_GB2312" w:hint="eastAsia"/>
          <w:szCs w:val="32"/>
        </w:rPr>
        <w:t>医疗器械监督管理条例</w:t>
      </w:r>
      <w:r>
        <w:rPr>
          <w:rFonts w:eastAsia="仿宋_GB2312" w:cs="仿宋_GB2312" w:hint="eastAsia"/>
          <w:szCs w:val="32"/>
        </w:rPr>
        <w:t>:</w:t>
      </w:r>
      <w:r>
        <w:rPr>
          <w:rFonts w:eastAsia="仿宋_GB2312" w:cs="仿宋_GB2312" w:hint="eastAsia"/>
          <w:szCs w:val="32"/>
        </w:rPr>
        <w:t>中华人民共和国国务院令第</w:t>
      </w:r>
      <w:r>
        <w:rPr>
          <w:rFonts w:eastAsia="仿宋_GB2312" w:cs="仿宋_GB2312" w:hint="eastAsia"/>
          <w:szCs w:val="32"/>
        </w:rPr>
        <w:t>739</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w:t>
      </w:r>
      <w:r>
        <w:rPr>
          <w:rFonts w:eastAsia="仿宋_GB2312" w:cs="仿宋_GB2312" w:hint="eastAsia"/>
          <w:szCs w:val="32"/>
        </w:rPr>
        <w:t>国家市场监督管理总局</w:t>
      </w:r>
      <w:r>
        <w:rPr>
          <w:rFonts w:eastAsia="仿宋_GB2312" w:cs="仿宋_GB2312" w:hint="eastAsia"/>
          <w:szCs w:val="32"/>
        </w:rPr>
        <w:t>.</w:t>
      </w:r>
      <w:r>
        <w:rPr>
          <w:rFonts w:eastAsia="仿宋_GB2312" w:cs="仿宋_GB2312" w:hint="eastAsia"/>
          <w:szCs w:val="32"/>
        </w:rPr>
        <w:t>医疗器械注册与备案管理办法</w:t>
      </w:r>
      <w:r>
        <w:rPr>
          <w:rFonts w:eastAsia="仿宋_GB2312" w:cs="仿宋_GB2312" w:hint="eastAsia"/>
          <w:szCs w:val="32"/>
        </w:rPr>
        <w:t>:</w:t>
      </w:r>
      <w:r>
        <w:rPr>
          <w:rFonts w:eastAsia="仿宋_GB2312" w:cs="仿宋_GB2312" w:hint="eastAsia"/>
          <w:szCs w:val="32"/>
        </w:rPr>
        <w:t>国家市场监督管理总局令第</w:t>
      </w:r>
      <w:r>
        <w:rPr>
          <w:rFonts w:eastAsia="仿宋_GB2312" w:cs="仿宋_GB2312" w:hint="eastAsia"/>
          <w:szCs w:val="32"/>
        </w:rPr>
        <w:t>47</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[3]</w:t>
      </w:r>
      <w:r>
        <w:rPr>
          <w:rFonts w:eastAsia="仿宋_GB2312" w:cs="仿宋_GB2312" w:hint="eastAsia"/>
          <w:szCs w:val="32"/>
        </w:rPr>
        <w:t>国家药品监督管理局</w:t>
      </w:r>
      <w:r>
        <w:rPr>
          <w:rFonts w:eastAsia="仿宋_GB2312" w:cs="仿宋_GB2312" w:hint="eastAsia"/>
          <w:szCs w:val="32"/>
        </w:rPr>
        <w:t>.</w:t>
      </w:r>
      <w:r>
        <w:rPr>
          <w:rFonts w:eastAsia="仿宋_GB2312" w:cs="仿宋_GB2312" w:hint="eastAsia"/>
          <w:szCs w:val="32"/>
        </w:rPr>
        <w:t>医疗器械注册申报资料要求和批准证明文件格式</w:t>
      </w:r>
      <w:r>
        <w:rPr>
          <w:rFonts w:eastAsia="仿宋_GB2312" w:cs="仿宋_GB2312" w:hint="eastAsia"/>
          <w:szCs w:val="32"/>
        </w:rPr>
        <w:t>:</w:t>
      </w:r>
      <w:r>
        <w:rPr>
          <w:rFonts w:eastAsia="仿宋_GB2312" w:cs="仿宋_GB2312" w:hint="eastAsia"/>
          <w:szCs w:val="32"/>
        </w:rPr>
        <w:t>国家药监局公告</w:t>
      </w:r>
      <w:r>
        <w:rPr>
          <w:rFonts w:eastAsia="仿宋_GB2312" w:cs="仿宋_GB2312" w:hint="eastAsia"/>
          <w:szCs w:val="32"/>
        </w:rPr>
        <w:t>2021</w:t>
      </w:r>
      <w:r>
        <w:rPr>
          <w:rFonts w:eastAsia="仿宋_GB2312" w:cs="仿宋_GB2312" w:hint="eastAsia"/>
          <w:szCs w:val="32"/>
        </w:rPr>
        <w:t>年第</w:t>
      </w:r>
      <w:r>
        <w:rPr>
          <w:rFonts w:eastAsia="仿宋_GB2312" w:cs="仿宋_GB2312" w:hint="eastAsia"/>
          <w:szCs w:val="32"/>
        </w:rPr>
        <w:t>121</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[4]</w:t>
      </w:r>
      <w:r>
        <w:rPr>
          <w:rFonts w:eastAsia="仿宋_GB2312" w:cs="仿宋_GB2312" w:hint="eastAsia"/>
          <w:szCs w:val="32"/>
        </w:rPr>
        <w:t>国家食品药品监督管理局</w:t>
      </w:r>
      <w:r>
        <w:rPr>
          <w:rFonts w:eastAsia="仿宋_GB2312" w:cs="仿宋_GB2312" w:hint="eastAsia"/>
          <w:szCs w:val="32"/>
        </w:rPr>
        <w:t>.</w:t>
      </w:r>
      <w:r>
        <w:rPr>
          <w:rFonts w:eastAsia="仿宋_GB2312" w:cs="仿宋_GB2312" w:hint="eastAsia"/>
          <w:szCs w:val="32"/>
        </w:rPr>
        <w:t>医疗器械注册单元划分指导原则</w:t>
      </w:r>
      <w:r>
        <w:rPr>
          <w:rFonts w:eastAsia="仿宋_GB2312" w:cs="仿宋_GB2312" w:hint="eastAsia"/>
          <w:szCs w:val="32"/>
        </w:rPr>
        <w:t>:</w:t>
      </w:r>
      <w:r>
        <w:rPr>
          <w:rFonts w:eastAsia="仿宋_GB2312" w:cs="仿宋_GB2312" w:hint="eastAsia"/>
          <w:szCs w:val="32"/>
        </w:rPr>
        <w:t>总局通告</w:t>
      </w:r>
      <w:r>
        <w:rPr>
          <w:rFonts w:eastAsia="仿宋_GB2312" w:cs="仿宋_GB2312" w:hint="eastAsia"/>
          <w:szCs w:val="32"/>
        </w:rPr>
        <w:t>2017</w:t>
      </w:r>
      <w:r>
        <w:rPr>
          <w:rFonts w:eastAsia="仿宋_GB2312" w:cs="仿宋_GB2312" w:hint="eastAsia"/>
          <w:szCs w:val="32"/>
        </w:rPr>
        <w:t>年第</w:t>
      </w:r>
      <w:r>
        <w:rPr>
          <w:rFonts w:eastAsia="仿宋_GB2312" w:cs="仿宋_GB2312" w:hint="eastAsia"/>
          <w:szCs w:val="32"/>
        </w:rPr>
        <w:t>187</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[5]</w:t>
      </w:r>
      <w:r>
        <w:rPr>
          <w:rFonts w:eastAsia="仿宋_GB2312" w:cs="仿宋_GB2312" w:hint="eastAsia"/>
          <w:szCs w:val="32"/>
        </w:rPr>
        <w:t>国家食品药品监督管理局</w:t>
      </w:r>
      <w:r>
        <w:rPr>
          <w:rFonts w:eastAsia="仿宋_GB2312" w:cs="仿宋_GB2312" w:hint="eastAsia"/>
          <w:szCs w:val="32"/>
        </w:rPr>
        <w:t>.</w:t>
      </w:r>
      <w:r>
        <w:rPr>
          <w:rFonts w:eastAsia="仿宋_GB2312" w:cs="仿宋_GB2312" w:hint="eastAsia"/>
          <w:szCs w:val="32"/>
        </w:rPr>
        <w:t>医疗器械分类目录</w:t>
      </w:r>
      <w:r>
        <w:rPr>
          <w:rFonts w:eastAsia="仿宋_GB2312" w:cs="仿宋_GB2312" w:hint="eastAsia"/>
          <w:szCs w:val="32"/>
        </w:rPr>
        <w:t>:</w:t>
      </w:r>
      <w:r>
        <w:rPr>
          <w:rFonts w:eastAsia="仿宋_GB2312" w:cs="仿宋_GB2312" w:hint="eastAsia"/>
          <w:szCs w:val="32"/>
        </w:rPr>
        <w:t>国家食品药品监督管理总局公告</w:t>
      </w:r>
      <w:r>
        <w:rPr>
          <w:rFonts w:eastAsia="仿宋_GB2312" w:cs="仿宋_GB2312" w:hint="eastAsia"/>
          <w:szCs w:val="32"/>
        </w:rPr>
        <w:t>2017</w:t>
      </w:r>
      <w:r>
        <w:rPr>
          <w:rFonts w:eastAsia="仿宋_GB2312" w:cs="仿宋_GB2312" w:hint="eastAsia"/>
          <w:szCs w:val="32"/>
        </w:rPr>
        <w:t>年第</w:t>
      </w:r>
      <w:r>
        <w:rPr>
          <w:rFonts w:eastAsia="仿宋_GB2312" w:cs="仿宋_GB2312" w:hint="eastAsia"/>
          <w:szCs w:val="32"/>
        </w:rPr>
        <w:t>104</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[6]</w:t>
      </w:r>
      <w:r>
        <w:rPr>
          <w:rFonts w:eastAsia="仿宋_GB2312" w:cs="仿宋_GB2312" w:hint="eastAsia"/>
          <w:szCs w:val="32"/>
        </w:rPr>
        <w:t>国家药品监督管理局</w:t>
      </w:r>
      <w:r>
        <w:rPr>
          <w:rFonts w:eastAsia="仿宋_GB2312" w:cs="仿宋_GB2312" w:hint="eastAsia"/>
          <w:szCs w:val="32"/>
        </w:rPr>
        <w:t>.</w:t>
      </w:r>
      <w:r>
        <w:rPr>
          <w:rFonts w:eastAsia="仿宋_GB2312" w:cs="仿宋_GB2312" w:hint="eastAsia"/>
          <w:szCs w:val="32"/>
        </w:rPr>
        <w:t>医疗器械安全和性能基本原则清单</w:t>
      </w:r>
      <w:r>
        <w:rPr>
          <w:rFonts w:eastAsia="仿宋_GB2312" w:cs="仿宋_GB2312" w:hint="eastAsia"/>
          <w:szCs w:val="32"/>
        </w:rPr>
        <w:t>:</w:t>
      </w:r>
      <w:r>
        <w:rPr>
          <w:rFonts w:eastAsia="仿宋_GB2312" w:cs="仿宋_GB2312" w:hint="eastAsia"/>
          <w:szCs w:val="32"/>
        </w:rPr>
        <w:t>国家药监局公告</w:t>
      </w:r>
      <w:r>
        <w:rPr>
          <w:rFonts w:eastAsia="仿宋_GB2312" w:cs="仿宋_GB2312" w:hint="eastAsia"/>
          <w:szCs w:val="32"/>
        </w:rPr>
        <w:t>2021</w:t>
      </w:r>
      <w:r>
        <w:rPr>
          <w:rFonts w:eastAsia="仿宋_GB2312" w:cs="仿宋_GB2312" w:hint="eastAsia"/>
          <w:szCs w:val="32"/>
        </w:rPr>
        <w:t>年第</w:t>
      </w:r>
      <w:r>
        <w:rPr>
          <w:rFonts w:eastAsia="仿宋_GB2312" w:cs="仿宋_GB2312" w:hint="eastAsia"/>
          <w:szCs w:val="32"/>
        </w:rPr>
        <w:t>121</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[7]</w:t>
      </w:r>
      <w:r>
        <w:rPr>
          <w:rFonts w:eastAsia="仿宋_GB2312" w:cs="仿宋_GB2312" w:hint="eastAsia"/>
          <w:szCs w:val="32"/>
        </w:rPr>
        <w:t>国家药品监督管理局</w:t>
      </w:r>
      <w:r>
        <w:rPr>
          <w:rFonts w:eastAsia="仿宋_GB2312" w:cs="仿宋_GB2312" w:hint="eastAsia"/>
          <w:szCs w:val="32"/>
        </w:rPr>
        <w:t>.</w:t>
      </w:r>
      <w:r>
        <w:rPr>
          <w:rFonts w:eastAsia="仿宋_GB2312" w:cs="仿宋_GB2312" w:hint="eastAsia"/>
          <w:szCs w:val="32"/>
        </w:rPr>
        <w:t>医疗器械产品技术要求编写指导原则</w:t>
      </w:r>
      <w:r>
        <w:rPr>
          <w:rFonts w:eastAsia="仿宋_GB2312" w:cs="仿宋_GB2312" w:hint="eastAsia"/>
          <w:szCs w:val="32"/>
        </w:rPr>
        <w:t>:</w:t>
      </w:r>
      <w:r>
        <w:rPr>
          <w:rFonts w:eastAsia="仿宋_GB2312" w:cs="仿宋_GB2312" w:hint="eastAsia"/>
          <w:szCs w:val="32"/>
        </w:rPr>
        <w:t>国家药监局公告</w:t>
      </w:r>
      <w:r>
        <w:rPr>
          <w:rFonts w:eastAsia="仿宋_GB2312" w:cs="仿宋_GB2312" w:hint="eastAsia"/>
          <w:szCs w:val="32"/>
        </w:rPr>
        <w:t>2022</w:t>
      </w:r>
      <w:r>
        <w:rPr>
          <w:rFonts w:eastAsia="仿宋_GB2312" w:cs="仿宋_GB2312" w:hint="eastAsia"/>
          <w:szCs w:val="32"/>
        </w:rPr>
        <w:t>年第</w:t>
      </w:r>
      <w:r>
        <w:rPr>
          <w:rFonts w:eastAsia="仿宋_GB2312" w:cs="仿宋_GB2312" w:hint="eastAsia"/>
          <w:szCs w:val="32"/>
        </w:rPr>
        <w:t>8</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[8]</w:t>
      </w:r>
      <w:r>
        <w:rPr>
          <w:rFonts w:eastAsia="仿宋_GB2312" w:cs="仿宋_GB2312" w:hint="eastAsia"/>
          <w:szCs w:val="32"/>
        </w:rPr>
        <w:t>国家药品监督管理局</w:t>
      </w:r>
      <w:r>
        <w:rPr>
          <w:rFonts w:eastAsia="仿宋_GB2312" w:cs="仿宋_GB2312" w:hint="eastAsia"/>
          <w:szCs w:val="32"/>
        </w:rPr>
        <w:t>.</w:t>
      </w:r>
      <w:r>
        <w:rPr>
          <w:rFonts w:eastAsia="仿宋_GB2312" w:cs="仿宋_GB2312" w:hint="eastAsia"/>
          <w:szCs w:val="32"/>
        </w:rPr>
        <w:t>医疗器械注册自检管理规定</w:t>
      </w:r>
      <w:r>
        <w:rPr>
          <w:rFonts w:eastAsia="仿宋_GB2312" w:cs="仿宋_GB2312" w:hint="eastAsia"/>
          <w:szCs w:val="32"/>
        </w:rPr>
        <w:t>:</w:t>
      </w:r>
      <w:r>
        <w:rPr>
          <w:rFonts w:eastAsia="仿宋_GB2312" w:cs="仿宋_GB2312" w:hint="eastAsia"/>
          <w:szCs w:val="32"/>
        </w:rPr>
        <w:t>国家药监局公告</w:t>
      </w:r>
      <w:r>
        <w:rPr>
          <w:rFonts w:eastAsia="仿宋_GB2312" w:cs="仿宋_GB2312" w:hint="eastAsia"/>
          <w:szCs w:val="32"/>
        </w:rPr>
        <w:t>2021</w:t>
      </w:r>
      <w:r>
        <w:rPr>
          <w:rFonts w:eastAsia="仿宋_GB2312" w:cs="仿宋_GB2312" w:hint="eastAsia"/>
          <w:szCs w:val="32"/>
        </w:rPr>
        <w:t>年第</w:t>
      </w:r>
      <w:r>
        <w:rPr>
          <w:rFonts w:eastAsia="仿宋_GB2312" w:cs="仿宋_GB2312" w:hint="eastAsia"/>
          <w:szCs w:val="32"/>
        </w:rPr>
        <w:t>126</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[9]</w:t>
      </w:r>
      <w:r>
        <w:rPr>
          <w:rFonts w:eastAsia="仿宋_GB2312" w:cs="仿宋_GB2312" w:hint="eastAsia"/>
          <w:szCs w:val="32"/>
        </w:rPr>
        <w:t>国家食品药品监督管理局</w:t>
      </w:r>
      <w:r>
        <w:rPr>
          <w:rFonts w:eastAsia="仿宋_GB2312" w:cs="仿宋_GB2312" w:hint="eastAsia"/>
          <w:szCs w:val="32"/>
        </w:rPr>
        <w:t>.</w:t>
      </w:r>
      <w:r>
        <w:rPr>
          <w:rFonts w:eastAsia="仿宋_GB2312" w:cs="仿宋_GB2312" w:hint="eastAsia"/>
          <w:szCs w:val="32"/>
        </w:rPr>
        <w:t>医疗器械生物学评价和审查指南</w:t>
      </w:r>
      <w:r>
        <w:rPr>
          <w:rFonts w:eastAsia="仿宋_GB2312" w:cs="仿宋_GB2312" w:hint="eastAsia"/>
          <w:szCs w:val="32"/>
        </w:rPr>
        <w:t>:</w:t>
      </w:r>
      <w:r>
        <w:rPr>
          <w:rFonts w:eastAsia="仿宋_GB2312" w:cs="仿宋_GB2312" w:hint="eastAsia"/>
          <w:szCs w:val="32"/>
        </w:rPr>
        <w:t>国家食品药品监督管理局通知</w:t>
      </w:r>
      <w:r>
        <w:rPr>
          <w:rFonts w:eastAsia="仿宋_GB2312" w:cs="仿宋_GB2312" w:hint="eastAsia"/>
          <w:szCs w:val="32"/>
        </w:rPr>
        <w:t>2007</w:t>
      </w:r>
      <w:r>
        <w:rPr>
          <w:rFonts w:eastAsia="仿宋_GB2312" w:cs="仿宋_GB2312" w:hint="eastAsia"/>
          <w:szCs w:val="32"/>
        </w:rPr>
        <w:t>年第</w:t>
      </w:r>
      <w:r>
        <w:rPr>
          <w:rFonts w:eastAsia="仿宋_GB2312" w:cs="仿宋_GB2312" w:hint="eastAsia"/>
          <w:szCs w:val="32"/>
        </w:rPr>
        <w:t>345</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color w:val="000000" w:themeColor="text1"/>
          <w:szCs w:val="32"/>
        </w:rPr>
      </w:pPr>
      <w:r>
        <w:rPr>
          <w:rFonts w:eastAsia="仿宋_GB2312" w:cs="仿宋_GB2312" w:hint="eastAsia"/>
          <w:color w:val="000000" w:themeColor="text1"/>
          <w:szCs w:val="32"/>
        </w:rPr>
        <w:t>[10]</w:t>
      </w:r>
      <w:r>
        <w:rPr>
          <w:rFonts w:eastAsia="仿宋_GB2312" w:cs="仿宋_GB2312" w:hint="eastAsia"/>
          <w:color w:val="000000" w:themeColor="text1"/>
          <w:szCs w:val="32"/>
        </w:rPr>
        <w:t>国家药品监督管理局</w:t>
      </w:r>
      <w:r>
        <w:rPr>
          <w:rFonts w:eastAsia="仿宋_GB2312" w:cs="仿宋_GB2312" w:hint="eastAsia"/>
          <w:color w:val="000000" w:themeColor="text1"/>
          <w:szCs w:val="32"/>
        </w:rPr>
        <w:t>.</w:t>
      </w:r>
      <w:r>
        <w:rPr>
          <w:rFonts w:eastAsia="仿宋_GB2312" w:cs="仿宋_GB2312" w:hint="eastAsia"/>
          <w:color w:val="000000" w:themeColor="text1"/>
          <w:szCs w:val="32"/>
        </w:rPr>
        <w:t>列入免于临床评价医疗器械目录产品对比说明技术指导原则</w:t>
      </w:r>
      <w:r>
        <w:rPr>
          <w:rFonts w:eastAsia="仿宋_GB2312" w:cs="仿宋_GB2312" w:hint="eastAsia"/>
          <w:color w:val="000000" w:themeColor="text1"/>
          <w:szCs w:val="32"/>
        </w:rPr>
        <w:t>:</w:t>
      </w:r>
      <w:r>
        <w:rPr>
          <w:rFonts w:eastAsia="仿宋_GB2312" w:cs="仿宋_GB2312" w:hint="eastAsia"/>
          <w:color w:val="000000" w:themeColor="text1"/>
          <w:szCs w:val="32"/>
        </w:rPr>
        <w:t>国家药监局通告</w:t>
      </w:r>
      <w:r>
        <w:rPr>
          <w:rFonts w:eastAsia="仿宋_GB2312" w:cs="仿宋_GB2312" w:hint="eastAsia"/>
          <w:color w:val="000000" w:themeColor="text1"/>
          <w:szCs w:val="32"/>
        </w:rPr>
        <w:t>2021</w:t>
      </w:r>
      <w:r>
        <w:rPr>
          <w:rFonts w:eastAsia="仿宋_GB2312" w:cs="仿宋_GB2312" w:hint="eastAsia"/>
          <w:color w:val="000000" w:themeColor="text1"/>
          <w:szCs w:val="32"/>
        </w:rPr>
        <w:t>年第</w:t>
      </w:r>
      <w:r>
        <w:rPr>
          <w:rFonts w:eastAsia="仿宋_GB2312" w:cs="仿宋_GB2312" w:hint="eastAsia"/>
          <w:color w:val="000000" w:themeColor="text1"/>
          <w:szCs w:val="32"/>
        </w:rPr>
        <w:t>73</w:t>
      </w:r>
      <w:r>
        <w:rPr>
          <w:rFonts w:eastAsia="仿宋_GB2312" w:cs="仿宋_GB2312" w:hint="eastAsia"/>
          <w:color w:val="000000" w:themeColor="text1"/>
          <w:szCs w:val="32"/>
        </w:rPr>
        <w:t>号</w:t>
      </w:r>
      <w:r>
        <w:rPr>
          <w:rFonts w:eastAsia="仿宋_GB2312" w:cs="仿宋_GB2312" w:hint="eastAsia"/>
          <w:color w:val="000000" w:themeColor="text1"/>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[11]</w:t>
      </w:r>
      <w:r>
        <w:rPr>
          <w:rFonts w:eastAsia="仿宋_GB2312" w:cs="仿宋_GB2312" w:hint="eastAsia"/>
          <w:szCs w:val="32"/>
        </w:rPr>
        <w:t>国家药品监督管理局</w:t>
      </w:r>
      <w:r>
        <w:rPr>
          <w:rFonts w:eastAsia="仿宋_GB2312" w:cs="仿宋_GB2312" w:hint="eastAsia"/>
          <w:szCs w:val="32"/>
        </w:rPr>
        <w:t>.</w:t>
      </w:r>
      <w:r>
        <w:rPr>
          <w:rFonts w:eastAsia="仿宋_GB2312" w:cs="仿宋_GB2312" w:hint="eastAsia"/>
          <w:szCs w:val="32"/>
        </w:rPr>
        <w:t>关于发布免于进行临床评价医疗器械目录的通告</w:t>
      </w:r>
      <w:r>
        <w:rPr>
          <w:rFonts w:eastAsia="仿宋_GB2312" w:cs="仿宋_GB2312" w:hint="eastAsia"/>
          <w:szCs w:val="32"/>
        </w:rPr>
        <w:t>2025</w:t>
      </w:r>
      <w:r>
        <w:rPr>
          <w:rFonts w:eastAsia="仿宋_GB2312" w:cs="仿宋_GB2312" w:hint="eastAsia"/>
          <w:szCs w:val="32"/>
        </w:rPr>
        <w:t>年第</w:t>
      </w:r>
      <w:r>
        <w:rPr>
          <w:rFonts w:eastAsia="仿宋_GB2312" w:cs="仿宋_GB2312" w:hint="eastAsia"/>
          <w:szCs w:val="32"/>
        </w:rPr>
        <w:t>19</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[12]</w:t>
      </w:r>
      <w:r>
        <w:rPr>
          <w:rFonts w:eastAsia="仿宋_GB2312" w:cs="仿宋_GB2312" w:hint="eastAsia"/>
          <w:szCs w:val="32"/>
        </w:rPr>
        <w:t>国家药品监督管理局</w:t>
      </w:r>
      <w:r>
        <w:rPr>
          <w:rFonts w:eastAsia="仿宋_GB2312" w:cs="仿宋_GB2312" w:hint="eastAsia"/>
          <w:szCs w:val="32"/>
        </w:rPr>
        <w:t>.</w:t>
      </w:r>
      <w:r>
        <w:rPr>
          <w:rFonts w:eastAsia="仿宋_GB2312" w:cs="仿宋_GB2312" w:hint="eastAsia"/>
          <w:szCs w:val="32"/>
        </w:rPr>
        <w:t>医疗器械临床评价技术指导原则</w:t>
      </w:r>
      <w:r>
        <w:rPr>
          <w:rFonts w:eastAsia="仿宋_GB2312" w:cs="仿宋_GB2312" w:hint="eastAsia"/>
          <w:szCs w:val="32"/>
        </w:rPr>
        <w:t>:</w:t>
      </w:r>
      <w:r>
        <w:rPr>
          <w:rFonts w:eastAsia="仿宋_GB2312" w:cs="仿宋_GB2312" w:hint="eastAsia"/>
          <w:szCs w:val="32"/>
        </w:rPr>
        <w:t>国家药监局通告</w:t>
      </w:r>
      <w:r>
        <w:rPr>
          <w:rFonts w:eastAsia="仿宋_GB2312" w:cs="仿宋_GB2312" w:hint="eastAsia"/>
          <w:szCs w:val="32"/>
        </w:rPr>
        <w:t>2021</w:t>
      </w:r>
      <w:r>
        <w:rPr>
          <w:rFonts w:eastAsia="仿宋_GB2312" w:cs="仿宋_GB2312" w:hint="eastAsia"/>
          <w:szCs w:val="32"/>
        </w:rPr>
        <w:t>年第</w:t>
      </w:r>
      <w:r>
        <w:rPr>
          <w:rFonts w:eastAsia="仿宋_GB2312" w:cs="仿宋_GB2312" w:hint="eastAsia"/>
          <w:szCs w:val="32"/>
        </w:rPr>
        <w:t>73</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[13]</w:t>
      </w:r>
      <w:r>
        <w:rPr>
          <w:rFonts w:eastAsia="仿宋_GB2312" w:cs="仿宋_GB2312" w:hint="eastAsia"/>
          <w:szCs w:val="32"/>
        </w:rPr>
        <w:t>国家食品药品监督管理局</w:t>
      </w:r>
      <w:r>
        <w:rPr>
          <w:rFonts w:eastAsia="仿宋_GB2312" w:cs="仿宋_GB2312" w:hint="eastAsia"/>
          <w:szCs w:val="32"/>
        </w:rPr>
        <w:t>.</w:t>
      </w:r>
      <w:r>
        <w:rPr>
          <w:rFonts w:eastAsia="仿宋_GB2312" w:cs="仿宋_GB2312" w:hint="eastAsia"/>
          <w:szCs w:val="32"/>
        </w:rPr>
        <w:t>医疗器械说明书和标签管理规定</w:t>
      </w:r>
      <w:r>
        <w:rPr>
          <w:rFonts w:eastAsia="仿宋_GB2312" w:cs="仿宋_GB2312" w:hint="eastAsia"/>
          <w:szCs w:val="32"/>
        </w:rPr>
        <w:t>:</w:t>
      </w:r>
      <w:r>
        <w:rPr>
          <w:rFonts w:eastAsia="仿宋_GB2312" w:cs="仿宋_GB2312" w:hint="eastAsia"/>
          <w:szCs w:val="32"/>
        </w:rPr>
        <w:t>国家食品药品监督管理总局令第</w:t>
      </w:r>
      <w:r>
        <w:rPr>
          <w:rFonts w:eastAsia="仿宋_GB2312" w:cs="仿宋_GB2312" w:hint="eastAsia"/>
          <w:szCs w:val="32"/>
        </w:rPr>
        <w:t>6</w:t>
      </w:r>
      <w:r>
        <w:rPr>
          <w:rFonts w:eastAsia="仿宋_GB2312" w:cs="仿宋_GB2312" w:hint="eastAsia"/>
          <w:szCs w:val="32"/>
        </w:rPr>
        <w:t>号</w:t>
      </w:r>
      <w:r>
        <w:rPr>
          <w:rFonts w:eastAsia="仿宋_GB2312" w:cs="仿宋_GB2312" w:hint="eastAsia"/>
          <w:szCs w:val="32"/>
        </w:rPr>
        <w:t>[Z].</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[14]GB/T 16886,</w:t>
      </w:r>
      <w:r>
        <w:rPr>
          <w:rFonts w:eastAsia="仿宋_GB2312" w:cs="仿宋_GB2312" w:hint="eastAsia"/>
          <w:szCs w:val="32"/>
        </w:rPr>
        <w:t>医疗器械生物学评价系列标准</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[15]GB 18280.1-2015,</w:t>
      </w:r>
      <w:r>
        <w:rPr>
          <w:rFonts w:eastAsia="仿宋_GB2312" w:cs="仿宋_GB2312" w:hint="eastAsia"/>
          <w:szCs w:val="32"/>
        </w:rPr>
        <w:t>医疗保健产品灭菌辐射第</w:t>
      </w:r>
      <w:r>
        <w:rPr>
          <w:rFonts w:eastAsia="仿宋_GB2312" w:cs="仿宋_GB2312" w:hint="eastAsia"/>
          <w:szCs w:val="32"/>
        </w:rPr>
        <w:t>1</w:t>
      </w:r>
      <w:r>
        <w:rPr>
          <w:rFonts w:eastAsia="仿宋_GB2312" w:cs="仿宋_GB2312" w:hint="eastAsia"/>
          <w:szCs w:val="32"/>
        </w:rPr>
        <w:t>部分医疗器械灭菌过程的开发、确认和常规控制要求</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color w:val="FF0000"/>
          <w:szCs w:val="32"/>
          <w:highlight w:val="yellow"/>
        </w:rPr>
      </w:pPr>
      <w:r>
        <w:rPr>
          <w:rFonts w:eastAsia="仿宋_GB2312" w:cs="仿宋_GB2312" w:hint="eastAsia"/>
          <w:szCs w:val="32"/>
        </w:rPr>
        <w:t>[16]GB 18279.1-2015,</w:t>
      </w:r>
      <w:r>
        <w:rPr>
          <w:rFonts w:eastAsia="仿宋_GB2312" w:cs="仿宋_GB2312" w:hint="eastAsia"/>
          <w:szCs w:val="32"/>
        </w:rPr>
        <w:t>医疗保健产品灭菌环氧乙烷第</w:t>
      </w:r>
      <w:r>
        <w:rPr>
          <w:rFonts w:eastAsia="仿宋_GB2312" w:cs="仿宋_GB2312" w:hint="eastAsia"/>
          <w:szCs w:val="32"/>
        </w:rPr>
        <w:t>1</w:t>
      </w:r>
      <w:r>
        <w:rPr>
          <w:rFonts w:eastAsia="仿宋_GB2312" w:cs="仿宋_GB2312" w:hint="eastAsia"/>
          <w:szCs w:val="32"/>
        </w:rPr>
        <w:t>部分：医疗器械灭菌过程的开发、确认和常规控制的要求</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[17]YY/T 0681,</w:t>
      </w:r>
      <w:r>
        <w:rPr>
          <w:rFonts w:eastAsia="仿宋_GB2312" w:cs="仿宋_GB2312" w:hint="eastAsia"/>
          <w:szCs w:val="32"/>
        </w:rPr>
        <w:t>无菌医疗器械包装试验方法系列标准</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[18]GB 4857,</w:t>
      </w:r>
      <w:r>
        <w:rPr>
          <w:rFonts w:eastAsia="仿宋_GB2312" w:cs="仿宋_GB2312" w:hint="eastAsia"/>
          <w:szCs w:val="32"/>
        </w:rPr>
        <w:t>包装包装运输件系列标准</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[19]YY/T 0698,</w:t>
      </w:r>
      <w:r>
        <w:rPr>
          <w:rFonts w:eastAsia="仿宋_GB2312" w:cs="仿宋_GB2312" w:hint="eastAsia"/>
          <w:szCs w:val="32"/>
        </w:rPr>
        <w:t>最终灭菌医疗器械包装材料系列标准</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[20]GB/T 19633,</w:t>
      </w:r>
      <w:r>
        <w:rPr>
          <w:rFonts w:eastAsia="仿宋_GB2312" w:cs="仿宋_GB2312" w:hint="eastAsia"/>
          <w:szCs w:val="32"/>
        </w:rPr>
        <w:t>最终灭菌医疗器械包装系列标准</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[21]GB/T 42062-2022,</w:t>
      </w:r>
      <w:r>
        <w:rPr>
          <w:rFonts w:eastAsia="仿宋_GB2312" w:cs="仿宋_GB2312" w:hint="eastAsia"/>
          <w:szCs w:val="32"/>
        </w:rPr>
        <w:t>医疗器械风险管理对医疗器械的应用</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[22]YY/T 1437-2023,</w:t>
      </w:r>
      <w:r>
        <w:rPr>
          <w:rFonts w:eastAsia="仿宋_GB2312" w:cs="仿宋_GB2312" w:hint="eastAsia"/>
          <w:szCs w:val="32"/>
        </w:rPr>
        <w:t>医疗器械</w:t>
      </w:r>
      <w:r>
        <w:rPr>
          <w:rFonts w:eastAsia="仿宋_GB2312" w:cs="仿宋_GB2312" w:hint="eastAsia"/>
          <w:szCs w:val="32"/>
        </w:rPr>
        <w:t xml:space="preserve"> GB/T 42062</w:t>
      </w:r>
      <w:r>
        <w:rPr>
          <w:rFonts w:eastAsia="仿宋_GB2312" w:cs="仿宋_GB2312" w:hint="eastAsia"/>
          <w:szCs w:val="32"/>
        </w:rPr>
        <w:t>应用指南</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[23]YY/T 0466.1-2023,</w:t>
      </w:r>
      <w:r>
        <w:rPr>
          <w:rFonts w:eastAsia="仿宋_GB2312" w:cs="仿宋_GB2312" w:hint="eastAsia"/>
          <w:szCs w:val="32"/>
        </w:rPr>
        <w:t>医疗器械用于制造商提供信息的符号第</w:t>
      </w:r>
      <w:r>
        <w:rPr>
          <w:rFonts w:eastAsia="仿宋_GB2312" w:cs="仿宋_GB2312" w:hint="eastAsia"/>
          <w:szCs w:val="32"/>
        </w:rPr>
        <w:t>1</w:t>
      </w:r>
      <w:r>
        <w:rPr>
          <w:rFonts w:eastAsia="仿宋_GB2312" w:cs="仿宋_GB2312" w:hint="eastAsia"/>
          <w:szCs w:val="32"/>
        </w:rPr>
        <w:t>部分：通用要求</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[24]YY/T 1467-2016</w:t>
      </w:r>
      <w:r>
        <w:rPr>
          <w:rFonts w:eastAsia="仿宋_GB2312" w:cs="仿宋_GB2312" w:hint="eastAsia"/>
          <w:szCs w:val="32"/>
        </w:rPr>
        <w:t>，医用包扎敷料救护绷带</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[25]YY/T 0330-2015,</w:t>
      </w:r>
      <w:r>
        <w:rPr>
          <w:rFonts w:eastAsia="仿宋_GB2312" w:cs="仿宋_GB2312" w:hint="eastAsia"/>
          <w:szCs w:val="32"/>
        </w:rPr>
        <w:t>医用脱脂棉</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[26]YY/T 0471.1-2004</w:t>
      </w:r>
      <w:r>
        <w:rPr>
          <w:rFonts w:eastAsia="仿宋_GB2312" w:cs="仿宋_GB2312" w:hint="eastAsia"/>
          <w:szCs w:val="32"/>
        </w:rPr>
        <w:t>，接触性创面敷料试验方法第</w:t>
      </w:r>
      <w:r>
        <w:rPr>
          <w:rFonts w:eastAsia="仿宋_GB2312" w:cs="仿宋_GB2312" w:hint="eastAsia"/>
          <w:szCs w:val="32"/>
        </w:rPr>
        <w:t>1</w:t>
      </w:r>
      <w:r>
        <w:rPr>
          <w:rFonts w:eastAsia="仿宋_GB2312" w:cs="仿宋_GB2312" w:hint="eastAsia"/>
          <w:szCs w:val="32"/>
        </w:rPr>
        <w:t>部分：液体吸收性</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[27]YY/T 0471.2-2004</w:t>
      </w:r>
      <w:r>
        <w:rPr>
          <w:rFonts w:eastAsia="仿宋_GB2312" w:cs="仿宋_GB2312" w:hint="eastAsia"/>
          <w:szCs w:val="32"/>
        </w:rPr>
        <w:t>，接触性创面敷料试验方法第</w:t>
      </w:r>
      <w:r>
        <w:rPr>
          <w:rFonts w:eastAsia="仿宋_GB2312" w:cs="仿宋_GB2312" w:hint="eastAsia"/>
          <w:szCs w:val="32"/>
        </w:rPr>
        <w:t>2</w:t>
      </w:r>
      <w:r>
        <w:rPr>
          <w:rFonts w:eastAsia="仿宋_GB2312" w:cs="仿宋_GB2312" w:hint="eastAsia"/>
          <w:szCs w:val="32"/>
        </w:rPr>
        <w:t>部分：透气膜敷料水蒸气透过率</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[28]YY/T 0471.3-2004</w:t>
      </w:r>
      <w:r>
        <w:rPr>
          <w:rFonts w:eastAsia="仿宋_GB2312" w:cs="仿宋_GB2312" w:hint="eastAsia"/>
          <w:szCs w:val="32"/>
        </w:rPr>
        <w:t>，接触性创面敷料试验方法第</w:t>
      </w:r>
      <w:r>
        <w:rPr>
          <w:rFonts w:eastAsia="仿宋_GB2312" w:cs="仿宋_GB2312" w:hint="eastAsia"/>
          <w:szCs w:val="32"/>
        </w:rPr>
        <w:t>3</w:t>
      </w:r>
      <w:r>
        <w:rPr>
          <w:rFonts w:eastAsia="仿宋_GB2312" w:cs="仿宋_GB2312" w:hint="eastAsia"/>
          <w:szCs w:val="32"/>
        </w:rPr>
        <w:t>部分：阻水性</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[29]YY/T 0331-2024</w:t>
      </w:r>
      <w:r>
        <w:rPr>
          <w:rFonts w:eastAsia="仿宋_GB2312" w:cs="仿宋_GB2312" w:hint="eastAsia"/>
          <w:szCs w:val="32"/>
        </w:rPr>
        <w:t>，脱脂棉纱布、脱脂棉粘胶混纺纱布的性能要求和试验方法</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[30]YY/T 0507-2009,</w:t>
      </w:r>
      <w:r>
        <w:rPr>
          <w:rFonts w:eastAsia="仿宋_GB2312" w:cs="仿宋_GB2312" w:hint="eastAsia"/>
          <w:szCs w:val="32"/>
        </w:rPr>
        <w:t>医用弹性绷带基本性能参数表征及试验方法</w:t>
      </w:r>
      <w:r>
        <w:rPr>
          <w:rFonts w:eastAsia="仿宋_GB2312" w:cs="仿宋_GB2312" w:hint="eastAsia"/>
          <w:szCs w:val="32"/>
        </w:rPr>
        <w:t>[S].</w:t>
      </w:r>
    </w:p>
    <w:p w:rsidR="00001667" w:rsidRDefault="00833A54">
      <w:pPr>
        <w:tabs>
          <w:tab w:val="left" w:pos="540"/>
        </w:tabs>
        <w:spacing w:line="520" w:lineRule="exact"/>
        <w:ind w:firstLineChars="200" w:firstLine="640"/>
        <w:rPr>
          <w:rFonts w:eastAsia="仿宋_GB2312" w:cs="仿宋_GB2312"/>
          <w:szCs w:val="32"/>
        </w:rPr>
      </w:pPr>
      <w:r>
        <w:rPr>
          <w:rFonts w:eastAsia="仿宋_GB2312" w:cs="仿宋_GB2312" w:hint="eastAsia"/>
          <w:szCs w:val="32"/>
        </w:rPr>
        <w:t>[31]YY/T 0615.1-2007,</w:t>
      </w:r>
      <w:r>
        <w:rPr>
          <w:rFonts w:eastAsia="仿宋_GB2312" w:cs="仿宋_GB2312" w:hint="eastAsia"/>
          <w:szCs w:val="32"/>
        </w:rPr>
        <w:t>标示无菌医疗器械的要求第</w:t>
      </w:r>
      <w:r>
        <w:rPr>
          <w:rFonts w:eastAsia="仿宋_GB2312" w:cs="仿宋_GB2312" w:hint="eastAsia"/>
          <w:szCs w:val="32"/>
        </w:rPr>
        <w:t>1</w:t>
      </w:r>
      <w:r>
        <w:rPr>
          <w:rFonts w:eastAsia="仿宋_GB2312" w:cs="仿宋_GB2312" w:hint="eastAsia"/>
          <w:szCs w:val="32"/>
        </w:rPr>
        <w:t>部分：最终灭菌医疗器械的要求</w:t>
      </w:r>
      <w:r>
        <w:rPr>
          <w:rFonts w:eastAsia="仿宋_GB2312" w:cs="仿宋_GB2312" w:hint="eastAsia"/>
          <w:szCs w:val="32"/>
        </w:rPr>
        <w:t>[S].</w:t>
      </w:r>
    </w:p>
    <w:p w:rsidR="00001667" w:rsidRDefault="00833A54">
      <w:pPr>
        <w:tabs>
          <w:tab w:val="left" w:pos="540"/>
        </w:tabs>
        <w:spacing w:line="520" w:lineRule="exact"/>
        <w:ind w:firstLineChars="200" w:firstLine="640"/>
        <w:rPr>
          <w:rFonts w:ascii="仿宋_GB2312" w:eastAsia="仿宋_GB2312" w:cs="仿宋_GB2312"/>
          <w:szCs w:val="32"/>
        </w:rPr>
      </w:pPr>
      <w:r>
        <w:rPr>
          <w:rFonts w:eastAsia="仿宋_GB2312" w:cs="仿宋_GB2312" w:hint="eastAsia"/>
          <w:szCs w:val="32"/>
        </w:rPr>
        <w:t>[32]</w:t>
      </w:r>
      <w:r>
        <w:rPr>
          <w:rFonts w:eastAsia="仿宋_GB2312" w:cs="仿宋_GB2312" w:hint="eastAsia"/>
          <w:szCs w:val="32"/>
        </w:rPr>
        <w:t>中华人民共和国药典（</w:t>
      </w:r>
      <w:r>
        <w:rPr>
          <w:rFonts w:eastAsia="仿宋_GB2312" w:cs="仿宋_GB2312" w:hint="eastAsia"/>
          <w:szCs w:val="32"/>
        </w:rPr>
        <w:t>2025</w:t>
      </w:r>
      <w:r>
        <w:rPr>
          <w:rFonts w:eastAsia="仿宋_GB2312" w:cs="仿宋_GB2312" w:hint="eastAsia"/>
          <w:szCs w:val="32"/>
        </w:rPr>
        <w:t>版）</w:t>
      </w:r>
      <w:r>
        <w:rPr>
          <w:rFonts w:eastAsia="仿宋_GB2312" w:cs="仿宋_GB2312" w:hint="eastAsia"/>
          <w:szCs w:val="32"/>
        </w:rPr>
        <w:t>[S].</w:t>
      </w:r>
      <w:r>
        <w:rPr>
          <w:rFonts w:ascii="仿宋_GB2312" w:eastAsia="仿宋_GB2312" w:cs="仿宋_GB2312"/>
          <w:szCs w:val="32"/>
        </w:rPr>
        <w:br w:type="page"/>
      </w:r>
    </w:p>
    <w:p w:rsidR="00001667" w:rsidRDefault="00833A54">
      <w:pPr>
        <w:spacing w:line="520" w:lineRule="exact"/>
        <w:rPr>
          <w:rFonts w:ascii="仿宋_GB2312" w:eastAsia="仿宋_GB2312" w:cs="仿宋_GB2312"/>
          <w:szCs w:val="32"/>
          <w:lang w:bidi="ar"/>
        </w:rPr>
      </w:pPr>
      <w:r>
        <w:rPr>
          <w:rFonts w:ascii="仿宋_GB2312" w:eastAsia="仿宋_GB2312" w:cs="仿宋_GB2312" w:hint="eastAsia"/>
          <w:szCs w:val="32"/>
          <w:lang w:bidi="ar"/>
        </w:rPr>
        <w:t>附件</w:t>
      </w:r>
    </w:p>
    <w:p w:rsidR="00001667" w:rsidRDefault="00833A54">
      <w:pPr>
        <w:spacing w:line="520" w:lineRule="exact"/>
        <w:ind w:firstLineChars="200" w:firstLine="560"/>
        <w:jc w:val="center"/>
        <w:rPr>
          <w:rStyle w:val="15"/>
          <w:rFonts w:ascii="黑体" w:eastAsia="黑体" w:hAnsi="宋体" w:cs="黑体"/>
          <w:bCs/>
          <w:sz w:val="28"/>
          <w:szCs w:val="28"/>
        </w:rPr>
      </w:pPr>
      <w:r>
        <w:rPr>
          <w:rStyle w:val="15"/>
          <w:rFonts w:ascii="黑体" w:eastAsia="黑体" w:hAnsi="宋体" w:cs="黑体" w:hint="eastAsia"/>
          <w:bCs/>
          <w:sz w:val="28"/>
          <w:szCs w:val="28"/>
        </w:rPr>
        <w:t>表1 产品主要危险（源）</w:t>
      </w:r>
    </w:p>
    <w:p w:rsidR="00001667" w:rsidRDefault="00001667">
      <w:pPr>
        <w:pStyle w:val="ae"/>
      </w:pPr>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2152"/>
        <w:gridCol w:w="3785"/>
        <w:gridCol w:w="2009"/>
      </w:tblGrid>
      <w:tr w:rsidR="00001667">
        <w:trPr>
          <w:cantSplit/>
          <w:trHeight w:val="495"/>
          <w:jc w:val="center"/>
        </w:trPr>
        <w:tc>
          <w:tcPr>
            <w:tcW w:w="30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1667" w:rsidRDefault="00833A54">
            <w:pPr>
              <w:spacing w:line="520" w:lineRule="exact"/>
              <w:ind w:firstLineChars="200" w:firstLine="562"/>
              <w:jc w:val="center"/>
              <w:rPr>
                <w:rFonts w:ascii="仿宋" w:eastAsia="仿宋" w:hAnsi="仿宋"/>
                <w:b/>
                <w:color w:val="000000"/>
                <w:sz w:val="28"/>
                <w:szCs w:val="28"/>
              </w:rPr>
            </w:pPr>
            <w:r>
              <w:rPr>
                <w:rFonts w:ascii="仿宋_GB2312" w:eastAsia="仿宋_GB2312" w:hAnsi="宋体" w:cs="仿宋_GB2312"/>
                <w:b/>
                <w:sz w:val="28"/>
                <w:szCs w:val="28"/>
              </w:rPr>
              <w:t>危害的分类</w:t>
            </w:r>
          </w:p>
        </w:tc>
        <w:tc>
          <w:tcPr>
            <w:tcW w:w="3785" w:type="dxa"/>
            <w:tcBorders>
              <w:top w:val="single" w:sz="4" w:space="0" w:color="auto"/>
              <w:left w:val="single" w:sz="4" w:space="0" w:color="auto"/>
              <w:bottom w:val="single" w:sz="4" w:space="0" w:color="auto"/>
              <w:right w:val="single" w:sz="4" w:space="0" w:color="auto"/>
            </w:tcBorders>
            <w:shd w:val="clear" w:color="auto" w:fill="auto"/>
            <w:vAlign w:val="center"/>
          </w:tcPr>
          <w:p w:rsidR="00001667" w:rsidRDefault="00833A54">
            <w:pPr>
              <w:spacing w:line="520" w:lineRule="exact"/>
              <w:ind w:firstLineChars="200" w:firstLine="562"/>
              <w:rPr>
                <w:rFonts w:ascii="仿宋" w:eastAsia="仿宋" w:hAnsi="仿宋"/>
                <w:b/>
                <w:color w:val="000000"/>
                <w:sz w:val="28"/>
                <w:szCs w:val="28"/>
              </w:rPr>
            </w:pPr>
            <w:r>
              <w:rPr>
                <w:rFonts w:ascii="仿宋_GB2312" w:eastAsia="仿宋_GB2312" w:hAnsi="宋体" w:cs="仿宋_GB2312"/>
                <w:b/>
                <w:sz w:val="28"/>
                <w:szCs w:val="28"/>
              </w:rPr>
              <w:t>危害的形成因素</w:t>
            </w:r>
          </w:p>
        </w:tc>
        <w:tc>
          <w:tcPr>
            <w:tcW w:w="2009" w:type="dxa"/>
            <w:tcBorders>
              <w:top w:val="single" w:sz="4" w:space="0" w:color="auto"/>
              <w:left w:val="single" w:sz="4" w:space="0" w:color="auto"/>
              <w:bottom w:val="single" w:sz="4" w:space="0" w:color="auto"/>
              <w:right w:val="single" w:sz="4" w:space="0" w:color="auto"/>
            </w:tcBorders>
            <w:shd w:val="clear" w:color="auto" w:fill="auto"/>
            <w:vAlign w:val="center"/>
          </w:tcPr>
          <w:p w:rsidR="00001667" w:rsidRDefault="00833A54">
            <w:pPr>
              <w:spacing w:line="520" w:lineRule="exact"/>
              <w:jc w:val="center"/>
              <w:rPr>
                <w:rFonts w:ascii="仿宋" w:eastAsia="仿宋" w:hAnsi="仿宋"/>
                <w:b/>
                <w:color w:val="000000"/>
                <w:sz w:val="28"/>
                <w:szCs w:val="28"/>
              </w:rPr>
            </w:pPr>
            <w:r>
              <w:rPr>
                <w:rFonts w:ascii="仿宋_GB2312" w:eastAsia="仿宋_GB2312" w:hAnsi="宋体" w:cs="仿宋_GB2312"/>
                <w:b/>
                <w:sz w:val="28"/>
                <w:szCs w:val="28"/>
              </w:rPr>
              <w:t>可能的后果</w:t>
            </w:r>
          </w:p>
        </w:tc>
      </w:tr>
      <w:tr w:rsidR="00001667">
        <w:trPr>
          <w:cantSplit/>
          <w:trHeight w:val="1247"/>
          <w:jc w:val="center"/>
        </w:trPr>
        <w:tc>
          <w:tcPr>
            <w:tcW w:w="903" w:type="dxa"/>
            <w:vMerge w:val="restart"/>
            <w:tcBorders>
              <w:top w:val="nil"/>
              <w:left w:val="single" w:sz="4" w:space="0" w:color="auto"/>
              <w:bottom w:val="single" w:sz="4" w:space="0" w:color="auto"/>
              <w:right w:val="single" w:sz="4" w:space="0" w:color="auto"/>
            </w:tcBorders>
            <w:shd w:val="clear" w:color="auto" w:fill="auto"/>
            <w:vAlign w:val="center"/>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生物和化学危险</w:t>
            </w: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生物污染</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生产环境控制不好。灭菌操作不严格。包装破损。使用时操作不正规。</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产品带菌，引起患者使用时感染。</w:t>
            </w:r>
          </w:p>
        </w:tc>
      </w:tr>
      <w:tr w:rsidR="00001667">
        <w:trPr>
          <w:cantSplit/>
          <w:trHeight w:val="1531"/>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加工工艺</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加工工艺控制不严格，后处理工艺控制不严格，加工过程中引入了外来有害物质而未被有效去除。</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引入有害物质，引起患者感染或造成毒性危害。</w:t>
            </w:r>
          </w:p>
        </w:tc>
      </w:tr>
      <w:tr w:rsidR="00001667">
        <w:trPr>
          <w:cantSplit/>
          <w:trHeight w:val="850"/>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再感染和/或交叉感染</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使用不当、标识不清。</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引起交叉感染。</w:t>
            </w:r>
          </w:p>
        </w:tc>
      </w:tr>
      <w:tr w:rsidR="00001667">
        <w:trPr>
          <w:cantSplit/>
          <w:jc w:val="center"/>
        </w:trPr>
        <w:tc>
          <w:tcPr>
            <w:tcW w:w="903" w:type="dxa"/>
            <w:vMerge w:val="restart"/>
            <w:tcBorders>
              <w:top w:val="nil"/>
              <w:left w:val="single" w:sz="4" w:space="0" w:color="auto"/>
              <w:bottom w:val="single" w:sz="4" w:space="0" w:color="auto"/>
              <w:right w:val="single" w:sz="4" w:space="0" w:color="auto"/>
            </w:tcBorders>
            <w:shd w:val="clear" w:color="auto" w:fill="auto"/>
            <w:vAlign w:val="center"/>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环境因素</w:t>
            </w: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储存或运行偏离预定的环境条件</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储运条件（如温度、湿度）不符合要求。</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产品老化。</w:t>
            </w:r>
          </w:p>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无菌有效期缩短。</w:t>
            </w:r>
          </w:p>
        </w:tc>
      </w:tr>
      <w:tr w:rsidR="00001667">
        <w:trPr>
          <w:cantSplit/>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意外的机械破坏</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储运、使用过程中发生意外的机械性破坏。</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产品使用性能无法得到保证。</w:t>
            </w:r>
          </w:p>
        </w:tc>
      </w:tr>
      <w:tr w:rsidR="00001667">
        <w:trPr>
          <w:cantSplit/>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由于废物和/或医疗器械处置的污染</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使用后的产品没有按照要求集中销毁。</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造成环境污染或者接触人员的感染。</w:t>
            </w:r>
          </w:p>
        </w:tc>
      </w:tr>
      <w:tr w:rsidR="00001667">
        <w:trPr>
          <w:cantSplit/>
          <w:trHeight w:val="1071"/>
          <w:jc w:val="center"/>
        </w:trPr>
        <w:tc>
          <w:tcPr>
            <w:tcW w:w="9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信息/操作危险</w:t>
            </w: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不适当的标记</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标记不清晰、错误、没有按照要求进行标记。</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错误使用。</w:t>
            </w:r>
          </w:p>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储存错误。</w:t>
            </w:r>
          </w:p>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产品辨别错误。</w:t>
            </w:r>
          </w:p>
        </w:tc>
      </w:tr>
      <w:tr w:rsidR="00001667">
        <w:trPr>
          <w:cantSplit/>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不适当的操作说明，如：偏离使用说明；</w:t>
            </w:r>
          </w:p>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说明书关于使用说明不全面</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包装破损无法识别。</w:t>
            </w:r>
          </w:p>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操作要点不突出。</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无法保证使用安全性。</w:t>
            </w:r>
          </w:p>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导致操作失误。</w:t>
            </w:r>
          </w:p>
        </w:tc>
      </w:tr>
      <w:tr w:rsidR="00001667">
        <w:trPr>
          <w:cantSplit/>
          <w:jc w:val="center"/>
        </w:trPr>
        <w:tc>
          <w:tcPr>
            <w:tcW w:w="9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由不熟练/未经培训的人员使用</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操作不熟练、操作失误。</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导致延误或不正确治疗。</w:t>
            </w:r>
          </w:p>
        </w:tc>
      </w:tr>
      <w:tr w:rsidR="00001667">
        <w:trPr>
          <w:cantSplit/>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合理可预见的误用</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型号规格选用错误。</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导致无法达到满意的效果。</w:t>
            </w:r>
          </w:p>
        </w:tc>
      </w:tr>
      <w:tr w:rsidR="00001667">
        <w:trPr>
          <w:cantSplit/>
          <w:trHeight w:val="1800"/>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对一次性使用医疗器械很可能再次使用的危险（源）警告不适当</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造成重复使用。</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交叉感染。</w:t>
            </w:r>
          </w:p>
        </w:tc>
      </w:tr>
      <w:tr w:rsidR="00001667">
        <w:trPr>
          <w:cantSplit/>
          <w:trHeight w:val="1966"/>
          <w:jc w:val="center"/>
        </w:trPr>
        <w:tc>
          <w:tcPr>
            <w:tcW w:w="9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违反或缩减说明书、程序等</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操作方法、注意事项、储存方法、警示事项等表述不清。</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重复使用引起感染。</w:t>
            </w:r>
          </w:p>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没有集中销毁造成环境污染等。</w:t>
            </w:r>
          </w:p>
        </w:tc>
      </w:tr>
      <w:tr w:rsidR="00001667">
        <w:trPr>
          <w:cantSplit/>
          <w:jc w:val="center"/>
        </w:trPr>
        <w:tc>
          <w:tcPr>
            <w:tcW w:w="9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功能性</w:t>
            </w: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对医疗器械寿命终止缺少适当的决定</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没有标识产品有效期。</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超出灭菌有效期的产品被使用，造成细菌感染。</w:t>
            </w:r>
          </w:p>
        </w:tc>
      </w:tr>
      <w:tr w:rsidR="00001667">
        <w:trPr>
          <w:cantSplit/>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不适当的包装（医疗器械的污染和/或变质）</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没有进行包装确认。</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不能确保产品无菌，从而导致出现细菌感染。</w:t>
            </w:r>
          </w:p>
        </w:tc>
      </w:tr>
      <w:tr w:rsidR="00001667">
        <w:trPr>
          <w:cantSplit/>
          <w:jc w:val="center"/>
        </w:trPr>
        <w:tc>
          <w:tcPr>
            <w:tcW w:w="903" w:type="dxa"/>
            <w:vMerge/>
            <w:tcBorders>
              <w:top w:val="nil"/>
              <w:left w:val="single" w:sz="4" w:space="0" w:color="auto"/>
              <w:bottom w:val="single" w:sz="4" w:space="0" w:color="auto"/>
              <w:right w:val="single" w:sz="4" w:space="0" w:color="auto"/>
            </w:tcBorders>
            <w:shd w:val="clear" w:color="auto" w:fill="auto"/>
            <w:vAlign w:val="center"/>
          </w:tcPr>
          <w:p w:rsidR="00001667" w:rsidRDefault="00001667">
            <w:pPr>
              <w:spacing w:line="520" w:lineRule="exact"/>
              <w:ind w:firstLineChars="200" w:firstLine="560"/>
              <w:jc w:val="center"/>
              <w:rPr>
                <w:rFonts w:ascii="仿宋_GB2312" w:eastAsia="仿宋_GB2312" w:hAnsi="宋体" w:cs="仿宋_GB2312"/>
                <w:bCs/>
                <w:sz w:val="28"/>
                <w:szCs w:val="28"/>
              </w:rPr>
            </w:pPr>
          </w:p>
        </w:tc>
        <w:tc>
          <w:tcPr>
            <w:tcW w:w="2152"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再次使用和/或不适当的再次使用</w:t>
            </w:r>
          </w:p>
        </w:tc>
        <w:tc>
          <w:tcPr>
            <w:tcW w:w="3785"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产品标识没有明确只限一次性使用。</w:t>
            </w:r>
          </w:p>
        </w:tc>
        <w:tc>
          <w:tcPr>
            <w:tcW w:w="2009" w:type="dxa"/>
            <w:tcBorders>
              <w:top w:val="single" w:sz="4" w:space="0" w:color="auto"/>
              <w:left w:val="single" w:sz="4" w:space="0" w:color="auto"/>
              <w:bottom w:val="single" w:sz="4" w:space="0" w:color="auto"/>
              <w:right w:val="single" w:sz="4" w:space="0" w:color="auto"/>
            </w:tcBorders>
            <w:shd w:val="clear" w:color="auto" w:fill="auto"/>
          </w:tcPr>
          <w:p w:rsidR="00001667" w:rsidRDefault="00833A54">
            <w:pPr>
              <w:spacing w:line="520" w:lineRule="exact"/>
              <w:ind w:firstLineChars="200" w:firstLine="560"/>
              <w:rPr>
                <w:rFonts w:ascii="仿宋_GB2312" w:eastAsia="仿宋_GB2312" w:hAnsi="宋体" w:cs="仿宋_GB2312"/>
                <w:bCs/>
                <w:sz w:val="28"/>
                <w:szCs w:val="28"/>
              </w:rPr>
            </w:pPr>
            <w:r>
              <w:rPr>
                <w:rFonts w:ascii="仿宋_GB2312" w:eastAsia="仿宋_GB2312" w:hAnsi="宋体" w:cs="仿宋_GB2312" w:hint="eastAsia"/>
                <w:bCs/>
                <w:sz w:val="28"/>
                <w:szCs w:val="28"/>
              </w:rPr>
              <w:t>出现细菌感染、交叉感染以及皮肤损伤等现象。</w:t>
            </w:r>
          </w:p>
        </w:tc>
      </w:tr>
    </w:tbl>
    <w:p w:rsidR="00001667" w:rsidRDefault="00001667">
      <w:pPr>
        <w:jc w:val="center"/>
        <w:rPr>
          <w:rFonts w:eastAsia="仿宋_GB2312" w:cs="仿宋_GB2312"/>
          <w:szCs w:val="32"/>
        </w:rPr>
      </w:pPr>
    </w:p>
    <w:sectPr w:rsidR="00001667">
      <w:footerReference w:type="default" r:id="rId9"/>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A54" w:rsidRDefault="00833A54">
      <w:r>
        <w:separator/>
      </w:r>
    </w:p>
  </w:endnote>
  <w:endnote w:type="continuationSeparator" w:id="0">
    <w:p w:rsidR="00833A54" w:rsidRDefault="0083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DejaVu Sans">
    <w:altName w:val="Arial"/>
    <w:charset w:val="00"/>
    <w:family w:val="roman"/>
    <w:pitch w:val="default"/>
    <w:sig w:usb0="00000000" w:usb1="0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667" w:rsidRDefault="00833A54">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001667" w:rsidRDefault="00833A54">
                          <w:pPr>
                            <w:snapToGrid w:val="0"/>
                            <w:rPr>
                              <w:rFonts w:ascii="宋体" w:eastAsia="宋体" w:hAnsi="宋体" w:cs="宋体"/>
                              <w:sz w:val="24"/>
                            </w:rPr>
                          </w:pPr>
                          <w:r>
                            <w:rPr>
                              <w:rFonts w:ascii="宋体" w:eastAsia="宋体" w:hAnsi="宋体" w:cs="宋体" w:hint="eastAsia"/>
                              <w:sz w:val="24"/>
                            </w:rPr>
                            <w:fldChar w:fldCharType="begin"/>
                          </w:r>
                          <w:r>
                            <w:rPr>
                              <w:rFonts w:ascii="宋体" w:eastAsia="宋体" w:hAnsi="宋体" w:cs="宋体" w:hint="eastAsia"/>
                              <w:sz w:val="24"/>
                            </w:rPr>
                            <w:instrText xml:space="preserve"> PAGE  \* MERGEFORMAT </w:instrText>
                          </w:r>
                          <w:r>
                            <w:rPr>
                              <w:rFonts w:ascii="宋体" w:eastAsia="宋体" w:hAnsi="宋体" w:cs="宋体" w:hint="eastAsia"/>
                              <w:sz w:val="24"/>
                            </w:rPr>
                            <w:fldChar w:fldCharType="separate"/>
                          </w:r>
                          <w:r w:rsidR="005E3DDF">
                            <w:rPr>
                              <w:rFonts w:ascii="宋体" w:eastAsia="宋体" w:hAnsi="宋体" w:cs="宋体"/>
                              <w:noProof/>
                              <w:sz w:val="24"/>
                            </w:rPr>
                            <w:t>1</w:t>
                          </w:r>
                          <w:r>
                            <w:rPr>
                              <w:rFonts w:ascii="宋体" w:eastAsia="宋体" w:hAnsi="宋体" w:cs="宋体"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001667" w:rsidRDefault="00833A54">
                    <w:pPr>
                      <w:snapToGrid w:val="0"/>
                      <w:rPr>
                        <w:rFonts w:ascii="宋体" w:eastAsia="宋体" w:hAnsi="宋体" w:cs="宋体"/>
                        <w:sz w:val="24"/>
                      </w:rPr>
                    </w:pPr>
                    <w:r>
                      <w:rPr>
                        <w:rFonts w:ascii="宋体" w:eastAsia="宋体" w:hAnsi="宋体" w:cs="宋体" w:hint="eastAsia"/>
                        <w:sz w:val="24"/>
                      </w:rPr>
                      <w:fldChar w:fldCharType="begin"/>
                    </w:r>
                    <w:r>
                      <w:rPr>
                        <w:rFonts w:ascii="宋体" w:eastAsia="宋体" w:hAnsi="宋体" w:cs="宋体" w:hint="eastAsia"/>
                        <w:sz w:val="24"/>
                      </w:rPr>
                      <w:instrText xml:space="preserve"> PAGE  \* MERGEFORMAT </w:instrText>
                    </w:r>
                    <w:r>
                      <w:rPr>
                        <w:rFonts w:ascii="宋体" w:eastAsia="宋体" w:hAnsi="宋体" w:cs="宋体" w:hint="eastAsia"/>
                        <w:sz w:val="24"/>
                      </w:rPr>
                      <w:fldChar w:fldCharType="separate"/>
                    </w:r>
                    <w:r w:rsidR="005E3DDF">
                      <w:rPr>
                        <w:rFonts w:ascii="宋体" w:eastAsia="宋体" w:hAnsi="宋体" w:cs="宋体"/>
                        <w:noProof/>
                        <w:sz w:val="24"/>
                      </w:rPr>
                      <w:t>1</w:t>
                    </w:r>
                    <w:r>
                      <w:rPr>
                        <w:rFonts w:ascii="宋体" w:eastAsia="宋体" w:hAnsi="宋体" w:cs="宋体"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A54" w:rsidRDefault="00833A54">
      <w:r>
        <w:separator/>
      </w:r>
    </w:p>
  </w:footnote>
  <w:footnote w:type="continuationSeparator" w:id="0">
    <w:p w:rsidR="00833A54" w:rsidRDefault="00833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98AFED"/>
    <w:multiLevelType w:val="singleLevel"/>
    <w:tmpl w:val="9698AFED"/>
    <w:lvl w:ilvl="0">
      <w:start w:val="1"/>
      <w:numFmt w:val="decimal"/>
      <w:suff w:val="nothing"/>
      <w:lvlText w:val="（%1）"/>
      <w:lvlJc w:val="left"/>
    </w:lvl>
  </w:abstractNum>
  <w:abstractNum w:abstractNumId="1" w15:restartNumberingAfterBreak="0">
    <w:nsid w:val="5312A0B5"/>
    <w:multiLevelType w:val="singleLevel"/>
    <w:tmpl w:val="5312A0B5"/>
    <w:lvl w:ilvl="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01667"/>
    <w:rsid w:val="0007686E"/>
    <w:rsid w:val="000C6CA4"/>
    <w:rsid w:val="000E5335"/>
    <w:rsid w:val="00145167"/>
    <w:rsid w:val="0015622E"/>
    <w:rsid w:val="00167AA3"/>
    <w:rsid w:val="001C3A87"/>
    <w:rsid w:val="001E0961"/>
    <w:rsid w:val="00242375"/>
    <w:rsid w:val="00244DF7"/>
    <w:rsid w:val="00277473"/>
    <w:rsid w:val="00291759"/>
    <w:rsid w:val="00294D2B"/>
    <w:rsid w:val="002B24A0"/>
    <w:rsid w:val="002E628E"/>
    <w:rsid w:val="002F2978"/>
    <w:rsid w:val="0030368E"/>
    <w:rsid w:val="003137C1"/>
    <w:rsid w:val="00332DE8"/>
    <w:rsid w:val="003450A4"/>
    <w:rsid w:val="00355421"/>
    <w:rsid w:val="00365AB2"/>
    <w:rsid w:val="00410598"/>
    <w:rsid w:val="00435AC6"/>
    <w:rsid w:val="00440708"/>
    <w:rsid w:val="004410B9"/>
    <w:rsid w:val="004C4DBC"/>
    <w:rsid w:val="004C6DDB"/>
    <w:rsid w:val="004E39ED"/>
    <w:rsid w:val="005041BA"/>
    <w:rsid w:val="00514F89"/>
    <w:rsid w:val="00534F4C"/>
    <w:rsid w:val="005A1410"/>
    <w:rsid w:val="005A204F"/>
    <w:rsid w:val="005E3DDF"/>
    <w:rsid w:val="006A1165"/>
    <w:rsid w:val="006C00CB"/>
    <w:rsid w:val="006E68A9"/>
    <w:rsid w:val="006E7148"/>
    <w:rsid w:val="00716619"/>
    <w:rsid w:val="00745098"/>
    <w:rsid w:val="007646FC"/>
    <w:rsid w:val="00787F7E"/>
    <w:rsid w:val="007904F6"/>
    <w:rsid w:val="007D341A"/>
    <w:rsid w:val="00812A38"/>
    <w:rsid w:val="00815364"/>
    <w:rsid w:val="00821079"/>
    <w:rsid w:val="00833A54"/>
    <w:rsid w:val="00845C30"/>
    <w:rsid w:val="00882CF3"/>
    <w:rsid w:val="00933041"/>
    <w:rsid w:val="00937F0E"/>
    <w:rsid w:val="009E2514"/>
    <w:rsid w:val="009F209D"/>
    <w:rsid w:val="00A23EC2"/>
    <w:rsid w:val="00A25C1A"/>
    <w:rsid w:val="00A73BFE"/>
    <w:rsid w:val="00B41578"/>
    <w:rsid w:val="00B51EBD"/>
    <w:rsid w:val="00B66355"/>
    <w:rsid w:val="00B9118A"/>
    <w:rsid w:val="00BC2983"/>
    <w:rsid w:val="00BC7C84"/>
    <w:rsid w:val="00BD300F"/>
    <w:rsid w:val="00BE669C"/>
    <w:rsid w:val="00C0562D"/>
    <w:rsid w:val="00C175DA"/>
    <w:rsid w:val="00C25F69"/>
    <w:rsid w:val="00C40950"/>
    <w:rsid w:val="00C74CE1"/>
    <w:rsid w:val="00CB4CCD"/>
    <w:rsid w:val="00D207C9"/>
    <w:rsid w:val="00D32614"/>
    <w:rsid w:val="00D36F91"/>
    <w:rsid w:val="00D4450D"/>
    <w:rsid w:val="00D920F9"/>
    <w:rsid w:val="00DD740E"/>
    <w:rsid w:val="00E07E6A"/>
    <w:rsid w:val="00E11D78"/>
    <w:rsid w:val="00E72EF4"/>
    <w:rsid w:val="00EB1A04"/>
    <w:rsid w:val="00EC523A"/>
    <w:rsid w:val="00ED0226"/>
    <w:rsid w:val="00EE261B"/>
    <w:rsid w:val="00EE4EBB"/>
    <w:rsid w:val="00F31CB3"/>
    <w:rsid w:val="00F81D1A"/>
    <w:rsid w:val="00FB46B2"/>
    <w:rsid w:val="00FF0F38"/>
    <w:rsid w:val="022C0730"/>
    <w:rsid w:val="023B6BC5"/>
    <w:rsid w:val="032B5FEF"/>
    <w:rsid w:val="03D655FF"/>
    <w:rsid w:val="04970029"/>
    <w:rsid w:val="04DC5DEF"/>
    <w:rsid w:val="05124BBC"/>
    <w:rsid w:val="0540041A"/>
    <w:rsid w:val="06A905C3"/>
    <w:rsid w:val="07022A3D"/>
    <w:rsid w:val="072F5691"/>
    <w:rsid w:val="07A0301B"/>
    <w:rsid w:val="07C93EA5"/>
    <w:rsid w:val="08515EAF"/>
    <w:rsid w:val="09492041"/>
    <w:rsid w:val="09943FA5"/>
    <w:rsid w:val="09FB3A2A"/>
    <w:rsid w:val="0B076D7D"/>
    <w:rsid w:val="0C20701E"/>
    <w:rsid w:val="0C4D130E"/>
    <w:rsid w:val="0D645222"/>
    <w:rsid w:val="0D95736A"/>
    <w:rsid w:val="0EAC0C2F"/>
    <w:rsid w:val="0F081EC3"/>
    <w:rsid w:val="0F1E2B49"/>
    <w:rsid w:val="0FC67C69"/>
    <w:rsid w:val="0FED59A3"/>
    <w:rsid w:val="11877D58"/>
    <w:rsid w:val="12856AD7"/>
    <w:rsid w:val="12D858CA"/>
    <w:rsid w:val="13E85A91"/>
    <w:rsid w:val="14021722"/>
    <w:rsid w:val="14FB2910"/>
    <w:rsid w:val="15812EDE"/>
    <w:rsid w:val="15F335E7"/>
    <w:rsid w:val="16386A4C"/>
    <w:rsid w:val="16A93D21"/>
    <w:rsid w:val="16B965DF"/>
    <w:rsid w:val="173B4A90"/>
    <w:rsid w:val="18605BBA"/>
    <w:rsid w:val="18B01A07"/>
    <w:rsid w:val="19354B5D"/>
    <w:rsid w:val="196547FC"/>
    <w:rsid w:val="197D779B"/>
    <w:rsid w:val="1B83540D"/>
    <w:rsid w:val="1B8C3043"/>
    <w:rsid w:val="1BA37C3C"/>
    <w:rsid w:val="1C4B22C9"/>
    <w:rsid w:val="1CD43FC7"/>
    <w:rsid w:val="1CFF2E93"/>
    <w:rsid w:val="1E06000A"/>
    <w:rsid w:val="1E146477"/>
    <w:rsid w:val="1E3B3D7D"/>
    <w:rsid w:val="1ECD6D26"/>
    <w:rsid w:val="1FB8197E"/>
    <w:rsid w:val="1FF231B2"/>
    <w:rsid w:val="200E6F5E"/>
    <w:rsid w:val="20A976C4"/>
    <w:rsid w:val="20FC58BF"/>
    <w:rsid w:val="217E28FF"/>
    <w:rsid w:val="21CC5A5C"/>
    <w:rsid w:val="21E016B6"/>
    <w:rsid w:val="21EB5B23"/>
    <w:rsid w:val="22DB5B2F"/>
    <w:rsid w:val="23E40A13"/>
    <w:rsid w:val="258D6706"/>
    <w:rsid w:val="26DB2D8A"/>
    <w:rsid w:val="26F16827"/>
    <w:rsid w:val="27DB5F60"/>
    <w:rsid w:val="281E783C"/>
    <w:rsid w:val="285D3D26"/>
    <w:rsid w:val="2987166D"/>
    <w:rsid w:val="29B81A52"/>
    <w:rsid w:val="29CC1042"/>
    <w:rsid w:val="29D238DE"/>
    <w:rsid w:val="2A2D00A5"/>
    <w:rsid w:val="2B6B7E4B"/>
    <w:rsid w:val="2B98280F"/>
    <w:rsid w:val="2BC453B2"/>
    <w:rsid w:val="2CA35449"/>
    <w:rsid w:val="2D143F3E"/>
    <w:rsid w:val="2D954002"/>
    <w:rsid w:val="2DDF416D"/>
    <w:rsid w:val="2E097123"/>
    <w:rsid w:val="2E277E7A"/>
    <w:rsid w:val="2E536EC1"/>
    <w:rsid w:val="2EB54109"/>
    <w:rsid w:val="2F5B7661"/>
    <w:rsid w:val="307052D3"/>
    <w:rsid w:val="307313D0"/>
    <w:rsid w:val="30A457B2"/>
    <w:rsid w:val="310D2755"/>
    <w:rsid w:val="32AB67C9"/>
    <w:rsid w:val="335A0C14"/>
    <w:rsid w:val="33B63BF4"/>
    <w:rsid w:val="33D00530"/>
    <w:rsid w:val="33F81A53"/>
    <w:rsid w:val="34053E74"/>
    <w:rsid w:val="349D49F2"/>
    <w:rsid w:val="35F67976"/>
    <w:rsid w:val="36323860"/>
    <w:rsid w:val="364D41F6"/>
    <w:rsid w:val="36700F3B"/>
    <w:rsid w:val="37795F17"/>
    <w:rsid w:val="37967A1C"/>
    <w:rsid w:val="381D3CA5"/>
    <w:rsid w:val="38706684"/>
    <w:rsid w:val="388560F7"/>
    <w:rsid w:val="388C54AA"/>
    <w:rsid w:val="38957B7A"/>
    <w:rsid w:val="3910397D"/>
    <w:rsid w:val="3A233CA8"/>
    <w:rsid w:val="3A2B0CF2"/>
    <w:rsid w:val="3A437DEA"/>
    <w:rsid w:val="3A7669BB"/>
    <w:rsid w:val="3AC63BE9"/>
    <w:rsid w:val="3B8B384F"/>
    <w:rsid w:val="3CCA67A1"/>
    <w:rsid w:val="3CE8383B"/>
    <w:rsid w:val="3D594F2A"/>
    <w:rsid w:val="3D6267D9"/>
    <w:rsid w:val="3D8810B1"/>
    <w:rsid w:val="3E1F1480"/>
    <w:rsid w:val="3ECA2C27"/>
    <w:rsid w:val="3EE30952"/>
    <w:rsid w:val="3F2A70E2"/>
    <w:rsid w:val="3F5467B7"/>
    <w:rsid w:val="3F650535"/>
    <w:rsid w:val="3F67457A"/>
    <w:rsid w:val="3F7D67BC"/>
    <w:rsid w:val="4049002A"/>
    <w:rsid w:val="40991B5A"/>
    <w:rsid w:val="43354997"/>
    <w:rsid w:val="452625AA"/>
    <w:rsid w:val="45EA4DC9"/>
    <w:rsid w:val="465515D1"/>
    <w:rsid w:val="469F14CB"/>
    <w:rsid w:val="47047515"/>
    <w:rsid w:val="47347438"/>
    <w:rsid w:val="47E41DE4"/>
    <w:rsid w:val="480A1BDD"/>
    <w:rsid w:val="49394628"/>
    <w:rsid w:val="49D22F2E"/>
    <w:rsid w:val="4A8561FD"/>
    <w:rsid w:val="4BEE2479"/>
    <w:rsid w:val="4D2048CF"/>
    <w:rsid w:val="4D3E5908"/>
    <w:rsid w:val="4D665298"/>
    <w:rsid w:val="4DC25072"/>
    <w:rsid w:val="4DE82925"/>
    <w:rsid w:val="4DF221AE"/>
    <w:rsid w:val="4E3E5A76"/>
    <w:rsid w:val="4E6F0D56"/>
    <w:rsid w:val="4EF94348"/>
    <w:rsid w:val="4F0C3B70"/>
    <w:rsid w:val="4FCA410D"/>
    <w:rsid w:val="4FDD67DE"/>
    <w:rsid w:val="4FDE024C"/>
    <w:rsid w:val="50835A1F"/>
    <w:rsid w:val="50AB7678"/>
    <w:rsid w:val="51340149"/>
    <w:rsid w:val="514F10EF"/>
    <w:rsid w:val="52193238"/>
    <w:rsid w:val="52B753C1"/>
    <w:rsid w:val="53065A01"/>
    <w:rsid w:val="536C220E"/>
    <w:rsid w:val="53DD1FF4"/>
    <w:rsid w:val="545048F2"/>
    <w:rsid w:val="549B2B46"/>
    <w:rsid w:val="54A757C5"/>
    <w:rsid w:val="54D656F3"/>
    <w:rsid w:val="556E49B4"/>
    <w:rsid w:val="55BB4F17"/>
    <w:rsid w:val="55D87B28"/>
    <w:rsid w:val="5629004A"/>
    <w:rsid w:val="566E5D97"/>
    <w:rsid w:val="57252511"/>
    <w:rsid w:val="58823D7B"/>
    <w:rsid w:val="593E4F53"/>
    <w:rsid w:val="5A6B262C"/>
    <w:rsid w:val="5A6C637A"/>
    <w:rsid w:val="5A6E69EF"/>
    <w:rsid w:val="5B746366"/>
    <w:rsid w:val="5B7E082A"/>
    <w:rsid w:val="5BDC19F5"/>
    <w:rsid w:val="5BE519D5"/>
    <w:rsid w:val="5BF812F3"/>
    <w:rsid w:val="5C1955A8"/>
    <w:rsid w:val="5C9D73D6"/>
    <w:rsid w:val="5D150FB8"/>
    <w:rsid w:val="5DB23E9D"/>
    <w:rsid w:val="5DC759B6"/>
    <w:rsid w:val="5DD72F48"/>
    <w:rsid w:val="5DDB6408"/>
    <w:rsid w:val="5DE46C2F"/>
    <w:rsid w:val="5F73441E"/>
    <w:rsid w:val="602016E7"/>
    <w:rsid w:val="60215834"/>
    <w:rsid w:val="60335C18"/>
    <w:rsid w:val="605A519C"/>
    <w:rsid w:val="60E920D8"/>
    <w:rsid w:val="619F5508"/>
    <w:rsid w:val="624612CE"/>
    <w:rsid w:val="62EF2E33"/>
    <w:rsid w:val="63534C92"/>
    <w:rsid w:val="63860BC4"/>
    <w:rsid w:val="63E35F6D"/>
    <w:rsid w:val="64B82FFF"/>
    <w:rsid w:val="65041EBA"/>
    <w:rsid w:val="65663E12"/>
    <w:rsid w:val="6569254B"/>
    <w:rsid w:val="65EF3A57"/>
    <w:rsid w:val="66173D55"/>
    <w:rsid w:val="66342FD9"/>
    <w:rsid w:val="66BC05FF"/>
    <w:rsid w:val="672777E6"/>
    <w:rsid w:val="68BB663A"/>
    <w:rsid w:val="69AC05CE"/>
    <w:rsid w:val="69F525FF"/>
    <w:rsid w:val="6A303637"/>
    <w:rsid w:val="6AD83A16"/>
    <w:rsid w:val="6B737129"/>
    <w:rsid w:val="6C53274C"/>
    <w:rsid w:val="6CB8254B"/>
    <w:rsid w:val="6D4331D8"/>
    <w:rsid w:val="6D715F41"/>
    <w:rsid w:val="6D737DE9"/>
    <w:rsid w:val="6E424D18"/>
    <w:rsid w:val="6FAD0A4A"/>
    <w:rsid w:val="70064A8A"/>
    <w:rsid w:val="705D6FC9"/>
    <w:rsid w:val="707C3028"/>
    <w:rsid w:val="70B86135"/>
    <w:rsid w:val="70CE35DB"/>
    <w:rsid w:val="7124712B"/>
    <w:rsid w:val="71A861A9"/>
    <w:rsid w:val="71CA1EB7"/>
    <w:rsid w:val="71EB7D0F"/>
    <w:rsid w:val="7310560D"/>
    <w:rsid w:val="73A35D19"/>
    <w:rsid w:val="752175BA"/>
    <w:rsid w:val="77287309"/>
    <w:rsid w:val="776143DD"/>
    <w:rsid w:val="781F17AC"/>
    <w:rsid w:val="782A5B6A"/>
    <w:rsid w:val="78F87061"/>
    <w:rsid w:val="796F5D12"/>
    <w:rsid w:val="79A727F9"/>
    <w:rsid w:val="7A1845EE"/>
    <w:rsid w:val="7A6B246A"/>
    <w:rsid w:val="7AA30CA1"/>
    <w:rsid w:val="7AF02C32"/>
    <w:rsid w:val="7AF1093C"/>
    <w:rsid w:val="7B077F5D"/>
    <w:rsid w:val="7B771CA5"/>
    <w:rsid w:val="7B9F0A3B"/>
    <w:rsid w:val="7BBB0CA6"/>
    <w:rsid w:val="7C293D87"/>
    <w:rsid w:val="7C594C70"/>
    <w:rsid w:val="7DC96C1C"/>
    <w:rsid w:val="7E176B90"/>
    <w:rsid w:val="7E8A7362"/>
    <w:rsid w:val="7ECA1B66"/>
    <w:rsid w:val="7EDD02E1"/>
    <w:rsid w:val="7F133B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DF6EB6"/>
  <w15:docId w15:val="{041B22E3-C410-4921-A8CD-7985869C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Adobe 仿宋 Std R"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uiPriority w:val="99"/>
    <w:unhideWhenUsed/>
    <w:qFormat/>
    <w:pPr>
      <w:tabs>
        <w:tab w:val="center" w:pos="4153"/>
        <w:tab w:val="right" w:pos="8306"/>
      </w:tabs>
      <w:snapToGrid w:val="0"/>
      <w:jc w:val="left"/>
    </w:pPr>
    <w:rPr>
      <w:sz w:val="18"/>
    </w:rPr>
  </w:style>
  <w:style w:type="paragraph" w:styleId="a8">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9">
    <w:name w:val="annotation subject"/>
    <w:basedOn w:val="a3"/>
    <w:next w:val="a3"/>
    <w:link w:val="aa"/>
    <w:uiPriority w:val="99"/>
    <w:semiHidden/>
    <w:unhideWhenUsed/>
    <w:qFormat/>
    <w:rPr>
      <w:b/>
      <w:bCs/>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uiPriority w:val="99"/>
    <w:semiHidden/>
    <w:unhideWhenUsed/>
    <w:qFormat/>
  </w:style>
  <w:style w:type="character" w:styleId="ad">
    <w:name w:val="annotation reference"/>
    <w:basedOn w:val="a0"/>
    <w:uiPriority w:val="99"/>
    <w:semiHidden/>
    <w:unhideWhenUsed/>
    <w:qFormat/>
    <w:rPr>
      <w:sz w:val="21"/>
      <w:szCs w:val="21"/>
    </w:rPr>
  </w:style>
  <w:style w:type="paragraph" w:styleId="ae">
    <w:name w:val="No Spacing"/>
    <w:qFormat/>
    <w:pPr>
      <w:adjustRightInd w:val="0"/>
      <w:snapToGrid w:val="0"/>
    </w:pPr>
    <w:rPr>
      <w:rFonts w:ascii="Tahoma" w:eastAsia="微软雅黑" w:hAnsi="Tahoma" w:cs="Times New Roman"/>
      <w:sz w:val="22"/>
      <w:szCs w:val="22"/>
    </w:rPr>
  </w:style>
  <w:style w:type="paragraph" w:customStyle="1" w:styleId="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
    <w:uiPriority w:val="34"/>
    <w:qFormat/>
    <w:rPr>
      <w:rFonts w:ascii="Times New Roman" w:eastAsia="仿宋_GB2312" w:hAnsi="Times New Roman" w:cs="Times New Roman"/>
      <w:sz w:val="32"/>
      <w:szCs w:val="32"/>
    </w:rPr>
  </w:style>
  <w:style w:type="character" w:customStyle="1" w:styleId="a6">
    <w:name w:val="批注框文本 字符"/>
    <w:basedOn w:val="a0"/>
    <w:link w:val="a5"/>
    <w:uiPriority w:val="99"/>
    <w:semiHidden/>
    <w:qFormat/>
    <w:rPr>
      <w:rFonts w:ascii="Times New Roman" w:eastAsia="Adobe 仿宋 Std R" w:hAnsi="Times New Roman" w:cs="Times New Roman"/>
      <w:kern w:val="2"/>
      <w:sz w:val="18"/>
      <w:szCs w:val="18"/>
    </w:rPr>
  </w:style>
  <w:style w:type="paragraph" w:styleId="af">
    <w:name w:val="List Paragraph"/>
    <w:basedOn w:val="a"/>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a">
    <w:name w:val="批注主题 字符"/>
    <w:basedOn w:val="a4"/>
    <w:link w:val="a9"/>
    <w:uiPriority w:val="99"/>
    <w:semiHidden/>
    <w:qFormat/>
    <w:rPr>
      <w:rFonts w:ascii="Times New Roman" w:eastAsia="Adobe 仿宋 Std R" w:hAnsi="Times New Roman" w:cs="Times New Roman"/>
      <w:b/>
      <w:bCs/>
      <w:kern w:val="2"/>
      <w:sz w:val="32"/>
      <w:szCs w:val="24"/>
    </w:rPr>
  </w:style>
  <w:style w:type="character" w:customStyle="1" w:styleId="15">
    <w:name w:val="15"/>
    <w:basedOn w:val="a0"/>
    <w:qFormat/>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417A40-5B59-4F00-87BB-3595B542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1250</Words>
  <Characters>7125</Characters>
  <Application>Microsoft Office Word</Application>
  <DocSecurity>0</DocSecurity>
  <Lines>59</Lines>
  <Paragraphs>16</Paragraphs>
  <ScaleCrop>false</ScaleCrop>
  <Company>Microsoft</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高田</cp:lastModifiedBy>
  <cp:revision>15</cp:revision>
  <dcterms:created xsi:type="dcterms:W3CDTF">2022-01-12T05:16:00Z</dcterms:created>
  <dcterms:modified xsi:type="dcterms:W3CDTF">2025-12-03T06:56:00Z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F440D4C7F2824CD7ADC5FECF5B754755_13</vt:lpwstr>
  </property>
  <property fmtid="{D5CDD505-2E9C-101B-9397-08002B2CF9AE}" pid="4" name="KSOTemplateDocerSaveRecord">
    <vt:lpwstr>eyJoZGlkIjoiOGI2NTdlZTlhOTMyNzM5ZDU1ZWUzZjQ4MTdlZGY0ZGMiLCJ1c2VySWQiOiI0NDU0MDA0ODIifQ==</vt:lpwstr>
  </property>
</Properties>
</file>