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1F4" w:rsidRDefault="00BD1A23">
      <w:pPr>
        <w:spacing w:beforeLines="50" w:before="156" w:afterLines="50" w:after="156" w:line="520" w:lineRule="exact"/>
        <w:ind w:rightChars="-32" w:right="-67"/>
        <w:jc w:val="center"/>
        <w:rPr>
          <w:rFonts w:ascii="Times New Roman" w:eastAsia="方正小标宋简体" w:hAnsi="Times New Roman" w:cs="Times New Roman"/>
          <w:sz w:val="44"/>
          <w:szCs w:val="44"/>
        </w:rPr>
      </w:pPr>
      <w:bookmarkStart w:id="0" w:name="_GoBack"/>
      <w:bookmarkEnd w:id="0"/>
      <w:r>
        <w:rPr>
          <w:rFonts w:ascii="Times New Roman" w:eastAsia="方正小标宋简体" w:hAnsi="Times New Roman" w:cs="Times New Roman" w:hint="eastAsia"/>
          <w:sz w:val="44"/>
          <w:szCs w:val="44"/>
        </w:rPr>
        <w:t>牙科</w:t>
      </w:r>
      <w:r>
        <w:rPr>
          <w:rFonts w:ascii="Times New Roman" w:eastAsia="方正小标宋简体" w:hAnsi="Times New Roman" w:cs="Times New Roman" w:hint="eastAsia"/>
          <w:sz w:val="44"/>
          <w:szCs w:val="44"/>
        </w:rPr>
        <w:t>种植用导板</w:t>
      </w:r>
      <w:r>
        <w:rPr>
          <w:rFonts w:ascii="Times New Roman" w:eastAsia="方正小标宋简体" w:hAnsi="Times New Roman" w:cs="Times New Roman"/>
          <w:sz w:val="44"/>
          <w:szCs w:val="44"/>
        </w:rPr>
        <w:t>注册</w:t>
      </w:r>
      <w:r>
        <w:rPr>
          <w:rFonts w:eastAsia="方正小标宋简体" w:hint="eastAsia"/>
          <w:sz w:val="44"/>
          <w:szCs w:val="44"/>
        </w:rPr>
        <w:t>审查指导原则</w:t>
      </w:r>
    </w:p>
    <w:p w:rsidR="004731F4" w:rsidRDefault="00BD1A23">
      <w:pPr>
        <w:spacing w:beforeLines="50" w:before="156" w:afterLines="50" w:after="156" w:line="520" w:lineRule="exact"/>
        <w:ind w:rightChars="-32" w:right="-67"/>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w:t>
      </w:r>
      <w:r>
        <w:rPr>
          <w:rFonts w:ascii="Times New Roman" w:eastAsia="方正小标宋简体" w:hAnsi="Times New Roman" w:cs="Times New Roman" w:hint="eastAsia"/>
          <w:sz w:val="44"/>
          <w:szCs w:val="44"/>
        </w:rPr>
        <w:t>征求意见稿</w:t>
      </w:r>
      <w:r>
        <w:rPr>
          <w:rFonts w:ascii="Times New Roman" w:eastAsia="方正小标宋简体" w:hAnsi="Times New Roman" w:cs="Times New Roman" w:hint="eastAsia"/>
          <w:sz w:val="44"/>
          <w:szCs w:val="44"/>
        </w:rPr>
        <w:t>）</w:t>
      </w:r>
    </w:p>
    <w:p w:rsidR="004731F4" w:rsidRDefault="004731F4">
      <w:pPr>
        <w:spacing w:beforeLines="50" w:before="156" w:afterLines="50" w:after="156" w:line="520" w:lineRule="exact"/>
        <w:ind w:rightChars="-32" w:right="-67"/>
        <w:jc w:val="center"/>
        <w:rPr>
          <w:rFonts w:ascii="Times New Roman" w:eastAsia="方正小标宋简体" w:hAnsi="Times New Roman" w:cs="Times New Roman"/>
          <w:sz w:val="44"/>
          <w:szCs w:val="44"/>
        </w:rPr>
      </w:pP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本指导原则旨在</w:t>
      </w:r>
      <w:r>
        <w:rPr>
          <w:rFonts w:ascii="Times New Roman" w:eastAsia="仿宋_GB2312" w:hAnsi="Times New Roman" w:cs="Times New Roman" w:hint="eastAsia"/>
          <w:sz w:val="32"/>
          <w:szCs w:val="32"/>
        </w:rPr>
        <w:t>帮助和</w:t>
      </w:r>
      <w:r>
        <w:rPr>
          <w:rFonts w:ascii="Times New Roman" w:eastAsia="仿宋_GB2312" w:hAnsi="Times New Roman" w:cs="Times New Roman"/>
          <w:kern w:val="0"/>
          <w:sz w:val="32"/>
          <w:szCs w:val="32"/>
        </w:rPr>
        <w:t>指导注册申请人对</w:t>
      </w:r>
      <w:r>
        <w:rPr>
          <w:rFonts w:ascii="Times New Roman" w:eastAsia="仿宋_GB2312" w:hAnsi="Times New Roman" w:cs="Times New Roman" w:hint="eastAsia"/>
          <w:kern w:val="0"/>
          <w:sz w:val="32"/>
          <w:szCs w:val="32"/>
        </w:rPr>
        <w:t>牙科</w:t>
      </w:r>
      <w:r>
        <w:rPr>
          <w:rFonts w:ascii="Times New Roman" w:eastAsia="仿宋_GB2312" w:hAnsi="Times New Roman" w:cs="Times New Roman" w:hint="eastAsia"/>
          <w:kern w:val="0"/>
          <w:sz w:val="32"/>
          <w:szCs w:val="32"/>
        </w:rPr>
        <w:t>种植用导板</w:t>
      </w:r>
      <w:r>
        <w:rPr>
          <w:rFonts w:ascii="Times New Roman" w:eastAsia="仿宋_GB2312" w:hAnsi="Times New Roman" w:cs="Times New Roman"/>
          <w:kern w:val="0"/>
          <w:sz w:val="32"/>
          <w:szCs w:val="32"/>
        </w:rPr>
        <w:t>注册申报资料的准备及撰写，同时也为技术审评部门审评注册申报资料提供参考。</w:t>
      </w: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本指导原则是对</w:t>
      </w:r>
      <w:r>
        <w:rPr>
          <w:rFonts w:ascii="Times New Roman" w:eastAsia="仿宋_GB2312" w:hAnsi="Times New Roman" w:cs="Times New Roman" w:hint="eastAsia"/>
          <w:kern w:val="0"/>
          <w:sz w:val="32"/>
          <w:szCs w:val="32"/>
        </w:rPr>
        <w:t>牙科</w:t>
      </w:r>
      <w:r>
        <w:rPr>
          <w:rFonts w:ascii="Times New Roman" w:eastAsia="仿宋_GB2312" w:hAnsi="Times New Roman" w:cs="Times New Roman" w:hint="eastAsia"/>
          <w:kern w:val="0"/>
          <w:sz w:val="32"/>
          <w:szCs w:val="32"/>
        </w:rPr>
        <w:t>种植用导板注册申报资料</w:t>
      </w:r>
      <w:r>
        <w:rPr>
          <w:rFonts w:ascii="Times New Roman" w:eastAsia="仿宋_GB2312" w:hAnsi="Times New Roman" w:cs="Times New Roman"/>
          <w:kern w:val="0"/>
          <w:sz w:val="32"/>
          <w:szCs w:val="32"/>
        </w:rPr>
        <w:t>的一般要求，</w:t>
      </w:r>
      <w:r>
        <w:rPr>
          <w:rFonts w:ascii="Times New Roman" w:eastAsia="仿宋_GB2312" w:hAnsi="Times New Roman" w:cs="Times New Roman" w:hint="eastAsia"/>
          <w:kern w:val="0"/>
          <w:sz w:val="32"/>
          <w:szCs w:val="32"/>
        </w:rPr>
        <w:t>注册</w:t>
      </w:r>
      <w:r>
        <w:rPr>
          <w:rFonts w:ascii="Times New Roman" w:eastAsia="仿宋_GB2312" w:hAnsi="Times New Roman" w:cs="Times New Roman"/>
          <w:kern w:val="0"/>
          <w:sz w:val="32"/>
          <w:szCs w:val="32"/>
        </w:rPr>
        <w:t>申请人</w:t>
      </w:r>
      <w:r>
        <w:rPr>
          <w:rFonts w:ascii="Times New Roman" w:eastAsia="仿宋_GB2312" w:hAnsi="Times New Roman" w:cs="Times New Roman" w:hint="eastAsia"/>
          <w:kern w:val="0"/>
          <w:sz w:val="32"/>
          <w:szCs w:val="32"/>
        </w:rPr>
        <w:t>需</w:t>
      </w:r>
      <w:r>
        <w:rPr>
          <w:rFonts w:ascii="Times New Roman" w:eastAsia="仿宋_GB2312" w:hAnsi="Times New Roman" w:cs="Times New Roman"/>
          <w:kern w:val="0"/>
          <w:sz w:val="32"/>
          <w:szCs w:val="32"/>
        </w:rPr>
        <w:t>依据产品的具体特性确定其中内容是否适用</w:t>
      </w:r>
      <w:r>
        <w:rPr>
          <w:rFonts w:ascii="Times New Roman" w:eastAsia="仿宋_GB2312" w:hAnsi="Times New Roman" w:cs="Times New Roman" w:hint="eastAsia"/>
          <w:kern w:val="0"/>
          <w:sz w:val="32"/>
          <w:szCs w:val="32"/>
        </w:rPr>
        <w:t>。</w:t>
      </w:r>
      <w:r>
        <w:rPr>
          <w:rFonts w:ascii="Times New Roman" w:eastAsia="仿宋_GB2312" w:hAnsi="Times New Roman" w:cs="Times New Roman"/>
          <w:kern w:val="0"/>
          <w:sz w:val="32"/>
          <w:szCs w:val="32"/>
        </w:rPr>
        <w:t>若不适用，需具体阐述理由及相应的科学依据，并依据产品的具体特性对注册申报资料的内容进行充实和细化。</w:t>
      </w: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本指导原则是</w:t>
      </w:r>
      <w:r>
        <w:rPr>
          <w:rFonts w:ascii="Times New Roman" w:eastAsia="仿宋_GB2312" w:hAnsi="Times New Roman" w:cs="Times New Roman" w:hint="eastAsia"/>
          <w:kern w:val="0"/>
          <w:sz w:val="32"/>
          <w:szCs w:val="32"/>
        </w:rPr>
        <w:t>供注册</w:t>
      </w:r>
      <w:r>
        <w:rPr>
          <w:rFonts w:ascii="Times New Roman" w:eastAsia="仿宋_GB2312" w:hAnsi="Times New Roman" w:cs="Times New Roman"/>
          <w:kern w:val="0"/>
          <w:sz w:val="32"/>
          <w:szCs w:val="32"/>
        </w:rPr>
        <w:t>申请人和</w:t>
      </w:r>
      <w:r>
        <w:rPr>
          <w:rFonts w:ascii="Times New Roman" w:eastAsia="仿宋_GB2312" w:hAnsi="Times New Roman" w:cs="Times New Roman" w:hint="eastAsia"/>
          <w:kern w:val="0"/>
          <w:sz w:val="32"/>
          <w:szCs w:val="32"/>
        </w:rPr>
        <w:t>技术审评</w:t>
      </w:r>
      <w:r>
        <w:rPr>
          <w:rFonts w:ascii="Times New Roman" w:eastAsia="仿宋_GB2312" w:hAnsi="Times New Roman" w:cs="Times New Roman"/>
          <w:kern w:val="0"/>
          <w:sz w:val="32"/>
          <w:szCs w:val="32"/>
        </w:rPr>
        <w:t>人员</w:t>
      </w:r>
      <w:r>
        <w:rPr>
          <w:rFonts w:ascii="Times New Roman" w:eastAsia="仿宋_GB2312" w:hAnsi="Times New Roman" w:cs="Times New Roman" w:hint="eastAsia"/>
          <w:kern w:val="0"/>
          <w:sz w:val="32"/>
          <w:szCs w:val="32"/>
        </w:rPr>
        <w:t>参考</w:t>
      </w:r>
      <w:r>
        <w:rPr>
          <w:rFonts w:ascii="Times New Roman" w:eastAsia="仿宋_GB2312" w:hAnsi="Times New Roman" w:cs="Times New Roman"/>
          <w:kern w:val="0"/>
          <w:sz w:val="32"/>
          <w:szCs w:val="32"/>
        </w:rPr>
        <w:t>使用的指导</w:t>
      </w:r>
      <w:r>
        <w:rPr>
          <w:rFonts w:ascii="Times New Roman" w:eastAsia="仿宋_GB2312" w:hAnsi="Times New Roman" w:cs="Times New Roman" w:hint="eastAsia"/>
          <w:kern w:val="0"/>
          <w:sz w:val="32"/>
          <w:szCs w:val="32"/>
        </w:rPr>
        <w:t>性</w:t>
      </w:r>
      <w:r>
        <w:rPr>
          <w:rFonts w:ascii="Times New Roman" w:eastAsia="仿宋_GB2312" w:hAnsi="Times New Roman" w:cs="Times New Roman"/>
          <w:kern w:val="0"/>
          <w:sz w:val="32"/>
          <w:szCs w:val="32"/>
        </w:rPr>
        <w:t>文件，</w:t>
      </w:r>
      <w:r>
        <w:rPr>
          <w:rFonts w:ascii="Times New Roman" w:eastAsia="仿宋_GB2312" w:hAnsi="Times New Roman" w:cs="Times New Roman" w:hint="eastAsia"/>
          <w:kern w:val="0"/>
          <w:sz w:val="32"/>
          <w:szCs w:val="32"/>
        </w:rPr>
        <w:t>但不包括注册审批所涉及的行政事项，</w:t>
      </w:r>
      <w:r>
        <w:rPr>
          <w:rFonts w:ascii="Times New Roman" w:eastAsia="仿宋_GB2312" w:hAnsi="Times New Roman" w:cs="Times New Roman" w:hint="eastAsia"/>
          <w:kern w:val="0"/>
          <w:sz w:val="32"/>
          <w:szCs w:val="32"/>
        </w:rPr>
        <w:t>亦</w:t>
      </w:r>
      <w:r>
        <w:rPr>
          <w:rFonts w:ascii="Times New Roman" w:eastAsia="仿宋_GB2312" w:hAnsi="Times New Roman" w:cs="Times New Roman" w:hint="eastAsia"/>
          <w:kern w:val="0"/>
          <w:sz w:val="32"/>
          <w:szCs w:val="32"/>
        </w:rPr>
        <w:t>不作为法规强制执行，</w:t>
      </w:r>
      <w:r>
        <w:rPr>
          <w:rFonts w:ascii="Times New Roman" w:eastAsia="仿宋_GB2312" w:hAnsi="Times New Roman" w:cs="Times New Roman"/>
          <w:kern w:val="0"/>
          <w:sz w:val="32"/>
          <w:szCs w:val="32"/>
        </w:rPr>
        <w:t>应在遵循相关法规的前提下使用本指导原则。如有能够满足</w:t>
      </w:r>
      <w:r>
        <w:rPr>
          <w:rFonts w:ascii="Times New Roman" w:eastAsia="仿宋_GB2312" w:hAnsi="Times New Roman" w:cs="Times New Roman" w:hint="eastAsia"/>
          <w:kern w:val="0"/>
          <w:sz w:val="32"/>
          <w:szCs w:val="32"/>
        </w:rPr>
        <w:t>相关</w:t>
      </w:r>
      <w:r>
        <w:rPr>
          <w:rFonts w:ascii="Times New Roman" w:eastAsia="仿宋_GB2312" w:hAnsi="Times New Roman" w:cs="Times New Roman"/>
          <w:kern w:val="0"/>
          <w:sz w:val="32"/>
          <w:szCs w:val="32"/>
        </w:rPr>
        <w:t>法规要求的其他方法，也可以采用，但应提供详细的研究资料和验证资料。</w:t>
      </w:r>
    </w:p>
    <w:p w:rsidR="004731F4" w:rsidRDefault="00BD1A23">
      <w:pPr>
        <w:spacing w:line="520" w:lineRule="exact"/>
        <w:ind w:firstLineChars="200" w:firstLine="640"/>
        <w:rPr>
          <w:rFonts w:ascii="Times New Roman" w:eastAsia="黑体" w:hAnsi="Times New Roman" w:cs="Times New Roman"/>
          <w:bCs/>
          <w:kern w:val="28"/>
          <w:sz w:val="32"/>
          <w:szCs w:val="32"/>
        </w:rPr>
      </w:pPr>
      <w:r>
        <w:rPr>
          <w:rFonts w:ascii="Times New Roman" w:eastAsia="仿宋_GB2312" w:hAnsi="Times New Roman" w:cs="Times New Roman"/>
          <w:kern w:val="0"/>
          <w:sz w:val="32"/>
          <w:szCs w:val="32"/>
        </w:rPr>
        <w:t>本指导原则是在现行法规和标准体系以及当前认知水平下制定的，随着法规和标准的不断更新与完善，以及科学技术的不断发展，相关内容也将适时进行调整。</w:t>
      </w:r>
    </w:p>
    <w:p w:rsidR="004731F4" w:rsidRDefault="00BD1A23">
      <w:pPr>
        <w:spacing w:line="520" w:lineRule="exact"/>
        <w:ind w:firstLineChars="200" w:firstLine="640"/>
        <w:rPr>
          <w:rFonts w:ascii="Times New Roman" w:eastAsia="黑体" w:hAnsi="Times New Roman" w:cs="Times New Roman"/>
          <w:bCs/>
          <w:kern w:val="28"/>
          <w:sz w:val="32"/>
          <w:szCs w:val="32"/>
        </w:rPr>
      </w:pPr>
      <w:r>
        <w:rPr>
          <w:rFonts w:ascii="Times New Roman" w:eastAsia="黑体" w:hAnsi="Times New Roman" w:cs="Times New Roman"/>
          <w:kern w:val="28"/>
          <w:sz w:val="32"/>
          <w:szCs w:val="32"/>
        </w:rPr>
        <w:t>一、适用范围</w:t>
      </w:r>
    </w:p>
    <w:p w:rsidR="004731F4" w:rsidRDefault="00BD1A23">
      <w:pPr>
        <w:spacing w:line="520" w:lineRule="exact"/>
        <w:ind w:firstLineChars="200" w:firstLine="640"/>
        <w:rPr>
          <w:rFonts w:ascii="仿宋_GB2312" w:eastAsia="仿宋_GB2312" w:hAnsi="仿宋_GB2312" w:cs="仿宋_GB2312"/>
          <w:spacing w:val="-1"/>
          <w:sz w:val="32"/>
          <w:szCs w:val="32"/>
        </w:rPr>
      </w:pPr>
      <w:r>
        <w:rPr>
          <w:rFonts w:ascii="仿宋_GB2312" w:eastAsia="仿宋_GB2312" w:hAnsi="仿宋_GB2312" w:cs="仿宋_GB2312" w:hint="eastAsia"/>
          <w:kern w:val="0"/>
          <w:sz w:val="32"/>
          <w:szCs w:val="32"/>
        </w:rPr>
        <w:t>本</w:t>
      </w:r>
      <w:r>
        <w:rPr>
          <w:rFonts w:ascii="仿宋_GB2312" w:eastAsia="仿宋_GB2312" w:hAnsi="仿宋_GB2312" w:cs="仿宋_GB2312" w:hint="eastAsia"/>
          <w:kern w:val="0"/>
          <w:sz w:val="32"/>
          <w:szCs w:val="32"/>
        </w:rPr>
        <w:t>审查指导原则</w:t>
      </w:r>
      <w:r>
        <w:rPr>
          <w:rFonts w:ascii="仿宋_GB2312" w:eastAsia="仿宋_GB2312" w:hAnsi="仿宋_GB2312" w:cs="仿宋_GB2312" w:hint="eastAsia"/>
          <w:kern w:val="0"/>
          <w:sz w:val="32"/>
          <w:szCs w:val="32"/>
        </w:rPr>
        <w:t>适用于采用增材制造（光固化</w:t>
      </w:r>
      <w:r>
        <w:rPr>
          <w:rFonts w:ascii="仿宋_GB2312" w:eastAsia="仿宋_GB2312" w:hAnsi="仿宋_GB2312" w:cs="仿宋_GB2312" w:hint="eastAsia"/>
          <w:kern w:val="0"/>
          <w:sz w:val="32"/>
          <w:szCs w:val="32"/>
        </w:rPr>
        <w:t>3D</w:t>
      </w:r>
      <w:r>
        <w:rPr>
          <w:rFonts w:ascii="仿宋_GB2312" w:eastAsia="仿宋_GB2312" w:hAnsi="仿宋_GB2312" w:cs="仿宋_GB2312" w:hint="eastAsia"/>
          <w:kern w:val="0"/>
          <w:sz w:val="32"/>
          <w:szCs w:val="32"/>
        </w:rPr>
        <w:t>打印技术）工艺制成的牙科</w:t>
      </w:r>
      <w:r>
        <w:rPr>
          <w:rFonts w:ascii="仿宋_GB2312" w:eastAsia="仿宋_GB2312" w:hAnsi="仿宋_GB2312" w:cs="仿宋_GB2312" w:hint="eastAsia"/>
          <w:kern w:val="0"/>
          <w:sz w:val="32"/>
          <w:szCs w:val="32"/>
        </w:rPr>
        <w:t>种植用导板</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牙科</w:t>
      </w:r>
      <w:r>
        <w:rPr>
          <w:rFonts w:ascii="仿宋_GB2312" w:eastAsia="仿宋_GB2312" w:hAnsi="仿宋_GB2312" w:cs="仿宋_GB2312" w:hint="eastAsia"/>
          <w:kern w:val="0"/>
          <w:sz w:val="32"/>
          <w:szCs w:val="32"/>
        </w:rPr>
        <w:t>种植用导板</w:t>
      </w:r>
      <w:r>
        <w:rPr>
          <w:rFonts w:ascii="仿宋_GB2312" w:eastAsia="仿宋_GB2312" w:hAnsi="仿宋_GB2312" w:cs="仿宋_GB2312" w:hint="eastAsia"/>
          <w:spacing w:val="-1"/>
          <w:sz w:val="32"/>
          <w:szCs w:val="32"/>
        </w:rPr>
        <w:t>由基板和导环组成</w:t>
      </w:r>
      <w:r>
        <w:rPr>
          <w:rFonts w:ascii="仿宋_GB2312" w:eastAsia="仿宋_GB2312" w:hAnsi="仿宋_GB2312" w:cs="仿宋_GB2312" w:hint="eastAsia"/>
          <w:spacing w:val="-1"/>
          <w:sz w:val="32"/>
          <w:szCs w:val="32"/>
        </w:rPr>
        <w:t>，</w:t>
      </w:r>
      <w:r>
        <w:rPr>
          <w:rFonts w:ascii="仿宋_GB2312" w:eastAsia="仿宋_GB2312" w:hAnsi="仿宋_GB2312" w:cs="仿宋_GB2312" w:hint="eastAsia"/>
          <w:spacing w:val="-1"/>
          <w:sz w:val="32"/>
          <w:szCs w:val="32"/>
        </w:rPr>
        <w:t>基板</w:t>
      </w:r>
      <w:r>
        <w:rPr>
          <w:rFonts w:ascii="仿宋_GB2312" w:eastAsia="仿宋_GB2312" w:hAnsi="仿宋_GB2312" w:cs="仿宋_GB2312" w:hint="eastAsia"/>
          <w:spacing w:val="-1"/>
          <w:sz w:val="32"/>
          <w:szCs w:val="32"/>
        </w:rPr>
        <w:t>一般</w:t>
      </w:r>
      <w:r>
        <w:rPr>
          <w:rFonts w:ascii="仿宋_GB2312" w:eastAsia="仿宋_GB2312" w:hAnsi="仿宋_GB2312" w:cs="仿宋_GB2312" w:hint="eastAsia"/>
          <w:spacing w:val="-1"/>
          <w:sz w:val="32"/>
          <w:szCs w:val="32"/>
        </w:rPr>
        <w:t>采用</w:t>
      </w:r>
      <w:r>
        <w:rPr>
          <w:rFonts w:ascii="仿宋_GB2312" w:eastAsia="仿宋_GB2312" w:hAnsi="仿宋_GB2312" w:cs="仿宋_GB2312" w:hint="eastAsia"/>
          <w:spacing w:val="-1"/>
          <w:sz w:val="32"/>
          <w:szCs w:val="32"/>
        </w:rPr>
        <w:t>环氧树脂、丙烯酸酯类聚合物等光敏树脂材料</w:t>
      </w:r>
      <w:r>
        <w:rPr>
          <w:rFonts w:ascii="仿宋_GB2312" w:eastAsia="仿宋_GB2312" w:hAnsi="仿宋_GB2312" w:cs="仿宋_GB2312" w:hint="eastAsia"/>
          <w:spacing w:val="-1"/>
          <w:sz w:val="32"/>
          <w:szCs w:val="32"/>
        </w:rPr>
        <w:t>经</w:t>
      </w:r>
      <w:r>
        <w:rPr>
          <w:rFonts w:ascii="仿宋_GB2312" w:eastAsia="仿宋_GB2312" w:hAnsi="仿宋_GB2312" w:cs="仿宋_GB2312" w:hint="eastAsia"/>
          <w:spacing w:val="-1"/>
          <w:sz w:val="32"/>
          <w:szCs w:val="32"/>
        </w:rPr>
        <w:t>增材制造</w:t>
      </w:r>
      <w:r>
        <w:rPr>
          <w:rFonts w:ascii="仿宋_GB2312" w:eastAsia="仿宋_GB2312" w:hAnsi="仿宋_GB2312" w:cs="仿宋_GB2312" w:hint="eastAsia"/>
          <w:spacing w:val="-1"/>
          <w:sz w:val="32"/>
          <w:szCs w:val="32"/>
        </w:rPr>
        <w:t>工艺制成</w:t>
      </w:r>
      <w:r>
        <w:rPr>
          <w:rFonts w:ascii="仿宋_GB2312" w:eastAsia="仿宋_GB2312" w:hAnsi="仿宋_GB2312" w:cs="仿宋_GB2312" w:hint="eastAsia"/>
          <w:spacing w:val="-1"/>
          <w:sz w:val="32"/>
          <w:szCs w:val="32"/>
        </w:rPr>
        <w:t>，</w:t>
      </w:r>
      <w:r>
        <w:rPr>
          <w:rFonts w:ascii="仿宋_GB2312" w:eastAsia="仿宋_GB2312" w:hAnsi="仿宋_GB2312" w:cs="仿宋_GB2312" w:hint="eastAsia"/>
          <w:spacing w:val="-1"/>
          <w:sz w:val="32"/>
          <w:szCs w:val="32"/>
        </w:rPr>
        <w:t>导环</w:t>
      </w:r>
      <w:r>
        <w:rPr>
          <w:rFonts w:ascii="仿宋_GB2312" w:eastAsia="仿宋_GB2312" w:hAnsi="仿宋_GB2312" w:cs="仿宋_GB2312" w:hint="eastAsia"/>
          <w:spacing w:val="-1"/>
          <w:sz w:val="32"/>
          <w:szCs w:val="32"/>
        </w:rPr>
        <w:t>一般</w:t>
      </w:r>
      <w:r>
        <w:rPr>
          <w:rFonts w:ascii="仿宋_GB2312" w:eastAsia="仿宋_GB2312" w:hAnsi="仿宋_GB2312" w:cs="仿宋_GB2312" w:hint="eastAsia"/>
          <w:spacing w:val="-1"/>
          <w:sz w:val="32"/>
          <w:szCs w:val="32"/>
        </w:rPr>
        <w:t>采用</w:t>
      </w:r>
      <w:r>
        <w:rPr>
          <w:rFonts w:ascii="仿宋_GB2312" w:eastAsia="仿宋_GB2312" w:hAnsi="仿宋_GB2312" w:cs="仿宋_GB2312" w:hint="eastAsia"/>
          <w:spacing w:val="-1"/>
          <w:sz w:val="32"/>
          <w:szCs w:val="32"/>
        </w:rPr>
        <w:t>钛合金、不锈钢等</w:t>
      </w:r>
      <w:r>
        <w:rPr>
          <w:rFonts w:ascii="仿宋_GB2312" w:eastAsia="仿宋_GB2312" w:hAnsi="仿宋_GB2312" w:cs="仿宋_GB2312" w:hint="eastAsia"/>
          <w:spacing w:val="-1"/>
          <w:sz w:val="32"/>
          <w:szCs w:val="32"/>
        </w:rPr>
        <w:lastRenderedPageBreak/>
        <w:t>金属材料制成。非无菌提供，一次性使用。</w:t>
      </w:r>
    </w:p>
    <w:p w:rsidR="004731F4" w:rsidRDefault="00BD1A23">
      <w:pPr>
        <w:spacing w:line="520" w:lineRule="exact"/>
        <w:ind w:firstLineChars="200" w:firstLine="640"/>
        <w:rPr>
          <w:rFonts w:ascii="Times New Roman" w:eastAsia="仿宋_GB2312" w:hAnsi="Times New Roman" w:cs="Times New Roman"/>
          <w:spacing w:val="-1"/>
          <w:sz w:val="32"/>
          <w:szCs w:val="32"/>
        </w:rPr>
      </w:pPr>
      <w:r>
        <w:rPr>
          <w:rFonts w:ascii="仿宋_GB2312" w:eastAsia="仿宋_GB2312" w:hAnsi="仿宋_GB2312" w:cs="仿宋_GB2312" w:hint="eastAsia"/>
          <w:kern w:val="0"/>
          <w:sz w:val="32"/>
          <w:szCs w:val="32"/>
        </w:rPr>
        <w:t>采用其他工艺制作的</w:t>
      </w:r>
      <w:r>
        <w:rPr>
          <w:rFonts w:ascii="仿宋_GB2312" w:eastAsia="仿宋_GB2312" w:hAnsi="仿宋_GB2312" w:cs="仿宋_GB2312" w:hint="eastAsia"/>
          <w:kern w:val="0"/>
          <w:sz w:val="32"/>
          <w:szCs w:val="32"/>
        </w:rPr>
        <w:t>牙科种植用导板</w:t>
      </w:r>
      <w:r>
        <w:rPr>
          <w:rFonts w:ascii="仿宋_GB2312" w:eastAsia="仿宋_GB2312" w:hAnsi="仿宋_GB2312" w:cs="仿宋_GB2312" w:hint="eastAsia"/>
          <w:kern w:val="0"/>
          <w:sz w:val="32"/>
          <w:szCs w:val="32"/>
        </w:rPr>
        <w:t>不属于本指导原则的范围，注册申请人可根据产品的具体设计原理、结构组成特征及应用技术，参照本指导原则中适用的内容</w:t>
      </w:r>
      <w:r>
        <w:rPr>
          <w:rFonts w:ascii="仿宋_GB2312" w:eastAsia="仿宋_GB2312" w:hAnsi="仿宋_GB2312" w:cs="仿宋_GB2312" w:hint="eastAsia"/>
          <w:kern w:val="0"/>
          <w:sz w:val="32"/>
          <w:szCs w:val="32"/>
        </w:rPr>
        <w:t>。</w:t>
      </w:r>
    </w:p>
    <w:p w:rsidR="004731F4" w:rsidRDefault="00BD1A23">
      <w:pPr>
        <w:spacing w:line="520" w:lineRule="exact"/>
        <w:ind w:firstLineChars="200" w:firstLine="640"/>
        <w:rPr>
          <w:rFonts w:ascii="Times New Roman" w:eastAsia="黑体" w:hAnsi="Times New Roman" w:cs="Times New Roman"/>
          <w:kern w:val="28"/>
          <w:sz w:val="32"/>
          <w:szCs w:val="32"/>
        </w:rPr>
      </w:pPr>
      <w:r>
        <w:rPr>
          <w:rFonts w:ascii="Times New Roman" w:eastAsia="黑体" w:hAnsi="Times New Roman" w:cs="Times New Roman" w:hint="eastAsia"/>
          <w:kern w:val="28"/>
          <w:sz w:val="32"/>
          <w:szCs w:val="32"/>
        </w:rPr>
        <w:t>二、</w:t>
      </w:r>
      <w:r>
        <w:rPr>
          <w:rFonts w:ascii="Times New Roman" w:eastAsia="黑体" w:hAnsi="Times New Roman" w:cs="Times New Roman"/>
          <w:kern w:val="28"/>
          <w:sz w:val="32"/>
          <w:szCs w:val="32"/>
        </w:rPr>
        <w:t>注册审查要点</w:t>
      </w:r>
    </w:p>
    <w:p w:rsidR="004731F4" w:rsidRDefault="00BD1A23">
      <w:pPr>
        <w:spacing w:line="520" w:lineRule="exact"/>
        <w:ind w:firstLineChars="200" w:firstLine="640"/>
        <w:rPr>
          <w:rFonts w:ascii="Times New Roman" w:eastAsia="楷体_GB2312" w:hAnsi="Times New Roman" w:cs="Times New Roman"/>
          <w:sz w:val="32"/>
          <w:szCs w:val="32"/>
        </w:rPr>
      </w:pPr>
      <w:r>
        <w:rPr>
          <w:rFonts w:ascii="Times New Roman" w:eastAsia="楷体_GB2312" w:hAnsi="Times New Roman" w:cs="Times New Roman" w:hint="eastAsia"/>
          <w:sz w:val="32"/>
          <w:szCs w:val="32"/>
        </w:rPr>
        <w:t>（一）产品设计开发</w:t>
      </w:r>
    </w:p>
    <w:p w:rsidR="004731F4" w:rsidRDefault="00BD1A23">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牙科种植用导板</w:t>
      </w:r>
      <w:r>
        <w:rPr>
          <w:rFonts w:ascii="Times New Roman" w:eastAsia="仿宋_GB2312" w:hAnsi="Times New Roman" w:hint="eastAsia"/>
          <w:sz w:val="32"/>
          <w:szCs w:val="32"/>
        </w:rPr>
        <w:t>产品设计开发应以临床为导向，应能保证其用于</w:t>
      </w:r>
      <w:r>
        <w:rPr>
          <w:rFonts w:ascii="Times New Roman" w:eastAsia="仿宋_GB2312" w:hAnsi="Times New Roman" w:hint="eastAsia"/>
          <w:sz w:val="32"/>
          <w:szCs w:val="32"/>
        </w:rPr>
        <w:t>牙科种植手术</w:t>
      </w:r>
      <w:r>
        <w:rPr>
          <w:rFonts w:ascii="Times New Roman" w:eastAsia="仿宋_GB2312" w:hAnsi="Times New Roman" w:hint="eastAsia"/>
          <w:sz w:val="32"/>
          <w:szCs w:val="32"/>
        </w:rPr>
        <w:t>的安全和有效。产品设计开发和生产过程应保证产生的析出物</w:t>
      </w:r>
      <w:r>
        <w:rPr>
          <w:rFonts w:ascii="Times New Roman" w:eastAsia="仿宋_GB2312" w:hAnsi="Times New Roman" w:hint="eastAsia"/>
          <w:sz w:val="32"/>
          <w:szCs w:val="32"/>
        </w:rPr>
        <w:t>、</w:t>
      </w:r>
      <w:r>
        <w:rPr>
          <w:rFonts w:ascii="Times New Roman" w:eastAsia="仿宋_GB2312" w:hAnsi="Times New Roman" w:hint="eastAsia"/>
          <w:sz w:val="32"/>
          <w:szCs w:val="32"/>
        </w:rPr>
        <w:t>加工残留物等降低到可接受水平，为患者提供最大程度的安全保障。产品设计开发应考虑医疗器械可用性工程的要求，以降低与正确使用或错误使用有关的，由可用性问题产生的风险</w:t>
      </w:r>
      <w:r>
        <w:rPr>
          <w:rFonts w:ascii="Times New Roman" w:eastAsia="仿宋_GB2312" w:hAnsi="Times New Roman" w:hint="eastAsia"/>
          <w:sz w:val="32"/>
          <w:szCs w:val="32"/>
        </w:rPr>
        <w:t>。</w:t>
      </w:r>
    </w:p>
    <w:p w:rsidR="004731F4" w:rsidRDefault="00BD1A23">
      <w:pPr>
        <w:spacing w:line="520" w:lineRule="exact"/>
        <w:ind w:firstLineChars="200" w:firstLine="640"/>
        <w:rPr>
          <w:rFonts w:ascii="Times New Roman" w:eastAsia="楷体_GB2312" w:hAnsi="Times New Roman" w:cs="Times New Roman"/>
          <w:sz w:val="32"/>
          <w:szCs w:val="32"/>
        </w:rPr>
      </w:pPr>
      <w:r>
        <w:rPr>
          <w:rFonts w:ascii="Times New Roman" w:eastAsia="楷体_GB2312" w:hAnsi="Times New Roman" w:cs="Times New Roman" w:hint="eastAsia"/>
          <w:sz w:val="32"/>
          <w:szCs w:val="32"/>
        </w:rPr>
        <w:t>（</w:t>
      </w:r>
      <w:r>
        <w:rPr>
          <w:rFonts w:ascii="Times New Roman" w:eastAsia="楷体_GB2312" w:hAnsi="Times New Roman" w:cs="Times New Roman" w:hint="eastAsia"/>
          <w:sz w:val="32"/>
          <w:szCs w:val="32"/>
        </w:rPr>
        <w:t>二</w:t>
      </w:r>
      <w:r>
        <w:rPr>
          <w:rFonts w:ascii="Times New Roman" w:eastAsia="楷体_GB2312" w:hAnsi="Times New Roman" w:cs="Times New Roman" w:hint="eastAsia"/>
          <w:sz w:val="32"/>
          <w:szCs w:val="32"/>
        </w:rPr>
        <w:t>）</w:t>
      </w:r>
      <w:r>
        <w:rPr>
          <w:rFonts w:ascii="Times New Roman" w:eastAsia="楷体_GB2312" w:hAnsi="Times New Roman" w:cs="Times New Roman"/>
          <w:sz w:val="32"/>
          <w:szCs w:val="32"/>
        </w:rPr>
        <w:t>监管信息</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产品名称</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产品的命名需采用国家标准、行业标准中的通用名称，或以产品临床预期用途、适用部位为依据命名</w:t>
      </w:r>
      <w:r>
        <w:rPr>
          <w:rFonts w:ascii="仿宋_GB2312" w:eastAsia="仿宋_GB2312" w:hAnsi="仿宋_GB2312" w:cs="仿宋_GB2312" w:hint="eastAsia"/>
          <w:sz w:val="32"/>
          <w:szCs w:val="32"/>
        </w:rPr>
        <w:t>，需</w:t>
      </w:r>
      <w:r>
        <w:rPr>
          <w:rFonts w:ascii="仿宋_GB2312" w:eastAsia="仿宋_GB2312" w:hAnsi="仿宋_GB2312" w:cs="仿宋_GB2312" w:hint="eastAsia"/>
          <w:sz w:val="32"/>
          <w:szCs w:val="32"/>
        </w:rPr>
        <w:t>符合《医疗器械通用名称命名规则》《医疗器械通用名称命名指导原则》</w:t>
      </w:r>
      <w:r>
        <w:rPr>
          <w:rFonts w:ascii="仿宋_GB2312" w:eastAsia="仿宋_GB2312" w:hAnsi="仿宋_GB2312" w:cs="仿宋_GB2312" w:hint="eastAsia"/>
          <w:sz w:val="32"/>
          <w:szCs w:val="32"/>
        </w:rPr>
        <w:t>《口腔科器械通用名称命名指导原则》等相关法规</w:t>
      </w:r>
      <w:r>
        <w:rPr>
          <w:rFonts w:ascii="仿宋_GB2312" w:eastAsia="仿宋_GB2312" w:hAnsi="仿宋_GB2312" w:cs="仿宋_GB2312" w:hint="eastAsia"/>
          <w:sz w:val="32"/>
          <w:szCs w:val="32"/>
        </w:rPr>
        <w:t>的要求</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由一个核心词和一般不超过三个特征词组成。命名举例：牙科种植用导板、定制式牙科种植用导板。</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分类编码</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根据《医疗器械分类目录》，通过增材制造技术</w:t>
      </w:r>
      <w:r>
        <w:rPr>
          <w:rFonts w:ascii="仿宋_GB2312" w:eastAsia="仿宋_GB2312" w:hAnsi="仿宋_GB2312" w:cs="仿宋_GB2312" w:hint="eastAsia"/>
          <w:sz w:val="32"/>
          <w:szCs w:val="32"/>
        </w:rPr>
        <w:t>制成的牙科</w:t>
      </w:r>
      <w:r>
        <w:rPr>
          <w:rFonts w:ascii="仿宋_GB2312" w:eastAsia="仿宋_GB2312" w:hAnsi="仿宋_GB2312" w:cs="仿宋_GB2312" w:hint="eastAsia"/>
          <w:sz w:val="32"/>
          <w:szCs w:val="32"/>
        </w:rPr>
        <w:t>种植用导板</w:t>
      </w:r>
      <w:r>
        <w:rPr>
          <w:rFonts w:ascii="仿宋_GB2312" w:eastAsia="仿宋_GB2312" w:hAnsi="仿宋_GB2312" w:cs="仿宋_GB2312" w:hint="eastAsia"/>
          <w:sz w:val="32"/>
          <w:szCs w:val="32"/>
        </w:rPr>
        <w:t>按第</w:t>
      </w:r>
      <w:r>
        <w:rPr>
          <w:rFonts w:ascii="仿宋_GB2312" w:eastAsia="仿宋_GB2312" w:hAnsi="仿宋_GB2312" w:cs="仿宋_GB2312" w:hint="eastAsia"/>
          <w:sz w:val="32"/>
          <w:szCs w:val="32"/>
        </w:rPr>
        <w:t>Ⅱ类</w:t>
      </w:r>
      <w:r>
        <w:rPr>
          <w:rFonts w:ascii="仿宋_GB2312" w:eastAsia="仿宋_GB2312" w:hAnsi="仿宋_GB2312" w:cs="仿宋_GB2312" w:hint="eastAsia"/>
          <w:sz w:val="32"/>
          <w:szCs w:val="32"/>
        </w:rPr>
        <w:t>医疗器械</w:t>
      </w:r>
      <w:r>
        <w:rPr>
          <w:rFonts w:ascii="仿宋_GB2312" w:eastAsia="仿宋_GB2312" w:hAnsi="仿宋_GB2312" w:cs="仿宋_GB2312" w:hint="eastAsia"/>
          <w:sz w:val="32"/>
          <w:szCs w:val="32"/>
        </w:rPr>
        <w:t>管理，分类编码为</w:t>
      </w:r>
      <w:r>
        <w:rPr>
          <w:rFonts w:ascii="仿宋_GB2312" w:eastAsia="仿宋_GB2312" w:hAnsi="仿宋_GB2312" w:cs="仿宋_GB2312" w:hint="eastAsia"/>
          <w:sz w:val="32"/>
          <w:szCs w:val="32"/>
        </w:rPr>
        <w:t>17-08</w:t>
      </w:r>
      <w:r>
        <w:rPr>
          <w:rFonts w:ascii="仿宋_GB2312" w:eastAsia="仿宋_GB2312" w:hAnsi="仿宋_GB2312" w:cs="仿宋_GB2312" w:hint="eastAsia"/>
          <w:sz w:val="32"/>
          <w:szCs w:val="32"/>
        </w:rPr>
        <w:t>-05</w:t>
      </w:r>
      <w:r>
        <w:rPr>
          <w:rFonts w:ascii="仿宋_GB2312" w:eastAsia="仿宋_GB2312" w:hAnsi="仿宋_GB2312" w:cs="仿宋_GB2312" w:hint="eastAsia"/>
          <w:sz w:val="32"/>
          <w:szCs w:val="32"/>
        </w:rPr>
        <w:t>。</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注册单元划分的原</w:t>
      </w:r>
      <w:r>
        <w:rPr>
          <w:rFonts w:ascii="仿宋_GB2312" w:eastAsia="仿宋_GB2312" w:hAnsi="仿宋_GB2312" w:cs="仿宋_GB2312" w:hint="eastAsia"/>
          <w:sz w:val="32"/>
          <w:szCs w:val="32"/>
        </w:rPr>
        <w:t>则</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产品注册单元的划分需符合《医疗器械注册单元划分指导原则》的要求。医疗器械产品的注册单元原则上以技术原理、结构组成、性能指标和适用范围为划分依据。</w:t>
      </w:r>
      <w:r>
        <w:rPr>
          <w:rFonts w:ascii="仿宋_GB2312" w:eastAsia="仿宋_GB2312" w:hAnsi="仿宋_GB2312" w:cs="仿宋_GB2312" w:hint="eastAsia"/>
          <w:sz w:val="32"/>
          <w:szCs w:val="32"/>
        </w:rPr>
        <w:t>主要化学成分不同</w:t>
      </w:r>
      <w:r>
        <w:rPr>
          <w:rFonts w:ascii="仿宋_GB2312" w:eastAsia="仿宋_GB2312" w:hAnsi="仿宋_GB2312" w:cs="仿宋_GB2312" w:hint="eastAsia"/>
          <w:sz w:val="32"/>
          <w:szCs w:val="32"/>
        </w:rPr>
        <w:t>而导致产品性能指标不同时</w:t>
      </w:r>
      <w:r>
        <w:rPr>
          <w:rFonts w:ascii="仿宋_GB2312" w:eastAsia="仿宋_GB2312" w:hAnsi="仿宋_GB2312" w:cs="仿宋_GB2312" w:hint="eastAsia"/>
          <w:sz w:val="32"/>
          <w:szCs w:val="32"/>
        </w:rPr>
        <w:t>，建议划分为不同的注册单元。仅导环材质不同的产品可作为同一注册单元申报。</w:t>
      </w:r>
    </w:p>
    <w:p w:rsidR="004731F4" w:rsidRDefault="00BD1A23">
      <w:pPr>
        <w:spacing w:line="520" w:lineRule="exact"/>
        <w:ind w:firstLineChars="200" w:firstLine="640"/>
        <w:rPr>
          <w:rFonts w:ascii="仿宋_GB2312" w:eastAsia="仿宋_GB2312" w:hAnsi="仿宋_GB2312" w:cs="仿宋_GB2312"/>
          <w:spacing w:val="-1"/>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sz w:val="32"/>
          <w:szCs w:val="32"/>
        </w:rPr>
        <w:t>.</w:t>
      </w:r>
      <w:r>
        <w:rPr>
          <w:rFonts w:ascii="仿宋_GB2312" w:eastAsia="仿宋_GB2312" w:hAnsi="仿宋_GB2312" w:cs="仿宋_GB2312"/>
          <w:spacing w:val="-1"/>
          <w:sz w:val="32"/>
          <w:szCs w:val="32"/>
        </w:rPr>
        <w:t>产品列表</w:t>
      </w:r>
    </w:p>
    <w:p w:rsidR="004731F4" w:rsidRDefault="00BD1A23">
      <w:pPr>
        <w:spacing w:line="520" w:lineRule="exact"/>
        <w:ind w:firstLineChars="200" w:firstLine="636"/>
        <w:rPr>
          <w:rFonts w:ascii="仿宋_GB2312" w:eastAsia="仿宋_GB2312" w:hAnsi="仿宋_GB2312" w:cs="仿宋_GB2312"/>
          <w:spacing w:val="-1"/>
          <w:sz w:val="32"/>
          <w:szCs w:val="32"/>
        </w:rPr>
      </w:pPr>
      <w:r>
        <w:rPr>
          <w:rFonts w:ascii="仿宋_GB2312" w:eastAsia="仿宋_GB2312" w:hAnsi="仿宋_GB2312" w:cs="仿宋_GB2312"/>
          <w:spacing w:val="-1"/>
          <w:sz w:val="32"/>
          <w:szCs w:val="32"/>
        </w:rPr>
        <w:t>明确申报产品型号规格的表述方式，明确型号规格的划分原则。对于存在多种型号规格的产品，需明确各型号规格的区别。采用对比表或带有说明性文字的图片、图表，描述各种型号规格的结构组成、功能、产品特征、技术参数等内容。</w:t>
      </w:r>
    </w:p>
    <w:p w:rsidR="004731F4" w:rsidRDefault="00BD1A23">
      <w:pPr>
        <w:spacing w:line="520" w:lineRule="exact"/>
        <w:ind w:firstLineChars="200" w:firstLine="640"/>
        <w:rPr>
          <w:rFonts w:ascii="Times New Roman" w:eastAsia="楷体_GB2312" w:hAnsi="Times New Roman" w:cs="Times New Roman"/>
          <w:sz w:val="32"/>
          <w:szCs w:val="32"/>
        </w:rPr>
      </w:pPr>
      <w:r>
        <w:rPr>
          <w:rFonts w:ascii="Times New Roman" w:eastAsia="楷体_GB2312" w:hAnsi="Times New Roman" w:cs="Times New Roman"/>
          <w:sz w:val="32"/>
          <w:szCs w:val="32"/>
        </w:rPr>
        <w:t>（</w:t>
      </w:r>
      <w:r>
        <w:rPr>
          <w:rFonts w:ascii="Times New Roman" w:eastAsia="楷体_GB2312" w:hAnsi="Times New Roman" w:cs="Times New Roman" w:hint="eastAsia"/>
          <w:sz w:val="32"/>
          <w:szCs w:val="32"/>
        </w:rPr>
        <w:t>三</w:t>
      </w:r>
      <w:r>
        <w:rPr>
          <w:rFonts w:ascii="Times New Roman" w:eastAsia="楷体_GB2312" w:hAnsi="Times New Roman" w:cs="Times New Roman"/>
          <w:sz w:val="32"/>
          <w:szCs w:val="32"/>
        </w:rPr>
        <w:t>）综述资料</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器械及操作原理描述</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产品工作原理</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基于影像学、口腔模型等种植术前诊断数据，采用计算机辅助设计软件进行三维重建，依据种植临床需求和手术规划在医工交互下进行设计，以增材制造技术制成牙科种植用导板，用于牙科种植手术操作中，辅助指导种植体植入位点、角度和深度，提高种植体植入的准确度。</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kern w:val="0"/>
          <w:sz w:val="32"/>
          <w:szCs w:val="32"/>
        </w:rPr>
        <w:t>明确产品的起始物质，列明产品生产过程中由起始物质至终产品加工过程中所需全部材料，包括：原材料的化学名称、</w:t>
      </w:r>
      <w:r>
        <w:rPr>
          <w:rFonts w:ascii="仿宋_GB2312" w:eastAsia="仿宋_GB2312" w:hAnsi="仿宋_GB2312" w:cs="仿宋_GB2312" w:hint="eastAsia"/>
          <w:kern w:val="0"/>
          <w:sz w:val="32"/>
          <w:szCs w:val="32"/>
        </w:rPr>
        <w:t>CAS</w:t>
      </w:r>
      <w:r>
        <w:rPr>
          <w:rFonts w:ascii="仿宋_GB2312" w:eastAsia="仿宋_GB2312" w:hAnsi="仿宋_GB2312" w:cs="仿宋_GB2312" w:hint="eastAsia"/>
          <w:kern w:val="0"/>
          <w:sz w:val="32"/>
          <w:szCs w:val="32"/>
        </w:rPr>
        <w:t>号、化学结构式</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分子式、分子量及其分布、使用量或组成比例、金属牌号、供应商、符合的标准（若有）和申请人的验收标准及相关的安全性评价报告，建议以列表的形式提供</w:t>
      </w:r>
      <w:r>
        <w:rPr>
          <w:rFonts w:ascii="仿宋_GB2312" w:eastAsia="仿宋_GB2312" w:hAnsi="仿宋_GB2312" w:cs="仿宋_GB2312" w:hint="eastAsia"/>
          <w:sz w:val="32"/>
          <w:szCs w:val="32"/>
        </w:rPr>
        <w:t>。</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产品适用范围及禁忌证</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2.1</w:t>
      </w:r>
      <w:r>
        <w:rPr>
          <w:rFonts w:ascii="仿宋_GB2312" w:eastAsia="仿宋_GB2312" w:hAnsi="仿宋_GB2312" w:cs="仿宋_GB2312" w:hint="eastAsia"/>
          <w:sz w:val="32"/>
          <w:szCs w:val="32"/>
        </w:rPr>
        <w:t>适用范围：用于牙科种植手术中种植体的定位、导向等，从而辅助安装种植体。</w:t>
      </w:r>
    </w:p>
    <w:p w:rsidR="004731F4" w:rsidRDefault="00BD1A23">
      <w:pPr>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2.2</w:t>
      </w:r>
      <w:r>
        <w:rPr>
          <w:rFonts w:ascii="仿宋_GB2312" w:eastAsia="仿宋_GB2312" w:hAnsi="仿宋_GB2312" w:cs="仿宋_GB2312"/>
          <w:sz w:val="32"/>
          <w:szCs w:val="32"/>
        </w:rPr>
        <w:t>预期使用环境</w:t>
      </w:r>
    </w:p>
    <w:p w:rsidR="004731F4" w:rsidRDefault="00BD1A23">
      <w:pPr>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明确预期使用的地点（如医疗机构），说明可能影响其安全性和有效性的环境条件。</w:t>
      </w:r>
    </w:p>
    <w:p w:rsidR="004731F4" w:rsidRDefault="00BD1A23">
      <w:pPr>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2.3</w:t>
      </w:r>
      <w:r>
        <w:rPr>
          <w:rFonts w:ascii="仿宋_GB2312" w:eastAsia="仿宋_GB2312" w:hAnsi="仿宋_GB2312" w:cs="仿宋_GB2312"/>
          <w:sz w:val="32"/>
          <w:szCs w:val="32"/>
        </w:rPr>
        <w:t>适用人群</w:t>
      </w:r>
    </w:p>
    <w:p w:rsidR="004731F4" w:rsidRDefault="00BD1A23">
      <w:pPr>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明确目标患者人群信息、患者选择标准信息以及明确使用过程中需要考虑的因素。</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禁忌证：通过风险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受益评估后，针对某些疾病、情况或特定的人群，认为不推荐使用该产品，应当明确说明，如对产品成分过敏人群、严重张口受限患者等。</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型号规格</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可根据不同固位方式划分型号规格，如</w:t>
      </w:r>
      <w:r>
        <w:rPr>
          <w:rFonts w:ascii="仿宋_GB2312" w:eastAsia="仿宋_GB2312" w:hAnsi="仿宋_GB2312" w:cs="仿宋_GB2312"/>
          <w:sz w:val="32"/>
          <w:szCs w:val="32"/>
        </w:rPr>
        <w:t>牙支持式种植导板、黏膜支持式种植导板、骨支持式种植导板、混合支持式种植导板</w:t>
      </w:r>
      <w:r>
        <w:rPr>
          <w:rFonts w:ascii="仿宋_GB2312" w:eastAsia="仿宋_GB2312" w:hAnsi="仿宋_GB2312" w:cs="仿宋_GB2312" w:hint="eastAsia"/>
          <w:sz w:val="32"/>
          <w:szCs w:val="32"/>
        </w:rPr>
        <w:t>（各型号规格产品示意图详见图</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。需采用对比表及带有说明性文字的图片、图表，对各种型号规格的结构组成、功能、产品特征等方面加以描述。</w:t>
      </w:r>
    </w:p>
    <w:p w:rsidR="004731F4" w:rsidRDefault="00BD1A23">
      <w:pPr>
        <w:jc w:val="center"/>
        <w:rPr>
          <w:rFonts w:ascii="仿宋_GB2312" w:eastAsia="仿宋_GB2312" w:hAnsi="仿宋_GB2312" w:cs="仿宋_GB2312"/>
          <w:sz w:val="32"/>
          <w:szCs w:val="32"/>
        </w:rPr>
      </w:pPr>
      <w:r>
        <w:rPr>
          <w:rFonts w:ascii="仿宋_GB2312" w:eastAsia="仿宋_GB2312" w:hAnsi="仿宋_GB2312" w:cs="仿宋_GB2312" w:hint="eastAsia"/>
          <w:noProof/>
          <w:sz w:val="32"/>
          <w:szCs w:val="32"/>
        </w:rPr>
        <w:lastRenderedPageBreak/>
        <w:drawing>
          <wp:inline distT="0" distB="0" distL="114300" distR="114300">
            <wp:extent cx="4316095" cy="2936240"/>
            <wp:effectExtent l="0" t="0" r="8255" b="16510"/>
            <wp:docPr id="4" name="图片 4" descr="69-牙支持式种植导板【黑格】-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9-牙支持式种植导板【黑格】-5"/>
                    <pic:cNvPicPr>
                      <a:picLocks noChangeAspect="1"/>
                    </pic:cNvPicPr>
                  </pic:nvPicPr>
                  <pic:blipFill>
                    <a:blip r:embed="rId6"/>
                    <a:srcRect l="10152" t="12088" r="7897" b="13583"/>
                    <a:stretch>
                      <a:fillRect/>
                    </a:stretch>
                  </pic:blipFill>
                  <pic:spPr>
                    <a:xfrm>
                      <a:off x="0" y="0"/>
                      <a:ext cx="4316095" cy="2936240"/>
                    </a:xfrm>
                    <a:prstGeom prst="rect">
                      <a:avLst/>
                    </a:prstGeom>
                  </pic:spPr>
                </pic:pic>
              </a:graphicData>
            </a:graphic>
          </wp:inline>
        </w:drawing>
      </w:r>
    </w:p>
    <w:p w:rsidR="004731F4" w:rsidRDefault="00BD1A23">
      <w:pPr>
        <w:jc w:val="center"/>
        <w:rPr>
          <w:rFonts w:ascii="仿宋_GB2312" w:eastAsia="仿宋_GB2312" w:hAnsi="仿宋_GB2312" w:cs="仿宋_GB2312"/>
          <w:sz w:val="32"/>
          <w:szCs w:val="32"/>
        </w:rPr>
      </w:pPr>
      <w:r>
        <w:rPr>
          <w:rFonts w:ascii="黑体" w:eastAsia="黑体" w:hAnsi="黑体" w:cs="黑体" w:hint="eastAsia"/>
          <w:sz w:val="28"/>
          <w:szCs w:val="28"/>
        </w:rPr>
        <w:t>图</w:t>
      </w:r>
      <w:r>
        <w:rPr>
          <w:rFonts w:ascii="黑体" w:eastAsia="黑体" w:hAnsi="黑体" w:cs="黑体" w:hint="eastAsia"/>
          <w:sz w:val="28"/>
          <w:szCs w:val="28"/>
        </w:rPr>
        <w:t>1</w:t>
      </w:r>
      <w:r>
        <w:rPr>
          <w:rFonts w:ascii="黑体" w:eastAsia="黑体" w:hAnsi="黑体" w:cs="黑体" w:hint="eastAsia"/>
          <w:sz w:val="28"/>
          <w:szCs w:val="28"/>
        </w:rPr>
        <w:t>：牙支持式种植导板示</w:t>
      </w:r>
      <w:r>
        <w:rPr>
          <w:rFonts w:ascii="黑体" w:eastAsia="黑体" w:hAnsi="黑体" w:cs="黑体" w:hint="eastAsia"/>
          <w:sz w:val="28"/>
          <w:szCs w:val="28"/>
        </w:rPr>
        <w:t>意图</w:t>
      </w:r>
    </w:p>
    <w:p w:rsidR="004731F4" w:rsidRDefault="00BD1A23">
      <w:pPr>
        <w:jc w:val="center"/>
        <w:rPr>
          <w:rFonts w:ascii="仿宋_GB2312" w:eastAsia="仿宋_GB2312" w:hAnsi="仿宋_GB2312" w:cs="仿宋_GB2312"/>
          <w:sz w:val="32"/>
          <w:szCs w:val="32"/>
        </w:rPr>
      </w:pPr>
      <w:r>
        <w:rPr>
          <w:rFonts w:ascii="仿宋_GB2312" w:eastAsia="仿宋_GB2312" w:hAnsi="仿宋_GB2312" w:cs="仿宋_GB2312"/>
          <w:noProof/>
          <w:sz w:val="32"/>
          <w:szCs w:val="32"/>
        </w:rPr>
        <w:drawing>
          <wp:inline distT="0" distB="0" distL="114300" distR="114300">
            <wp:extent cx="4237990" cy="2979420"/>
            <wp:effectExtent l="0" t="0" r="10160" b="11430"/>
            <wp:docPr id="6" name="图片 6" descr="60-黏膜支持式种植导板【璨美】-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0-黏膜支持式种植导板【璨美】-3"/>
                    <pic:cNvPicPr>
                      <a:picLocks noChangeAspect="1"/>
                    </pic:cNvPicPr>
                  </pic:nvPicPr>
                  <pic:blipFill>
                    <a:blip r:embed="rId7"/>
                    <a:srcRect l="15088" t="12798" r="8393" b="15459"/>
                    <a:stretch>
                      <a:fillRect/>
                    </a:stretch>
                  </pic:blipFill>
                  <pic:spPr>
                    <a:xfrm>
                      <a:off x="0" y="0"/>
                      <a:ext cx="4237990" cy="2979420"/>
                    </a:xfrm>
                    <a:prstGeom prst="rect">
                      <a:avLst/>
                    </a:prstGeom>
                  </pic:spPr>
                </pic:pic>
              </a:graphicData>
            </a:graphic>
          </wp:inline>
        </w:drawing>
      </w:r>
    </w:p>
    <w:p w:rsidR="004731F4" w:rsidRDefault="00BD1A23">
      <w:pPr>
        <w:jc w:val="center"/>
        <w:rPr>
          <w:rFonts w:ascii="黑体" w:eastAsia="黑体" w:hAnsi="黑体" w:cs="黑体"/>
          <w:sz w:val="28"/>
          <w:szCs w:val="28"/>
        </w:rPr>
      </w:pPr>
      <w:r>
        <w:rPr>
          <w:rFonts w:ascii="黑体" w:eastAsia="黑体" w:hAnsi="黑体" w:cs="黑体" w:hint="eastAsia"/>
          <w:sz w:val="28"/>
          <w:szCs w:val="28"/>
        </w:rPr>
        <w:t>图</w:t>
      </w:r>
      <w:r>
        <w:rPr>
          <w:rFonts w:ascii="黑体" w:eastAsia="黑体" w:hAnsi="黑体" w:cs="黑体" w:hint="eastAsia"/>
          <w:sz w:val="28"/>
          <w:szCs w:val="28"/>
        </w:rPr>
        <w:t>2</w:t>
      </w:r>
      <w:r>
        <w:rPr>
          <w:rFonts w:ascii="黑体" w:eastAsia="黑体" w:hAnsi="黑体" w:cs="黑体" w:hint="eastAsia"/>
          <w:sz w:val="28"/>
          <w:szCs w:val="28"/>
        </w:rPr>
        <w:t>：黏膜支持式种植导板示意图</w:t>
      </w:r>
    </w:p>
    <w:p w:rsidR="004731F4" w:rsidRDefault="00BD1A23">
      <w:pPr>
        <w:jc w:val="center"/>
        <w:rPr>
          <w:rFonts w:ascii="仿宋_GB2312" w:eastAsia="仿宋_GB2312" w:hAnsi="仿宋_GB2312" w:cs="仿宋_GB2312"/>
          <w:sz w:val="32"/>
          <w:szCs w:val="32"/>
        </w:rPr>
      </w:pPr>
      <w:r>
        <w:rPr>
          <w:rFonts w:ascii="仿宋_GB2312" w:eastAsia="仿宋_GB2312" w:hAnsi="仿宋_GB2312" w:cs="仿宋_GB2312"/>
          <w:noProof/>
          <w:sz w:val="32"/>
          <w:szCs w:val="32"/>
        </w:rPr>
        <w:lastRenderedPageBreak/>
        <w:drawing>
          <wp:inline distT="0" distB="0" distL="114300" distR="114300">
            <wp:extent cx="3801745" cy="3260725"/>
            <wp:effectExtent l="0" t="0" r="8255" b="15875"/>
            <wp:docPr id="3" name="图片 3" descr="58-骨支持式种植导板【璨美】-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8-骨支持式种植导板【璨美】-2"/>
                    <pic:cNvPicPr>
                      <a:picLocks noChangeAspect="1"/>
                    </pic:cNvPicPr>
                  </pic:nvPicPr>
                  <pic:blipFill>
                    <a:blip r:embed="rId8"/>
                    <a:srcRect l="8723" t="7610" r="11662" b="448"/>
                    <a:stretch>
                      <a:fillRect/>
                    </a:stretch>
                  </pic:blipFill>
                  <pic:spPr>
                    <a:xfrm>
                      <a:off x="0" y="0"/>
                      <a:ext cx="3801745" cy="3260725"/>
                    </a:xfrm>
                    <a:prstGeom prst="rect">
                      <a:avLst/>
                    </a:prstGeom>
                  </pic:spPr>
                </pic:pic>
              </a:graphicData>
            </a:graphic>
          </wp:inline>
        </w:drawing>
      </w:r>
    </w:p>
    <w:p w:rsidR="004731F4" w:rsidRDefault="00BD1A23">
      <w:pPr>
        <w:jc w:val="center"/>
        <w:rPr>
          <w:rFonts w:ascii="仿宋_GB2312" w:eastAsia="仿宋_GB2312" w:hAnsi="仿宋_GB2312" w:cs="仿宋_GB2312"/>
          <w:sz w:val="32"/>
          <w:szCs w:val="32"/>
        </w:rPr>
      </w:pPr>
      <w:r>
        <w:rPr>
          <w:rFonts w:ascii="黑体" w:eastAsia="黑体" w:hAnsi="黑体" w:cs="黑体" w:hint="eastAsia"/>
          <w:sz w:val="28"/>
          <w:szCs w:val="32"/>
        </w:rPr>
        <w:t>图</w:t>
      </w:r>
      <w:r>
        <w:rPr>
          <w:rFonts w:ascii="黑体" w:eastAsia="黑体" w:hAnsi="黑体" w:cs="黑体" w:hint="eastAsia"/>
          <w:sz w:val="28"/>
          <w:szCs w:val="32"/>
        </w:rPr>
        <w:t>3</w:t>
      </w:r>
      <w:r>
        <w:rPr>
          <w:rFonts w:ascii="黑体" w:eastAsia="黑体" w:hAnsi="黑体" w:cs="黑体" w:hint="eastAsia"/>
          <w:sz w:val="28"/>
          <w:szCs w:val="32"/>
        </w:rPr>
        <w:t>：骨支持式种植导板示意图</w:t>
      </w:r>
    </w:p>
    <w:p w:rsidR="004731F4" w:rsidRDefault="00BD1A23">
      <w:pPr>
        <w:jc w:val="center"/>
        <w:rPr>
          <w:rFonts w:ascii="仿宋_GB2312" w:eastAsia="仿宋_GB2312" w:hAnsi="仿宋_GB2312" w:cs="仿宋_GB2312"/>
          <w:sz w:val="32"/>
          <w:szCs w:val="32"/>
        </w:rPr>
      </w:pPr>
      <w:r>
        <w:rPr>
          <w:rFonts w:ascii="仿宋_GB2312" w:eastAsia="仿宋_GB2312" w:hAnsi="仿宋_GB2312" w:cs="仿宋_GB2312"/>
          <w:noProof/>
          <w:sz w:val="32"/>
          <w:szCs w:val="32"/>
        </w:rPr>
        <w:drawing>
          <wp:inline distT="0" distB="0" distL="114300" distR="114300">
            <wp:extent cx="4105275" cy="3379470"/>
            <wp:effectExtent l="0" t="0" r="9525" b="11430"/>
            <wp:docPr id="5" name="图片 5" descr="71-混合支持式种植导板【黑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1-混合支持式种植导板【黑格】-1"/>
                    <pic:cNvPicPr>
                      <a:picLocks noChangeAspect="1"/>
                    </pic:cNvPicPr>
                  </pic:nvPicPr>
                  <pic:blipFill>
                    <a:blip r:embed="rId9"/>
                    <a:srcRect l="12063" t="12213" r="13806" b="6435"/>
                    <a:stretch>
                      <a:fillRect/>
                    </a:stretch>
                  </pic:blipFill>
                  <pic:spPr>
                    <a:xfrm>
                      <a:off x="0" y="0"/>
                      <a:ext cx="4105275" cy="3379470"/>
                    </a:xfrm>
                    <a:prstGeom prst="rect">
                      <a:avLst/>
                    </a:prstGeom>
                  </pic:spPr>
                </pic:pic>
              </a:graphicData>
            </a:graphic>
          </wp:inline>
        </w:drawing>
      </w:r>
    </w:p>
    <w:p w:rsidR="004731F4" w:rsidRDefault="00BD1A23">
      <w:pPr>
        <w:jc w:val="center"/>
        <w:rPr>
          <w:rFonts w:ascii="仿宋_GB2312" w:eastAsia="仿宋_GB2312" w:hAnsi="仿宋_GB2312" w:cs="仿宋_GB2312"/>
          <w:sz w:val="32"/>
          <w:szCs w:val="32"/>
        </w:rPr>
      </w:pPr>
      <w:r>
        <w:rPr>
          <w:rFonts w:ascii="黑体" w:eastAsia="黑体" w:hAnsi="黑体" w:cs="黑体" w:hint="eastAsia"/>
          <w:sz w:val="28"/>
          <w:szCs w:val="32"/>
        </w:rPr>
        <w:t>图</w:t>
      </w:r>
      <w:r>
        <w:rPr>
          <w:rFonts w:ascii="黑体" w:eastAsia="黑体" w:hAnsi="黑体" w:cs="黑体" w:hint="eastAsia"/>
          <w:sz w:val="28"/>
          <w:szCs w:val="32"/>
        </w:rPr>
        <w:t>4</w:t>
      </w:r>
      <w:r>
        <w:rPr>
          <w:rFonts w:ascii="黑体" w:eastAsia="黑体" w:hAnsi="黑体" w:cs="黑体" w:hint="eastAsia"/>
          <w:sz w:val="28"/>
          <w:szCs w:val="32"/>
        </w:rPr>
        <w:t>：混合支持式种植导板示意图</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包装说明</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提供产品的包装信息，包括包装形式、包装材料、包装工艺等信息。</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sz w:val="32"/>
          <w:szCs w:val="32"/>
        </w:rPr>
        <w:t>.</w:t>
      </w:r>
      <w:r>
        <w:rPr>
          <w:rFonts w:ascii="仿宋_GB2312" w:eastAsia="仿宋_GB2312" w:hAnsi="仿宋_GB2312" w:cs="仿宋_GB2312"/>
          <w:sz w:val="32"/>
          <w:szCs w:val="32"/>
        </w:rPr>
        <w:t>研发历程</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阐述申请注册产品的研发背景和目的。如有参考的同类产品或前代产品，应当提供同类产品或前代产品的信息，并说明选择其作为研发参考的原因。</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sz w:val="32"/>
          <w:szCs w:val="32"/>
        </w:rPr>
        <w:t>.</w:t>
      </w:r>
      <w:r>
        <w:rPr>
          <w:rFonts w:ascii="仿宋_GB2312" w:eastAsia="仿宋_GB2312" w:hAnsi="仿宋_GB2312" w:cs="仿宋_GB2312"/>
          <w:sz w:val="32"/>
          <w:szCs w:val="32"/>
        </w:rPr>
        <w:t>与同类和</w:t>
      </w:r>
      <w:r>
        <w:rPr>
          <w:rFonts w:ascii="仿宋_GB2312" w:eastAsia="仿宋_GB2312" w:hAnsi="仿宋_GB2312" w:cs="仿宋_GB2312"/>
          <w:sz w:val="32"/>
          <w:szCs w:val="32"/>
        </w:rPr>
        <w:t>/</w:t>
      </w:r>
      <w:r>
        <w:rPr>
          <w:rFonts w:ascii="仿宋_GB2312" w:eastAsia="仿宋_GB2312" w:hAnsi="仿宋_GB2312" w:cs="仿宋_GB2312"/>
          <w:sz w:val="32"/>
          <w:szCs w:val="32"/>
        </w:rPr>
        <w:t>或前代产品的参考和比较</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列表比较说明申报产品与同类和</w:t>
      </w:r>
      <w:r>
        <w:rPr>
          <w:rFonts w:ascii="仿宋_GB2312" w:eastAsia="仿宋_GB2312" w:hAnsi="仿宋_GB2312" w:cs="仿宋_GB2312"/>
          <w:sz w:val="32"/>
          <w:szCs w:val="32"/>
        </w:rPr>
        <w:t>/</w:t>
      </w:r>
      <w:r>
        <w:rPr>
          <w:rFonts w:ascii="仿宋_GB2312" w:eastAsia="仿宋_GB2312" w:hAnsi="仿宋_GB2312" w:cs="仿宋_GB2312"/>
          <w:sz w:val="32"/>
          <w:szCs w:val="32"/>
        </w:rPr>
        <w:t>或前代产品工作原理、结构组成、制造材料、性能指标、作用方式，以及适用范围等异同。</w:t>
      </w:r>
      <w:r>
        <w:rPr>
          <w:rFonts w:ascii="仿宋_GB2312" w:eastAsia="仿宋_GB2312" w:hAnsi="仿宋_GB2312" w:cs="仿宋_GB2312"/>
          <w:sz w:val="32"/>
          <w:szCs w:val="32"/>
        </w:rPr>
        <w:t>明确产品有无使用了新材料、新技术、新设计或具有新作用机理、新功能。</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sz w:val="32"/>
          <w:szCs w:val="32"/>
        </w:rPr>
        <w:t>.</w:t>
      </w:r>
      <w:r>
        <w:rPr>
          <w:rFonts w:ascii="仿宋_GB2312" w:eastAsia="仿宋_GB2312" w:hAnsi="仿宋_GB2312" w:cs="仿宋_GB2312"/>
          <w:sz w:val="32"/>
          <w:szCs w:val="32"/>
        </w:rPr>
        <w:t>申报产品上市历史</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如适用，提交申报产品在各国家或地区的上市批准时间、销售情况。如有不良事件和召回，分别对申报产品上市后发生的不良事件、召回的发生时间、注册申请人采取的处理和解决方案、相关部门的调查处理情况等进行描述。</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其他需说明的内容</w:t>
      </w:r>
    </w:p>
    <w:p w:rsidR="004731F4" w:rsidRDefault="00BD1A23">
      <w:pPr>
        <w:spacing w:line="52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如适用，明确与申报产品联合使用实现预期用途的其他产品的详细信息。</w:t>
      </w:r>
    </w:p>
    <w:p w:rsidR="004731F4" w:rsidRDefault="00BD1A23">
      <w:pPr>
        <w:spacing w:line="520" w:lineRule="exact"/>
        <w:ind w:firstLineChars="200" w:firstLine="640"/>
        <w:rPr>
          <w:rFonts w:ascii="Times New Roman" w:eastAsia="楷体_GB2312" w:hAnsi="Times New Roman" w:cs="Times New Roman"/>
          <w:sz w:val="32"/>
          <w:szCs w:val="32"/>
        </w:rPr>
      </w:pPr>
      <w:r>
        <w:rPr>
          <w:rFonts w:ascii="Times New Roman" w:eastAsia="楷体_GB2312" w:hAnsi="Times New Roman" w:cs="Times New Roman"/>
          <w:sz w:val="32"/>
          <w:szCs w:val="32"/>
        </w:rPr>
        <w:t>（</w:t>
      </w:r>
      <w:r>
        <w:rPr>
          <w:rFonts w:ascii="Times New Roman" w:eastAsia="楷体_GB2312" w:hAnsi="Times New Roman" w:cs="Times New Roman" w:hint="eastAsia"/>
          <w:sz w:val="32"/>
          <w:szCs w:val="32"/>
        </w:rPr>
        <w:t>四</w:t>
      </w:r>
      <w:r>
        <w:rPr>
          <w:rFonts w:ascii="Times New Roman" w:eastAsia="楷体_GB2312" w:hAnsi="Times New Roman" w:cs="Times New Roman"/>
          <w:sz w:val="32"/>
          <w:szCs w:val="32"/>
        </w:rPr>
        <w:t>）非临床资料</w:t>
      </w:r>
    </w:p>
    <w:p w:rsidR="004731F4" w:rsidRDefault="00BD1A23">
      <w:pPr>
        <w:spacing w:line="520" w:lineRule="exact"/>
        <w:ind w:firstLineChars="200" w:firstLine="640"/>
        <w:rPr>
          <w:rFonts w:ascii="仿宋_GB2312" w:eastAsia="仿宋_GB2312" w:hAnsi="仿宋_GB2312" w:cs="仿宋_GB2312"/>
          <w:spacing w:val="-1"/>
          <w:sz w:val="32"/>
          <w:szCs w:val="32"/>
        </w:rPr>
      </w:pPr>
      <w:r>
        <w:rPr>
          <w:rFonts w:ascii="仿宋_GB2312" w:eastAsia="仿宋_GB2312" w:hAnsi="仿宋_GB2312" w:cs="仿宋_GB2312"/>
          <w:sz w:val="32"/>
          <w:szCs w:val="32"/>
        </w:rPr>
        <w:t>1.</w:t>
      </w:r>
      <w:r>
        <w:rPr>
          <w:rFonts w:ascii="仿宋_GB2312" w:eastAsia="仿宋_GB2312" w:hAnsi="仿宋_GB2312" w:cs="仿宋_GB2312"/>
          <w:spacing w:val="-1"/>
          <w:sz w:val="32"/>
          <w:szCs w:val="32"/>
        </w:rPr>
        <w:t>产品风险管理资料</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根据</w:t>
      </w:r>
      <w:r>
        <w:rPr>
          <w:rFonts w:ascii="仿宋_GB2312" w:eastAsia="仿宋_GB2312" w:hAnsi="仿宋_GB2312" w:cs="仿宋_GB2312"/>
          <w:sz w:val="32"/>
          <w:szCs w:val="32"/>
        </w:rPr>
        <w:t>GB/T 42062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医疗器械</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风险管理对医疗器械的应用</w:t>
      </w:r>
      <w:r>
        <w:rPr>
          <w:rFonts w:ascii="仿宋_GB2312" w:eastAsia="仿宋_GB2312" w:hAnsi="仿宋_GB2312" w:cs="仿宋_GB2312"/>
          <w:sz w:val="32"/>
          <w:szCs w:val="32"/>
        </w:rPr>
        <w:t>》对</w:t>
      </w:r>
      <w:r>
        <w:rPr>
          <w:rFonts w:ascii="仿宋_GB2312" w:eastAsia="仿宋_GB2312" w:hAnsi="仿宋_GB2312" w:cs="仿宋_GB2312" w:hint="eastAsia"/>
          <w:sz w:val="32"/>
          <w:szCs w:val="32"/>
        </w:rPr>
        <w:t>牙科种植用导板</w:t>
      </w:r>
      <w:r>
        <w:rPr>
          <w:rFonts w:ascii="仿宋_GB2312" w:eastAsia="仿宋_GB2312" w:hAnsi="仿宋_GB2312" w:cs="仿宋_GB2312"/>
          <w:sz w:val="32"/>
          <w:szCs w:val="32"/>
        </w:rPr>
        <w:t>已知或可预见的风险进行判定，产</w:t>
      </w:r>
      <w:r>
        <w:rPr>
          <w:rFonts w:ascii="仿宋_GB2312" w:eastAsia="仿宋_GB2312" w:hAnsi="仿宋_GB2312" w:cs="仿宋_GB2312"/>
          <w:sz w:val="32"/>
          <w:szCs w:val="32"/>
        </w:rPr>
        <w:t>品在进行风险分析时至少应包括以下的主要危</w:t>
      </w:r>
      <w:r>
        <w:rPr>
          <w:rFonts w:ascii="仿宋_GB2312" w:eastAsia="仿宋_GB2312" w:hAnsi="仿宋_GB2312" w:cs="仿宋_GB2312" w:hint="eastAsia"/>
          <w:sz w:val="32"/>
          <w:szCs w:val="32"/>
        </w:rPr>
        <w:t>害（见附表）</w:t>
      </w:r>
      <w:r>
        <w:rPr>
          <w:rFonts w:ascii="仿宋_GB2312" w:eastAsia="仿宋_GB2312" w:hAnsi="仿宋_GB2312" w:cs="仿宋_GB2312"/>
          <w:sz w:val="32"/>
          <w:szCs w:val="32"/>
        </w:rPr>
        <w:t>。</w:t>
      </w:r>
      <w:r>
        <w:rPr>
          <w:rFonts w:ascii="仿宋_GB2312" w:eastAsia="仿宋_GB2312" w:hAnsi="仿宋_GB2312" w:cs="仿宋_GB2312"/>
          <w:spacing w:val="-1"/>
          <w:sz w:val="32"/>
          <w:szCs w:val="32"/>
        </w:rPr>
        <w:t>企业还应根据自身产品特点确定其他危害，可通过产品设计控制、产品原材料选择、产品技术性能指标的制定、正确的标签标识、生产和检验控制、产品说明书等多项措施以降低风险至可接受水平。</w:t>
      </w:r>
    </w:p>
    <w:p w:rsidR="004731F4" w:rsidRDefault="00BD1A23">
      <w:pPr>
        <w:widowControl/>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sz w:val="32"/>
          <w:szCs w:val="32"/>
        </w:rPr>
        <w:t>医疗器械安全和性能基本原则清单</w:t>
      </w:r>
    </w:p>
    <w:p w:rsidR="004731F4" w:rsidRDefault="00BD1A23">
      <w:pPr>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明确</w:t>
      </w:r>
      <w:r>
        <w:rPr>
          <w:rFonts w:ascii="仿宋_GB2312" w:eastAsia="仿宋_GB2312" w:hAnsi="仿宋_GB2312" w:cs="仿宋_GB2312"/>
          <w:sz w:val="32"/>
          <w:szCs w:val="32"/>
        </w:rPr>
        <w:t>产品符合《医疗器械安全和性能基本原则》各项适用要求所采用的方法，以及证明其符合性的文件。对于《医疗器械安全和性能基本原则》中不适用的各项要求，应当说明理由。</w:t>
      </w:r>
    </w:p>
    <w:p w:rsidR="004731F4" w:rsidRDefault="00BD1A23">
      <w:pPr>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spacing w:val="-1"/>
          <w:sz w:val="32"/>
          <w:szCs w:val="32"/>
        </w:rPr>
        <w:t>产品技术要求</w:t>
      </w:r>
    </w:p>
    <w:p w:rsidR="004731F4" w:rsidRDefault="00BD1A23">
      <w:pPr>
        <w:overflowPunct w:val="0"/>
        <w:spacing w:line="520" w:lineRule="exact"/>
        <w:ind w:firstLineChars="200" w:firstLine="640"/>
        <w:rPr>
          <w:rFonts w:ascii="仿宋_GB2312" w:eastAsia="仿宋_GB2312" w:hAnsi="仿宋_GB2312" w:cs="仿宋_GB2312"/>
          <w:sz w:val="32"/>
          <w:szCs w:val="32"/>
        </w:rPr>
      </w:pPr>
      <w:bookmarkStart w:id="1" w:name="_Hlk523654385"/>
      <w:r>
        <w:rPr>
          <w:rFonts w:ascii="仿宋_GB2312" w:eastAsia="仿宋_GB2312" w:hAnsi="仿宋_GB2312" w:cs="仿宋_GB2312"/>
          <w:sz w:val="32"/>
          <w:szCs w:val="32"/>
        </w:rPr>
        <w:t>产品技术要求的制定应符合《医疗器械产品技术要求编写指导原则》的要求。申请人应依据产品的技术特征和临床使用情况来确定产品安全有效、质量可控的技术要求和检验方法。本指导原则给出</w:t>
      </w:r>
      <w:r>
        <w:rPr>
          <w:rFonts w:ascii="仿宋_GB2312" w:eastAsia="仿宋_GB2312" w:hAnsi="仿宋_GB2312" w:cs="仿宋_GB2312" w:hint="eastAsia"/>
          <w:sz w:val="32"/>
          <w:szCs w:val="32"/>
        </w:rPr>
        <w:t>牙科种植用导板</w:t>
      </w:r>
      <w:r>
        <w:rPr>
          <w:rFonts w:ascii="仿宋_GB2312" w:eastAsia="仿宋_GB2312" w:hAnsi="仿宋_GB2312" w:cs="仿宋_GB2312"/>
          <w:sz w:val="32"/>
          <w:szCs w:val="32"/>
        </w:rPr>
        <w:t>需要考虑的产品基本技术性能指标，申请人根据自身产品的技术特点和用途制定相应的性能指标，且性能指标不得低于强制性国家标准、行业标准。</w:t>
      </w:r>
    </w:p>
    <w:bookmarkEnd w:id="1"/>
    <w:p w:rsidR="004731F4" w:rsidRDefault="00BD1A23">
      <w:pPr>
        <w:pStyle w:val="a4"/>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产品型号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规格及其划分的说明</w:t>
      </w:r>
    </w:p>
    <w:p w:rsidR="004731F4" w:rsidRDefault="00BD1A23">
      <w:pPr>
        <w:pStyle w:val="a4"/>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明确</w:t>
      </w:r>
      <w:r>
        <w:rPr>
          <w:rFonts w:ascii="仿宋_GB2312" w:eastAsia="仿宋_GB2312" w:hAnsi="仿宋_GB2312" w:cs="仿宋_GB2312"/>
          <w:sz w:val="32"/>
          <w:szCs w:val="32"/>
        </w:rPr>
        <w:t>产品的型号规格，</w:t>
      </w:r>
      <w:r>
        <w:rPr>
          <w:rFonts w:ascii="仿宋_GB2312" w:eastAsia="仿宋_GB2312" w:hAnsi="仿宋_GB2312" w:cs="仿宋_GB2312" w:hint="eastAsia"/>
          <w:sz w:val="32"/>
          <w:szCs w:val="32"/>
        </w:rPr>
        <w:t>阐明</w:t>
      </w:r>
      <w:r>
        <w:rPr>
          <w:rFonts w:ascii="仿宋_GB2312" w:eastAsia="仿宋_GB2312" w:hAnsi="仿宋_GB2312" w:cs="仿宋_GB2312"/>
          <w:sz w:val="32"/>
          <w:szCs w:val="32"/>
        </w:rPr>
        <w:t>产品型号规格的划分说明。</w:t>
      </w:r>
    </w:p>
    <w:p w:rsidR="004731F4" w:rsidRDefault="00BD1A23">
      <w:pPr>
        <w:pStyle w:val="a4"/>
        <w:adjustRightInd w:val="0"/>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性能指标</w:t>
      </w:r>
    </w:p>
    <w:p w:rsidR="004731F4" w:rsidRDefault="00BD1A23">
      <w:pPr>
        <w:pStyle w:val="a4"/>
        <w:adjustRightInd w:val="0"/>
        <w:snapToGrid w:val="0"/>
        <w:spacing w:line="520" w:lineRule="exact"/>
        <w:ind w:firstLineChars="200" w:firstLine="640"/>
        <w:rPr>
          <w:rFonts w:ascii="仿宋_GB2312" w:eastAsia="仿宋_GB2312" w:hAnsi="仿宋_GB2312" w:cs="仿宋_GB2312"/>
          <w:spacing w:val="-4"/>
          <w:sz w:val="32"/>
          <w:szCs w:val="32"/>
        </w:rPr>
      </w:pPr>
      <w:r>
        <w:rPr>
          <w:rFonts w:ascii="仿宋_GB2312" w:eastAsia="仿宋_GB2312" w:hAnsi="仿宋_GB2312" w:cs="仿宋_GB2312"/>
          <w:sz w:val="32"/>
          <w:szCs w:val="32"/>
        </w:rPr>
        <w:t>产品技术要求的主要性能指标需包括以下适用内容：</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w:t>
      </w:r>
      <w:r>
        <w:rPr>
          <w:rStyle w:val="f101"/>
          <w:rFonts w:ascii="仿宋_GB2312" w:eastAsia="仿宋_GB2312" w:hAnsi="仿宋_GB2312" w:cs="仿宋_GB2312"/>
          <w:sz w:val="32"/>
          <w:szCs w:val="32"/>
        </w:rPr>
        <w:t>.</w:t>
      </w:r>
      <w:r>
        <w:rPr>
          <w:rStyle w:val="f101"/>
          <w:rFonts w:ascii="仿宋_GB2312" w:eastAsia="仿宋_GB2312" w:hAnsi="仿宋_GB2312" w:cs="仿宋_GB2312" w:hint="eastAsia"/>
          <w:sz w:val="32"/>
          <w:szCs w:val="32"/>
        </w:rPr>
        <w:t>2.</w:t>
      </w:r>
      <w:r>
        <w:rPr>
          <w:rStyle w:val="f101"/>
          <w:rFonts w:ascii="仿宋_GB2312" w:eastAsia="仿宋_GB2312" w:hAnsi="仿宋_GB2312" w:cs="仿宋_GB2312"/>
          <w:sz w:val="32"/>
          <w:szCs w:val="32"/>
        </w:rPr>
        <w:t>1</w:t>
      </w:r>
      <w:r>
        <w:rPr>
          <w:rStyle w:val="f101"/>
          <w:rFonts w:ascii="仿宋_GB2312" w:eastAsia="仿宋_GB2312" w:hAnsi="仿宋_GB2312" w:cs="仿宋_GB2312" w:hint="eastAsia"/>
          <w:sz w:val="32"/>
          <w:szCs w:val="32"/>
        </w:rPr>
        <w:t>设计与制造</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应按医疗机构提供的工作模型</w:t>
      </w:r>
      <w:r>
        <w:rPr>
          <w:rStyle w:val="f101"/>
          <w:rFonts w:ascii="仿宋_GB2312" w:eastAsia="仿宋_GB2312" w:hAnsi="仿宋_GB2312" w:cs="仿宋_GB2312" w:hint="eastAsia"/>
          <w:sz w:val="32"/>
          <w:szCs w:val="32"/>
        </w:rPr>
        <w:t>/</w:t>
      </w:r>
      <w:r>
        <w:rPr>
          <w:rStyle w:val="f101"/>
          <w:rFonts w:ascii="仿宋_GB2312" w:eastAsia="仿宋_GB2312" w:hAnsi="仿宋_GB2312" w:cs="仿宋_GB2312" w:hint="eastAsia"/>
          <w:sz w:val="32"/>
          <w:szCs w:val="32"/>
        </w:rPr>
        <w:t>数据模型、</w:t>
      </w:r>
      <w:r>
        <w:rPr>
          <w:rStyle w:val="f101"/>
          <w:rFonts w:ascii="仿宋_GB2312" w:eastAsia="仿宋_GB2312" w:hAnsi="仿宋_GB2312" w:cs="仿宋_GB2312" w:hint="eastAsia"/>
          <w:sz w:val="32"/>
          <w:szCs w:val="32"/>
        </w:rPr>
        <w:t>锥形束计算机断层扫描（</w:t>
      </w:r>
      <w:r>
        <w:rPr>
          <w:rStyle w:val="f101"/>
          <w:rFonts w:ascii="仿宋_GB2312" w:eastAsia="仿宋_GB2312" w:hAnsi="仿宋_GB2312" w:cs="仿宋_GB2312" w:hint="eastAsia"/>
          <w:sz w:val="32"/>
          <w:szCs w:val="32"/>
        </w:rPr>
        <w:t>Cone Beam Computed Tomography</w:t>
      </w:r>
      <w:r>
        <w:rPr>
          <w:rStyle w:val="f101"/>
          <w:rFonts w:ascii="仿宋_GB2312" w:eastAsia="仿宋_GB2312" w:hAnsi="仿宋_GB2312" w:cs="仿宋_GB2312" w:hint="eastAsia"/>
          <w:sz w:val="32"/>
          <w:szCs w:val="32"/>
        </w:rPr>
        <w:t>，</w:t>
      </w:r>
      <w:r>
        <w:rPr>
          <w:rStyle w:val="f101"/>
          <w:rFonts w:ascii="仿宋_GB2312" w:eastAsia="仿宋_GB2312" w:hAnsi="仿宋_GB2312" w:cs="仿宋_GB2312" w:hint="eastAsia"/>
          <w:sz w:val="32"/>
          <w:szCs w:val="32"/>
        </w:rPr>
        <w:t>CBCT</w:t>
      </w:r>
      <w:r>
        <w:rPr>
          <w:rStyle w:val="f101"/>
          <w:rFonts w:ascii="仿宋_GB2312" w:eastAsia="仿宋_GB2312" w:hAnsi="仿宋_GB2312" w:cs="仿宋_GB2312" w:hint="eastAsia"/>
          <w:sz w:val="32"/>
          <w:szCs w:val="32"/>
        </w:rPr>
        <w:t>）数据及设计文件制造。</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w:t>
      </w:r>
      <w:r>
        <w:rPr>
          <w:rStyle w:val="f101"/>
          <w:rFonts w:ascii="仿宋_GB2312" w:eastAsia="仿宋_GB2312" w:hAnsi="仿宋_GB2312" w:cs="仿宋_GB2312"/>
          <w:sz w:val="32"/>
          <w:szCs w:val="32"/>
        </w:rPr>
        <w:t>2.</w:t>
      </w:r>
      <w:r>
        <w:rPr>
          <w:rStyle w:val="f101"/>
          <w:rFonts w:ascii="仿宋_GB2312" w:eastAsia="仿宋_GB2312" w:hAnsi="仿宋_GB2312" w:cs="仿宋_GB2312" w:hint="eastAsia"/>
          <w:sz w:val="32"/>
          <w:szCs w:val="32"/>
        </w:rPr>
        <w:t>2</w:t>
      </w:r>
      <w:r>
        <w:rPr>
          <w:rStyle w:val="f101"/>
          <w:rFonts w:ascii="仿宋_GB2312" w:eastAsia="仿宋_GB2312" w:hAnsi="仿宋_GB2312" w:cs="仿宋_GB2312" w:hint="eastAsia"/>
          <w:sz w:val="32"/>
          <w:szCs w:val="32"/>
        </w:rPr>
        <w:t>外观</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导板基板的内外表面及边缘应无锋棱、毛刺等缺陷。无残存支撑材料、粉末碎屑等附着物。</w:t>
      </w:r>
    </w:p>
    <w:p w:rsidR="004731F4" w:rsidRDefault="00BD1A23">
      <w:pPr>
        <w:spacing w:line="520" w:lineRule="exact"/>
        <w:ind w:firstLineChars="200" w:firstLine="636"/>
        <w:rPr>
          <w:rFonts w:ascii="仿宋_GB2312" w:eastAsia="仿宋_GB2312" w:hAnsi="仿宋_GB2312" w:cs="仿宋_GB2312"/>
          <w:spacing w:val="-1"/>
          <w:sz w:val="32"/>
          <w:szCs w:val="32"/>
        </w:rPr>
      </w:pPr>
      <w:r>
        <w:rPr>
          <w:rFonts w:ascii="仿宋_GB2312" w:eastAsia="仿宋_GB2312" w:hAnsi="仿宋_GB2312" w:cs="仿宋_GB2312" w:hint="eastAsia"/>
          <w:spacing w:val="-1"/>
          <w:sz w:val="32"/>
          <w:szCs w:val="32"/>
        </w:rPr>
        <w:t>导环内孔的表面粗糙度。</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3.2.3</w:t>
      </w:r>
      <w:r>
        <w:rPr>
          <w:rStyle w:val="f101"/>
          <w:rFonts w:ascii="仿宋_GB2312" w:eastAsia="仿宋_GB2312" w:hAnsi="仿宋_GB2312" w:cs="仿宋_GB2312" w:hint="eastAsia"/>
          <w:sz w:val="32"/>
          <w:szCs w:val="32"/>
        </w:rPr>
        <w:t>密合性</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导板中导环与基板配合应紧密，无晃动。</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导板应与工作模型相贴合，配合时应无明显的晃动、翘起。</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3.2.4</w:t>
      </w:r>
      <w:r>
        <w:rPr>
          <w:rStyle w:val="f101"/>
          <w:rFonts w:ascii="仿宋_GB2312" w:eastAsia="仿宋_GB2312" w:hAnsi="仿宋_GB2312" w:cs="仿宋_GB2312" w:hint="eastAsia"/>
          <w:sz w:val="32"/>
          <w:szCs w:val="32"/>
        </w:rPr>
        <w:t>核对设计文件中导环尺寸要求，制定导环内径允差。</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3.2.5</w:t>
      </w:r>
      <w:r>
        <w:rPr>
          <w:rStyle w:val="f101"/>
          <w:rFonts w:ascii="仿宋_GB2312" w:eastAsia="仿宋_GB2312" w:hAnsi="仿宋_GB2312" w:cs="仿宋_GB2312" w:hint="eastAsia"/>
          <w:sz w:val="32"/>
          <w:szCs w:val="32"/>
        </w:rPr>
        <w:t>基板厚度</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3.2.6</w:t>
      </w:r>
      <w:r>
        <w:rPr>
          <w:rStyle w:val="f101"/>
          <w:rFonts w:ascii="仿宋_GB2312" w:eastAsia="仿宋_GB2312" w:hAnsi="仿宋_GB2312" w:cs="仿宋_GB2312" w:hint="eastAsia"/>
          <w:sz w:val="32"/>
          <w:szCs w:val="32"/>
        </w:rPr>
        <w:t>基板硬度</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3.2.7</w:t>
      </w:r>
      <w:r>
        <w:rPr>
          <w:rStyle w:val="f101"/>
          <w:rFonts w:ascii="仿宋_GB2312" w:eastAsia="仿宋_GB2312" w:hAnsi="仿宋_GB2312" w:cs="仿宋_GB2312" w:hint="eastAsia"/>
          <w:sz w:val="32"/>
          <w:szCs w:val="32"/>
        </w:rPr>
        <w:t>挠曲强度</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3.2.8</w:t>
      </w:r>
      <w:r>
        <w:rPr>
          <w:rStyle w:val="f101"/>
          <w:rFonts w:ascii="仿宋_GB2312" w:eastAsia="仿宋_GB2312" w:hAnsi="仿宋_GB2312" w:cs="仿宋_GB2312" w:hint="eastAsia"/>
          <w:sz w:val="32"/>
          <w:szCs w:val="32"/>
        </w:rPr>
        <w:t>打印精确性</w:t>
      </w:r>
    </w:p>
    <w:p w:rsidR="004731F4" w:rsidRDefault="00BD1A23">
      <w:pPr>
        <w:spacing w:line="520" w:lineRule="exact"/>
        <w:ind w:firstLineChars="200" w:firstLine="640"/>
        <w:rPr>
          <w:rStyle w:val="f101"/>
          <w:rFonts w:ascii="仿宋_GB2312" w:eastAsia="仿宋_GB2312" w:hAnsi="仿宋_GB2312" w:cs="仿宋_GB2312"/>
          <w:sz w:val="32"/>
          <w:szCs w:val="32"/>
        </w:rPr>
      </w:pPr>
      <w:r>
        <w:rPr>
          <w:rStyle w:val="f101"/>
          <w:rFonts w:ascii="仿宋_GB2312" w:eastAsia="仿宋_GB2312" w:hAnsi="仿宋_GB2312" w:cs="仿宋_GB2312" w:hint="eastAsia"/>
          <w:sz w:val="32"/>
          <w:szCs w:val="32"/>
        </w:rPr>
        <w:t>3.2.9</w:t>
      </w:r>
      <w:r>
        <w:rPr>
          <w:rStyle w:val="f101"/>
          <w:rFonts w:ascii="仿宋_GB2312" w:eastAsia="仿宋_GB2312" w:hAnsi="仿宋_GB2312" w:cs="仿宋_GB2312" w:hint="eastAsia"/>
          <w:sz w:val="32"/>
          <w:szCs w:val="32"/>
        </w:rPr>
        <w:t>化学性能：重金属含量、酸碱度、还原物质</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检验方法</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产品的检验方法需根据技术性能指标设定，检验方法需优先采用国家标准</w:t>
      </w:r>
      <w:r>
        <w:rPr>
          <w:rFonts w:ascii="仿宋_GB2312" w:eastAsia="仿宋_GB2312" w:hAnsi="仿宋_GB2312" w:cs="仿宋_GB2312"/>
          <w:sz w:val="32"/>
          <w:szCs w:val="32"/>
        </w:rPr>
        <w:t>/</w:t>
      </w:r>
      <w:r>
        <w:rPr>
          <w:rFonts w:ascii="仿宋_GB2312" w:eastAsia="仿宋_GB2312" w:hAnsi="仿宋_GB2312" w:cs="仿宋_GB2312"/>
          <w:sz w:val="32"/>
          <w:szCs w:val="32"/>
        </w:rPr>
        <w:t>行业标准中的方法。所有引用的标准注明其编号、年号或版本号。自建检验方法需提供相应的方法学依据及理论基础，同时保证检验方法具有可操作性和可重现性，必要时可以采用相应图示进行说明，文本较大的可以附录形式提供。</w:t>
      </w:r>
    </w:p>
    <w:p w:rsidR="004731F4" w:rsidRDefault="00BD1A23">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kern w:val="0"/>
          <w:sz w:val="32"/>
          <w:szCs w:val="32"/>
        </w:rPr>
        <w:t>3.4</w:t>
      </w:r>
      <w:r>
        <w:rPr>
          <w:rFonts w:ascii="仿宋_GB2312" w:eastAsia="仿宋_GB2312" w:hAnsi="仿宋_GB2312" w:cs="仿宋_GB2312"/>
          <w:kern w:val="0"/>
          <w:sz w:val="32"/>
          <w:szCs w:val="32"/>
        </w:rPr>
        <w:t>附录</w:t>
      </w:r>
    </w:p>
    <w:p w:rsidR="004731F4" w:rsidRDefault="00BD1A23">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kern w:val="0"/>
          <w:sz w:val="32"/>
          <w:szCs w:val="32"/>
        </w:rPr>
        <w:t>在附录中</w:t>
      </w:r>
      <w:r>
        <w:rPr>
          <w:rFonts w:ascii="仿宋_GB2312" w:eastAsia="仿宋_GB2312" w:hAnsi="仿宋_GB2312" w:cs="仿宋_GB2312" w:hint="eastAsia"/>
          <w:kern w:val="0"/>
          <w:sz w:val="32"/>
          <w:szCs w:val="32"/>
        </w:rPr>
        <w:t>注明主要原材料的材质信息</w:t>
      </w:r>
      <w:r>
        <w:rPr>
          <w:rFonts w:ascii="仿宋_GB2312" w:eastAsia="仿宋_GB2312" w:hAnsi="仿宋_GB2312" w:cs="仿宋_GB2312"/>
          <w:kern w:val="0"/>
          <w:sz w:val="32"/>
          <w:szCs w:val="32"/>
        </w:rPr>
        <w:t>，如</w:t>
      </w:r>
      <w:r>
        <w:rPr>
          <w:rFonts w:ascii="仿宋_GB2312" w:eastAsia="仿宋_GB2312" w:hAnsi="仿宋_GB2312" w:cs="仿宋_GB2312" w:hint="eastAsia"/>
          <w:spacing w:val="-1"/>
          <w:sz w:val="32"/>
          <w:szCs w:val="32"/>
        </w:rPr>
        <w:t>光敏树脂材料主要化学成分、导环金属材料牌号等。</w:t>
      </w:r>
    </w:p>
    <w:p w:rsidR="004731F4" w:rsidRDefault="00BD1A23">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kern w:val="0"/>
          <w:sz w:val="32"/>
          <w:szCs w:val="32"/>
        </w:rPr>
        <w:t>3.5</w:t>
      </w:r>
      <w:r>
        <w:rPr>
          <w:rFonts w:ascii="仿宋_GB2312" w:eastAsia="仿宋_GB2312" w:hAnsi="仿宋_GB2312" w:cs="仿宋_GB2312"/>
          <w:kern w:val="0"/>
          <w:sz w:val="32"/>
          <w:szCs w:val="32"/>
        </w:rPr>
        <w:t>其他</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本部分仅提供了常规产品的基本性能要求，予以参考。如有不适用的项目，需予以说明。对于使用新材料、新技术、新设计或具有新作用机理、新功能的产品，需在产品技术要求中明确产品所具的有其他功能性、安全性指标，性能指标的制定需符合《医疗器械产品技术要求编写指导原则》的要求。</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spacing w:val="-1"/>
          <w:sz w:val="32"/>
          <w:szCs w:val="32"/>
        </w:rPr>
        <w:t>检验报告</w:t>
      </w:r>
      <w:r>
        <w:rPr>
          <w:rFonts w:ascii="仿宋_GB2312" w:eastAsia="仿宋_GB2312" w:hAnsi="仿宋_GB2312" w:cs="仿宋_GB2312" w:hint="eastAsia"/>
          <w:spacing w:val="-1"/>
          <w:sz w:val="32"/>
          <w:szCs w:val="32"/>
        </w:rPr>
        <w:t>及典型性产品确定原则</w:t>
      </w:r>
    </w:p>
    <w:p w:rsidR="004731F4" w:rsidRDefault="00BD1A23">
      <w:pPr>
        <w:pStyle w:val="ad"/>
        <w:spacing w:line="520" w:lineRule="exact"/>
        <w:ind w:firstLine="64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同一注册单元中所检验产品应能够代表本注册单元内其他产品安全性和有效性。代表产品的确定可以通过比较同一注册单元内所有产品的原材料、生产工艺</w:t>
      </w:r>
      <w:r>
        <w:rPr>
          <w:rFonts w:ascii="仿宋_GB2312" w:eastAsia="仿宋_GB2312" w:hAnsi="仿宋_GB2312" w:cs="仿宋_GB2312" w:hint="eastAsia"/>
          <w:color w:val="auto"/>
          <w:sz w:val="32"/>
          <w:szCs w:val="32"/>
        </w:rPr>
        <w:t>、</w:t>
      </w:r>
      <w:r>
        <w:rPr>
          <w:rFonts w:ascii="仿宋_GB2312" w:eastAsia="仿宋_GB2312" w:hAnsi="仿宋_GB2312" w:cs="仿宋_GB2312"/>
          <w:color w:val="auto"/>
          <w:sz w:val="32"/>
          <w:szCs w:val="32"/>
        </w:rPr>
        <w:t>技术结构</w:t>
      </w:r>
      <w:r>
        <w:rPr>
          <w:rFonts w:ascii="仿宋_GB2312" w:eastAsia="仿宋_GB2312" w:hAnsi="仿宋_GB2312" w:cs="仿宋_GB2312" w:hint="eastAsia"/>
          <w:color w:val="auto"/>
          <w:sz w:val="32"/>
          <w:szCs w:val="32"/>
        </w:rPr>
        <w:t>、</w:t>
      </w:r>
      <w:r>
        <w:rPr>
          <w:rFonts w:ascii="仿宋_GB2312" w:eastAsia="仿宋_GB2312" w:hAnsi="仿宋_GB2312" w:cs="仿宋_GB2312" w:hint="eastAsia"/>
          <w:color w:val="auto"/>
          <w:sz w:val="32"/>
          <w:szCs w:val="32"/>
        </w:rPr>
        <w:t>性能指标</w:t>
      </w:r>
      <w:r>
        <w:rPr>
          <w:rFonts w:ascii="仿宋_GB2312" w:eastAsia="仿宋_GB2312" w:hAnsi="仿宋_GB2312" w:cs="仿宋_GB2312"/>
          <w:color w:val="auto"/>
          <w:sz w:val="32"/>
          <w:szCs w:val="32"/>
        </w:rPr>
        <w:t>等资料，说明其能够代表本注册单元内其他产品的安全性和有效性。</w:t>
      </w:r>
      <w:r>
        <w:rPr>
          <w:rFonts w:ascii="仿宋_GB2312" w:eastAsia="仿宋_GB2312" w:hAnsi="仿宋_GB2312" w:cs="仿宋_GB2312" w:hint="eastAsia"/>
          <w:color w:val="auto"/>
          <w:sz w:val="32"/>
          <w:szCs w:val="32"/>
        </w:rPr>
        <w:t>原则上选择结构最复杂的型号作为典型型号送检。</w:t>
      </w:r>
    </w:p>
    <w:p w:rsidR="004731F4" w:rsidRDefault="00BD1A23">
      <w:pPr>
        <w:spacing w:line="520" w:lineRule="exact"/>
        <w:ind w:firstLineChars="200" w:firstLine="640"/>
        <w:rPr>
          <w:rFonts w:ascii="仿宋_GB2312" w:eastAsia="仿宋_GB2312" w:hAnsi="仿宋_GB2312" w:cs="仿宋_GB2312"/>
          <w:spacing w:val="-1"/>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sz w:val="32"/>
          <w:szCs w:val="32"/>
        </w:rPr>
        <w:t>.</w:t>
      </w:r>
      <w:r>
        <w:rPr>
          <w:rFonts w:ascii="仿宋_GB2312" w:eastAsia="仿宋_GB2312" w:hAnsi="仿宋_GB2312" w:cs="仿宋_GB2312"/>
          <w:spacing w:val="-1"/>
          <w:sz w:val="32"/>
          <w:szCs w:val="32"/>
        </w:rPr>
        <w:t>研究资料</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5.1</w:t>
      </w:r>
      <w:r>
        <w:rPr>
          <w:rFonts w:ascii="仿宋_GB2312" w:eastAsia="仿宋_GB2312" w:hAnsi="仿宋_GB2312" w:cs="仿宋_GB2312" w:hint="eastAsia"/>
          <w:kern w:val="0"/>
          <w:sz w:val="32"/>
          <w:szCs w:val="32"/>
        </w:rPr>
        <w:t>产</w:t>
      </w:r>
      <w:r>
        <w:rPr>
          <w:rFonts w:ascii="仿宋_GB2312" w:eastAsia="仿宋_GB2312" w:hAnsi="仿宋_GB2312" w:cs="仿宋_GB2312"/>
          <w:sz w:val="32"/>
          <w:szCs w:val="32"/>
        </w:rPr>
        <w:t>品性能研究</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应当提供产品性能研究资料以及产品技术要求的研究和编制说明，包括功能性、安全性指标以及与质量控制相关的其他指标的确定依据，所采用的标准或方法，采用的原因及理论基础。</w:t>
      </w:r>
      <w:r>
        <w:rPr>
          <w:rFonts w:ascii="仿宋_GB2312" w:eastAsia="仿宋_GB2312" w:hAnsi="仿宋_GB2312" w:cs="仿宋_GB2312"/>
          <w:sz w:val="32"/>
          <w:szCs w:val="32"/>
        </w:rPr>
        <w:t>对于自建方法，宜提供相应的依据及方法学验证资料。</w:t>
      </w:r>
    </w:p>
    <w:p w:rsidR="004731F4" w:rsidRDefault="00BD1A23">
      <w:pPr>
        <w:spacing w:line="520" w:lineRule="exact"/>
        <w:ind w:firstLineChars="200" w:firstLine="636"/>
        <w:rPr>
          <w:rFonts w:ascii="仿宋_GB2312" w:eastAsia="仿宋_GB2312" w:hAnsi="仿宋_GB2312" w:cs="仿宋_GB2312"/>
          <w:spacing w:val="-1"/>
          <w:sz w:val="32"/>
          <w:szCs w:val="32"/>
        </w:rPr>
      </w:pPr>
      <w:r>
        <w:rPr>
          <w:rFonts w:ascii="仿宋_GB2312" w:eastAsia="仿宋_GB2312" w:hAnsi="仿宋_GB2312" w:cs="仿宋_GB2312" w:hint="eastAsia"/>
          <w:spacing w:val="-1"/>
          <w:sz w:val="32"/>
          <w:szCs w:val="32"/>
        </w:rPr>
        <w:t>5.2</w:t>
      </w:r>
      <w:r>
        <w:rPr>
          <w:rFonts w:ascii="仿宋_GB2312" w:eastAsia="仿宋_GB2312" w:hAnsi="仿宋_GB2312" w:cs="仿宋_GB2312" w:hint="eastAsia"/>
          <w:spacing w:val="-1"/>
          <w:sz w:val="32"/>
          <w:szCs w:val="32"/>
        </w:rPr>
        <w:t>打印工艺参数及后处理工艺研究</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应针对打印工艺参数进行验证，提交相关验证资料，至少包括分层厚度、支撑结构等关键工艺参数。</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应针对后固化、清洗工艺参数进行验证，阐述后固化时间、清洗溶剂及方式的确定依据，明确</w:t>
      </w:r>
      <w:r>
        <w:rPr>
          <w:rFonts w:ascii="仿宋_GB2312" w:eastAsia="仿宋_GB2312" w:hAnsi="仿宋_GB2312" w:cs="仿宋_GB2312"/>
          <w:kern w:val="0"/>
          <w:sz w:val="32"/>
          <w:szCs w:val="32"/>
        </w:rPr>
        <w:t>可接受性准则</w:t>
      </w:r>
      <w:r>
        <w:rPr>
          <w:rFonts w:ascii="仿宋_GB2312" w:eastAsia="仿宋_GB2312" w:hAnsi="仿宋_GB2312" w:cs="仿宋_GB2312" w:hint="eastAsia"/>
          <w:kern w:val="0"/>
          <w:sz w:val="32"/>
          <w:szCs w:val="32"/>
        </w:rPr>
        <w:t>及实际开展的验证结果和结论</w:t>
      </w:r>
      <w:r>
        <w:rPr>
          <w:rFonts w:ascii="仿宋_GB2312" w:eastAsia="仿宋_GB2312" w:hAnsi="仿宋_GB2312" w:cs="仿宋_GB2312" w:hint="eastAsia"/>
          <w:sz w:val="32"/>
          <w:szCs w:val="32"/>
        </w:rPr>
        <w:t>。</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采用确定的工艺参数制造的</w:t>
      </w:r>
      <w:r>
        <w:rPr>
          <w:rFonts w:ascii="仿宋_GB2312" w:eastAsia="仿宋_GB2312" w:hAnsi="仿宋_GB2312" w:cs="仿宋_GB2312" w:hint="eastAsia"/>
          <w:kern w:val="0"/>
          <w:sz w:val="32"/>
          <w:szCs w:val="32"/>
        </w:rPr>
        <w:t>打印制件</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应对其</w:t>
      </w:r>
      <w:r>
        <w:rPr>
          <w:rFonts w:ascii="仿宋_GB2312" w:eastAsia="仿宋_GB2312" w:hAnsi="仿宋_GB2312" w:cs="仿宋_GB2312" w:hint="eastAsia"/>
          <w:sz w:val="32"/>
          <w:szCs w:val="32"/>
        </w:rPr>
        <w:t>打印精度、机械性能等指标</w:t>
      </w:r>
      <w:r>
        <w:rPr>
          <w:rFonts w:ascii="仿宋_GB2312" w:eastAsia="仿宋_GB2312" w:hAnsi="仿宋_GB2312" w:cs="仿宋_GB2312" w:hint="eastAsia"/>
          <w:kern w:val="0"/>
          <w:sz w:val="32"/>
          <w:szCs w:val="32"/>
        </w:rPr>
        <w:t>进行</w:t>
      </w:r>
      <w:r>
        <w:rPr>
          <w:rFonts w:ascii="仿宋_GB2312" w:eastAsia="仿宋_GB2312" w:hAnsi="仿宋_GB2312" w:cs="仿宋_GB2312" w:hint="eastAsia"/>
          <w:kern w:val="0"/>
          <w:sz w:val="32"/>
          <w:szCs w:val="32"/>
        </w:rPr>
        <w:t>研究</w:t>
      </w:r>
      <w:r>
        <w:rPr>
          <w:rFonts w:ascii="仿宋_GB2312" w:eastAsia="仿宋_GB2312" w:hAnsi="仿宋_GB2312" w:cs="仿宋_GB2312" w:hint="eastAsia"/>
          <w:sz w:val="32"/>
          <w:szCs w:val="32"/>
        </w:rPr>
        <w:t>。</w:t>
      </w:r>
    </w:p>
    <w:p w:rsidR="004731F4" w:rsidRDefault="00BD1A23">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如光敏树脂材料循环使用，应明确循环使用的次数并提供依据。</w:t>
      </w:r>
      <w:r>
        <w:rPr>
          <w:rFonts w:ascii="仿宋_GB2312" w:eastAsia="仿宋_GB2312" w:hAnsi="仿宋_GB2312" w:cs="仿宋_GB2312" w:hint="eastAsia"/>
          <w:kern w:val="0"/>
          <w:sz w:val="32"/>
          <w:szCs w:val="32"/>
        </w:rPr>
        <w:t>如宣称可同时选择多种不同厂家、不同型号打印设备时，应分别</w:t>
      </w:r>
      <w:r>
        <w:rPr>
          <w:rFonts w:ascii="仿宋_GB2312" w:eastAsia="仿宋_GB2312" w:hAnsi="仿宋_GB2312" w:cs="仿宋_GB2312" w:hint="eastAsia"/>
          <w:kern w:val="0"/>
          <w:sz w:val="32"/>
          <w:szCs w:val="32"/>
        </w:rPr>
        <w:t>开展验证</w:t>
      </w:r>
      <w:r>
        <w:rPr>
          <w:rFonts w:ascii="仿宋_GB2312" w:eastAsia="仿宋_GB2312" w:hAnsi="仿宋_GB2312" w:cs="仿宋_GB2312" w:hint="eastAsia"/>
          <w:kern w:val="0"/>
          <w:sz w:val="32"/>
          <w:szCs w:val="32"/>
        </w:rPr>
        <w:t>。</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5.3</w:t>
      </w:r>
      <w:r>
        <w:rPr>
          <w:rFonts w:ascii="仿宋_GB2312" w:eastAsia="仿宋_GB2312" w:hAnsi="仿宋_GB2312" w:cs="仿宋_GB2312" w:hint="eastAsia"/>
          <w:sz w:val="32"/>
          <w:szCs w:val="32"/>
        </w:rPr>
        <w:t>残余单体含量</w:t>
      </w:r>
      <w:r>
        <w:rPr>
          <w:rFonts w:ascii="仿宋_GB2312" w:eastAsia="仿宋_GB2312" w:hAnsi="仿宋_GB2312" w:cs="仿宋_GB2312" w:hint="eastAsia"/>
          <w:sz w:val="32"/>
          <w:szCs w:val="32"/>
        </w:rPr>
        <w:t>研究</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根据不同聚合物的类别来确定聚合物单体的成分，并控制残余单体含量。</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5.4</w:t>
      </w:r>
      <w:r>
        <w:rPr>
          <w:rFonts w:ascii="仿宋_GB2312" w:eastAsia="仿宋_GB2312" w:hAnsi="仿宋_GB2312" w:cs="仿宋_GB2312"/>
          <w:sz w:val="32"/>
          <w:szCs w:val="32"/>
        </w:rPr>
        <w:t>生物学特性研究</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生物相容性评价研究资料应当包括：生物相容性评价的依据和方法；产品所用材料的描述及与人体接触的性质；实施或豁免生物学试验的理由和论证</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对于现有数据或试验结果的评价。按照</w:t>
      </w:r>
      <w:r>
        <w:rPr>
          <w:rFonts w:ascii="仿宋_GB2312" w:eastAsia="仿宋_GB2312" w:hAnsi="仿宋_GB2312" w:cs="仿宋_GB2312"/>
          <w:sz w:val="32"/>
          <w:szCs w:val="32"/>
        </w:rPr>
        <w:t>GB/T 16886.1</w:t>
      </w:r>
      <w:r>
        <w:rPr>
          <w:rFonts w:ascii="仿宋_GB2312" w:eastAsia="仿宋_GB2312" w:hAnsi="仿宋_GB2312" w:cs="仿宋_GB2312"/>
          <w:sz w:val="32"/>
          <w:szCs w:val="32"/>
        </w:rPr>
        <w:t>《医疗器械生物学评价</w:t>
      </w:r>
      <w:r>
        <w:rPr>
          <w:rFonts w:ascii="仿宋_GB2312" w:eastAsia="仿宋_GB2312" w:hAnsi="仿宋_GB2312" w:cs="仿宋_GB2312"/>
          <w:sz w:val="32"/>
          <w:szCs w:val="32"/>
        </w:rPr>
        <w:t xml:space="preserve"> </w:t>
      </w:r>
      <w:r>
        <w:rPr>
          <w:rFonts w:ascii="仿宋_GB2312" w:eastAsia="仿宋_GB2312" w:hAnsi="仿宋_GB2312" w:cs="仿宋_GB2312"/>
          <w:sz w:val="32"/>
          <w:szCs w:val="32"/>
        </w:rPr>
        <w:t>第</w:t>
      </w:r>
      <w:r>
        <w:rPr>
          <w:rFonts w:ascii="仿宋_GB2312" w:eastAsia="仿宋_GB2312" w:hAnsi="仿宋_GB2312" w:cs="仿宋_GB2312"/>
          <w:sz w:val="32"/>
          <w:szCs w:val="32"/>
        </w:rPr>
        <w:t>1</w:t>
      </w:r>
      <w:r>
        <w:rPr>
          <w:rFonts w:ascii="仿宋_GB2312" w:eastAsia="仿宋_GB2312" w:hAnsi="仿宋_GB2312" w:cs="仿宋_GB2312"/>
          <w:sz w:val="32"/>
          <w:szCs w:val="32"/>
        </w:rPr>
        <w:t>部分：风险管理过程中的评价与试验》</w:t>
      </w:r>
      <w:r>
        <w:rPr>
          <w:rFonts w:ascii="仿宋_GB2312" w:eastAsia="仿宋_GB2312" w:hAnsi="仿宋_GB2312" w:cs="仿宋_GB2312"/>
          <w:sz w:val="32"/>
          <w:szCs w:val="32"/>
        </w:rPr>
        <w:t>YY/T 0268</w:t>
      </w:r>
      <w:r>
        <w:rPr>
          <w:rFonts w:ascii="仿宋_GB2312" w:eastAsia="仿宋_GB2312" w:hAnsi="仿宋_GB2312" w:cs="仿宋_GB2312"/>
          <w:sz w:val="32"/>
          <w:szCs w:val="32"/>
        </w:rPr>
        <w:t>《牙科学口腔医疗器械生物学评价第</w:t>
      </w:r>
      <w:r>
        <w:rPr>
          <w:rFonts w:ascii="仿宋_GB2312" w:eastAsia="仿宋_GB2312" w:hAnsi="仿宋_GB2312" w:cs="仿宋_GB2312"/>
          <w:sz w:val="32"/>
          <w:szCs w:val="32"/>
        </w:rPr>
        <w:t>1</w:t>
      </w:r>
      <w:r>
        <w:rPr>
          <w:rFonts w:ascii="仿宋_GB2312" w:eastAsia="仿宋_GB2312" w:hAnsi="仿宋_GB2312" w:cs="仿宋_GB2312"/>
          <w:sz w:val="32"/>
          <w:szCs w:val="32"/>
        </w:rPr>
        <w:t>单元：评价与试验》</w:t>
      </w:r>
      <w:r>
        <w:rPr>
          <w:rFonts w:ascii="仿宋_GB2312" w:eastAsia="仿宋_GB2312" w:hAnsi="仿宋_GB2312" w:cs="仿宋_GB2312" w:hint="eastAsia"/>
          <w:snapToGrid w:val="0"/>
          <w:sz w:val="32"/>
          <w:szCs w:val="32"/>
        </w:rPr>
        <w:t>《关于印发医疗器械生物学评价和审查指南的通知》</w:t>
      </w:r>
      <w:r>
        <w:rPr>
          <w:rFonts w:ascii="仿宋_GB2312" w:eastAsia="仿宋_GB2312" w:hAnsi="仿宋_GB2312" w:cs="仿宋_GB2312"/>
          <w:sz w:val="32"/>
          <w:szCs w:val="32"/>
        </w:rPr>
        <w:t>进行评价</w:t>
      </w:r>
      <w:r>
        <w:rPr>
          <w:rFonts w:ascii="仿宋_GB2312" w:eastAsia="仿宋_GB2312" w:hAnsi="仿宋_GB2312" w:cs="仿宋_GB2312" w:hint="eastAsia"/>
          <w:sz w:val="32"/>
          <w:szCs w:val="32"/>
        </w:rPr>
        <w:t>，</w:t>
      </w:r>
      <w:r>
        <w:rPr>
          <w:rFonts w:ascii="仿宋_GB2312" w:eastAsia="仿宋_GB2312" w:hAnsi="仿宋_GB2312" w:cs="仿宋_GB2312" w:hint="eastAsia"/>
          <w:snapToGrid w:val="0"/>
          <w:sz w:val="32"/>
          <w:szCs w:val="32"/>
        </w:rPr>
        <w:t>评价终点至少包括</w:t>
      </w:r>
      <w:r>
        <w:rPr>
          <w:rFonts w:ascii="仿宋_GB2312" w:eastAsia="仿宋_GB2312" w:hAnsi="仿宋_GB2312" w:cs="仿宋_GB2312" w:hint="eastAsia"/>
          <w:sz w:val="32"/>
          <w:szCs w:val="32"/>
        </w:rPr>
        <w:t>细胞毒性、致敏反应、刺激或皮内反应</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致热性、急性全身毒性。</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5.5</w:t>
      </w:r>
      <w:r>
        <w:rPr>
          <w:rFonts w:ascii="仿宋_GB2312" w:eastAsia="仿宋_GB2312" w:hAnsi="仿宋_GB2312" w:cs="仿宋_GB2312"/>
          <w:sz w:val="32"/>
          <w:szCs w:val="32"/>
        </w:rPr>
        <w:t>清洁、消毒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灭菌</w:t>
      </w:r>
      <w:r>
        <w:rPr>
          <w:rFonts w:ascii="仿宋_GB2312" w:eastAsia="仿宋_GB2312" w:hAnsi="仿宋_GB2312" w:cs="仿宋_GB2312"/>
          <w:sz w:val="32"/>
          <w:szCs w:val="32"/>
        </w:rPr>
        <w:t>研究</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通常</w:t>
      </w:r>
      <w:r>
        <w:rPr>
          <w:rFonts w:ascii="仿宋_GB2312" w:eastAsia="仿宋_GB2312" w:hAnsi="仿宋_GB2312" w:cs="仿宋_GB2312" w:hint="eastAsia"/>
          <w:sz w:val="32"/>
          <w:szCs w:val="32"/>
        </w:rPr>
        <w:t>由医疗机构进行</w:t>
      </w:r>
      <w:r>
        <w:rPr>
          <w:rFonts w:ascii="仿宋_GB2312" w:eastAsia="仿宋_GB2312" w:hAnsi="仿宋_GB2312" w:cs="仿宋_GB2312"/>
          <w:sz w:val="32"/>
          <w:szCs w:val="32"/>
        </w:rPr>
        <w:t>清洁、消毒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灭</w:t>
      </w:r>
      <w:r>
        <w:rPr>
          <w:rFonts w:ascii="仿宋_GB2312" w:eastAsia="仿宋_GB2312" w:hAnsi="仿宋_GB2312" w:cs="仿宋_GB2312" w:hint="eastAsia"/>
          <w:sz w:val="32"/>
          <w:szCs w:val="32"/>
        </w:rPr>
        <w:t>菌</w:t>
      </w:r>
      <w:r>
        <w:rPr>
          <w:rFonts w:ascii="仿宋_GB2312" w:eastAsia="仿宋_GB2312" w:hAnsi="仿宋_GB2312" w:cs="仿宋_GB2312"/>
          <w:sz w:val="32"/>
          <w:szCs w:val="32"/>
        </w:rPr>
        <w:t>：应当明确推荐的清洗和消毒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灭菌方法</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消毒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灭菌方法</w:t>
      </w:r>
      <w:r>
        <w:rPr>
          <w:rFonts w:ascii="仿宋_GB2312" w:eastAsia="仿宋_GB2312" w:hAnsi="仿宋_GB2312" w:cs="仿宋_GB2312"/>
          <w:sz w:val="32"/>
          <w:szCs w:val="32"/>
        </w:rPr>
        <w:t>确定依据以及验证的相关研究资料。若</w:t>
      </w:r>
      <w:r>
        <w:rPr>
          <w:rFonts w:ascii="仿宋_GB2312" w:eastAsia="仿宋_GB2312" w:hAnsi="仿宋_GB2312" w:cs="仿宋_GB2312" w:hint="eastAsia"/>
          <w:sz w:val="32"/>
          <w:szCs w:val="32"/>
        </w:rPr>
        <w:t>牙科</w:t>
      </w:r>
      <w:r>
        <w:rPr>
          <w:rFonts w:ascii="仿宋_GB2312" w:eastAsia="仿宋_GB2312" w:hAnsi="仿宋_GB2312" w:cs="仿宋_GB2312" w:hint="eastAsia"/>
          <w:sz w:val="32"/>
          <w:szCs w:val="32"/>
        </w:rPr>
        <w:t>种植用导板</w:t>
      </w:r>
      <w:r>
        <w:rPr>
          <w:rFonts w:ascii="仿宋_GB2312" w:eastAsia="仿宋_GB2312" w:hAnsi="仿宋_GB2312" w:cs="仿宋_GB2312"/>
          <w:sz w:val="32"/>
          <w:szCs w:val="32"/>
        </w:rPr>
        <w:t>经消毒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灭菌</w:t>
      </w:r>
      <w:r>
        <w:rPr>
          <w:rFonts w:ascii="仿宋_GB2312" w:eastAsia="仿宋_GB2312" w:hAnsi="仿宋_GB2312" w:cs="仿宋_GB2312"/>
          <w:sz w:val="32"/>
          <w:szCs w:val="32"/>
        </w:rPr>
        <w:t>后可能产生残留物质</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应当对消毒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灭菌</w:t>
      </w:r>
      <w:r>
        <w:rPr>
          <w:rFonts w:ascii="仿宋_GB2312" w:eastAsia="仿宋_GB2312" w:hAnsi="仿宋_GB2312" w:cs="仿宋_GB2312"/>
          <w:sz w:val="32"/>
          <w:szCs w:val="32"/>
        </w:rPr>
        <w:t>后的产品进行残留毒性的研究，明确残留物信息及采取的处理方法，并提供相关研究资料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必要时还</w:t>
      </w:r>
      <w:r>
        <w:rPr>
          <w:rFonts w:ascii="仿宋_GB2312" w:eastAsia="仿宋_GB2312" w:hAnsi="仿宋_GB2312" w:cs="仿宋_GB2312" w:hint="eastAsia"/>
          <w:spacing w:val="-1"/>
          <w:sz w:val="32"/>
          <w:szCs w:val="32"/>
        </w:rPr>
        <w:t>应评估消毒</w:t>
      </w:r>
      <w:r>
        <w:rPr>
          <w:rFonts w:ascii="仿宋_GB2312" w:eastAsia="仿宋_GB2312" w:hAnsi="仿宋_GB2312" w:cs="仿宋_GB2312" w:hint="eastAsia"/>
          <w:spacing w:val="-1"/>
          <w:sz w:val="32"/>
          <w:szCs w:val="32"/>
        </w:rPr>
        <w:t>/</w:t>
      </w:r>
      <w:r>
        <w:rPr>
          <w:rFonts w:ascii="仿宋_GB2312" w:eastAsia="仿宋_GB2312" w:hAnsi="仿宋_GB2312" w:cs="仿宋_GB2312" w:hint="eastAsia"/>
          <w:spacing w:val="-1"/>
          <w:sz w:val="32"/>
          <w:szCs w:val="32"/>
        </w:rPr>
        <w:t>灭菌对产品生物相容性的影响</w:t>
      </w:r>
      <w:r>
        <w:rPr>
          <w:rFonts w:ascii="仿宋_GB2312" w:eastAsia="仿宋_GB2312" w:hAnsi="仿宋_GB2312" w:cs="仿宋_GB2312"/>
          <w:sz w:val="32"/>
          <w:szCs w:val="32"/>
        </w:rPr>
        <w:t>。</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5.6</w:t>
      </w:r>
      <w:r>
        <w:rPr>
          <w:rFonts w:ascii="仿宋_GB2312" w:eastAsia="仿宋_GB2312" w:hAnsi="仿宋_GB2312" w:cs="仿宋_GB2312" w:hint="eastAsia"/>
          <w:sz w:val="32"/>
          <w:szCs w:val="32"/>
        </w:rPr>
        <w:t>稳定性研究</w:t>
      </w:r>
    </w:p>
    <w:p w:rsidR="004731F4" w:rsidRDefault="00BD1A23">
      <w:pPr>
        <w:pStyle w:val="ad"/>
        <w:spacing w:line="520" w:lineRule="exact"/>
        <w:ind w:firstLine="640"/>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5.6.1</w:t>
      </w:r>
      <w:r>
        <w:rPr>
          <w:rFonts w:ascii="仿宋_GB2312" w:eastAsia="仿宋_GB2312" w:hAnsi="仿宋_GB2312" w:cs="仿宋_GB2312" w:hint="eastAsia"/>
          <w:color w:val="auto"/>
          <w:sz w:val="32"/>
          <w:szCs w:val="32"/>
        </w:rPr>
        <w:t>应</w:t>
      </w:r>
      <w:r>
        <w:rPr>
          <w:rFonts w:ascii="仿宋_GB2312" w:eastAsia="仿宋_GB2312" w:hAnsi="仿宋_GB2312" w:cs="仿宋_GB2312" w:hint="eastAsia"/>
          <w:color w:val="auto"/>
          <w:sz w:val="32"/>
          <w:szCs w:val="32"/>
        </w:rPr>
        <w:t>明确定</w:t>
      </w:r>
      <w:r>
        <w:rPr>
          <w:rFonts w:ascii="仿宋_GB2312" w:eastAsia="仿宋_GB2312" w:hAnsi="仿宋_GB2312" w:cs="仿宋_GB2312" w:hint="eastAsia"/>
          <w:color w:val="auto"/>
          <w:sz w:val="32"/>
          <w:szCs w:val="32"/>
        </w:rPr>
        <w:t>牙科</w:t>
      </w:r>
      <w:r>
        <w:rPr>
          <w:rFonts w:ascii="仿宋_GB2312" w:eastAsia="仿宋_GB2312" w:hAnsi="仿宋_GB2312" w:cs="仿宋_GB2312" w:hint="eastAsia"/>
          <w:color w:val="auto"/>
          <w:sz w:val="32"/>
          <w:szCs w:val="32"/>
        </w:rPr>
        <w:t>种植用导板</w:t>
      </w:r>
      <w:r>
        <w:rPr>
          <w:rFonts w:ascii="仿宋_GB2312" w:eastAsia="仿宋_GB2312" w:hAnsi="仿宋_GB2312" w:cs="仿宋_GB2312" w:hint="eastAsia"/>
          <w:color w:val="auto"/>
          <w:sz w:val="32"/>
          <w:szCs w:val="32"/>
        </w:rPr>
        <w:t>的</w:t>
      </w:r>
      <w:r>
        <w:rPr>
          <w:rFonts w:ascii="仿宋_GB2312" w:eastAsia="仿宋_GB2312" w:hAnsi="仿宋_GB2312" w:cs="仿宋_GB2312" w:hint="eastAsia"/>
          <w:color w:val="auto"/>
          <w:sz w:val="32"/>
          <w:szCs w:val="32"/>
        </w:rPr>
        <w:t>安装有效期</w:t>
      </w:r>
      <w:r>
        <w:rPr>
          <w:rFonts w:ascii="仿宋_GB2312" w:eastAsia="仿宋_GB2312" w:hAnsi="仿宋_GB2312" w:cs="仿宋_GB2312" w:hint="eastAsia"/>
          <w:color w:val="auto"/>
          <w:sz w:val="32"/>
          <w:szCs w:val="32"/>
        </w:rPr>
        <w:t>，即在患者口腔内取模或影像扫描至</w:t>
      </w:r>
      <w:r>
        <w:rPr>
          <w:rFonts w:ascii="仿宋_GB2312" w:eastAsia="仿宋_GB2312" w:hAnsi="仿宋_GB2312" w:cs="仿宋_GB2312" w:hint="eastAsia"/>
          <w:color w:val="auto"/>
          <w:sz w:val="32"/>
          <w:szCs w:val="32"/>
        </w:rPr>
        <w:t>使用</w:t>
      </w:r>
      <w:r>
        <w:rPr>
          <w:rFonts w:ascii="仿宋_GB2312" w:eastAsia="仿宋_GB2312" w:hAnsi="仿宋_GB2312" w:cs="仿宋_GB2312" w:hint="eastAsia"/>
          <w:color w:val="auto"/>
          <w:sz w:val="32"/>
          <w:szCs w:val="32"/>
        </w:rPr>
        <w:t>的最长期限，</w:t>
      </w:r>
      <w:r>
        <w:rPr>
          <w:rFonts w:ascii="仿宋_GB2312" w:eastAsia="仿宋_GB2312" w:hAnsi="仿宋_GB2312" w:cs="仿宋_GB2312" w:hint="eastAsia"/>
          <w:color w:val="auto"/>
          <w:sz w:val="32"/>
          <w:szCs w:val="32"/>
        </w:rPr>
        <w:t>并提供支持资料</w:t>
      </w:r>
      <w:r>
        <w:rPr>
          <w:rFonts w:ascii="仿宋_GB2312" w:eastAsia="仿宋_GB2312" w:hAnsi="仿宋_GB2312" w:cs="仿宋_GB2312" w:hint="eastAsia"/>
          <w:color w:val="auto"/>
          <w:sz w:val="32"/>
          <w:szCs w:val="32"/>
        </w:rPr>
        <w:t>。</w:t>
      </w:r>
    </w:p>
    <w:p w:rsidR="004731F4" w:rsidRDefault="00BD1A23">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5.6.2</w:t>
      </w:r>
      <w:r>
        <w:rPr>
          <w:rFonts w:ascii="仿宋_GB2312" w:eastAsia="仿宋_GB2312" w:hAnsi="仿宋_GB2312" w:cs="仿宋_GB2312"/>
          <w:sz w:val="32"/>
          <w:szCs w:val="32"/>
        </w:rPr>
        <w:t>运输稳定性：应明确产品的内包装形式并确保包装在宣称的运输储存条件下，在产品有效期内能够对产品起到防护作用并保持产品清洁。产品包装验证可参考</w:t>
      </w:r>
      <w:r>
        <w:rPr>
          <w:rFonts w:ascii="仿宋_GB2312" w:eastAsia="仿宋_GB2312" w:hAnsi="仿宋_GB2312" w:cs="仿宋_GB2312"/>
          <w:sz w:val="32"/>
          <w:szCs w:val="32"/>
        </w:rPr>
        <w:t>GB/T 19633.1</w:t>
      </w:r>
      <w:r>
        <w:rPr>
          <w:rFonts w:ascii="仿宋_GB2312" w:eastAsia="仿宋_GB2312" w:hAnsi="仿宋_GB2312" w:cs="仿宋_GB2312"/>
          <w:sz w:val="32"/>
          <w:szCs w:val="32"/>
        </w:rPr>
        <w:t>、</w:t>
      </w:r>
      <w:r>
        <w:rPr>
          <w:rFonts w:ascii="仿宋_GB2312" w:eastAsia="仿宋_GB2312" w:hAnsi="仿宋_GB2312" w:cs="仿宋_GB2312"/>
          <w:sz w:val="32"/>
          <w:szCs w:val="32"/>
        </w:rPr>
        <w:t>YY/T 0681.15</w:t>
      </w:r>
      <w:r>
        <w:rPr>
          <w:rFonts w:ascii="仿宋_GB2312" w:eastAsia="仿宋_GB2312" w:hAnsi="仿宋_GB2312" w:cs="仿宋_GB2312"/>
          <w:sz w:val="32"/>
          <w:szCs w:val="32"/>
        </w:rPr>
        <w:t>等标准进行，提交产品的包装验证报告。包装材料的选择应考虑以下因素：包装材料的物理化学性能；是否会引入重金属、微生物等外来物质；包装材料与成型和密封过程的适应性；包装材料与产品的适应性；包装材料与标签系统的适应性；包装材料与贮存运输过程的适合性。包装验证的资料内容应与包装说明中给出的信息相符</w:t>
      </w:r>
      <w:r>
        <w:rPr>
          <w:rFonts w:ascii="仿宋_GB2312" w:eastAsia="仿宋_GB2312" w:hAnsi="仿宋_GB2312" w:cs="仿宋_GB2312"/>
          <w:kern w:val="0"/>
          <w:sz w:val="32"/>
          <w:szCs w:val="32"/>
        </w:rPr>
        <w:t>。</w:t>
      </w:r>
    </w:p>
    <w:p w:rsidR="004731F4" w:rsidRDefault="00BD1A23">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5.7</w:t>
      </w:r>
      <w:r>
        <w:rPr>
          <w:rFonts w:ascii="仿宋_GB2312" w:eastAsia="仿宋_GB2312" w:hAnsi="仿宋_GB2312" w:cs="仿宋_GB2312" w:hint="eastAsia"/>
          <w:sz w:val="32"/>
          <w:szCs w:val="32"/>
        </w:rPr>
        <w:t>其他资料</w:t>
      </w:r>
    </w:p>
    <w:p w:rsidR="004731F4" w:rsidRDefault="00BD1A23">
      <w:pPr>
        <w:spacing w:line="520" w:lineRule="exact"/>
        <w:ind w:firstLineChars="200" w:firstLine="640"/>
        <w:rPr>
          <w:rFonts w:eastAsia="仿宋_GB2312"/>
          <w:snapToGrid w:val="0"/>
          <w:kern w:val="0"/>
          <w:sz w:val="32"/>
          <w:szCs w:val="32"/>
        </w:rPr>
      </w:pPr>
      <w:r>
        <w:rPr>
          <w:rFonts w:ascii="仿宋_GB2312" w:eastAsia="仿宋_GB2312" w:hAnsi="仿宋_GB2312" w:cs="仿宋_GB2312" w:hint="eastAsia"/>
          <w:kern w:val="0"/>
          <w:sz w:val="32"/>
          <w:szCs w:val="32"/>
        </w:rPr>
        <w:t>对于列入《免于</w:t>
      </w:r>
      <w:r>
        <w:rPr>
          <w:rFonts w:ascii="仿宋_GB2312" w:eastAsia="仿宋_GB2312" w:hAnsi="仿宋_GB2312" w:cs="仿宋_GB2312" w:hint="eastAsia"/>
          <w:kern w:val="0"/>
          <w:sz w:val="32"/>
          <w:szCs w:val="32"/>
        </w:rPr>
        <w:t>进行</w:t>
      </w:r>
      <w:r>
        <w:rPr>
          <w:rFonts w:ascii="仿宋_GB2312" w:eastAsia="仿宋_GB2312" w:hAnsi="仿宋_GB2312" w:cs="仿宋_GB2312" w:hint="eastAsia"/>
          <w:kern w:val="0"/>
          <w:sz w:val="32"/>
          <w:szCs w:val="32"/>
        </w:rPr>
        <w:t>临床评价医疗器械目录》的</w:t>
      </w:r>
      <w:r>
        <w:rPr>
          <w:rFonts w:ascii="仿宋_GB2312" w:eastAsia="仿宋_GB2312" w:hAnsi="仿宋_GB2312" w:cs="仿宋_GB2312" w:hint="eastAsia"/>
          <w:kern w:val="0"/>
          <w:sz w:val="32"/>
          <w:szCs w:val="32"/>
        </w:rPr>
        <w:t>牙科种植用导板</w:t>
      </w:r>
      <w:r>
        <w:rPr>
          <w:rFonts w:ascii="仿宋_GB2312" w:eastAsia="仿宋_GB2312" w:hAnsi="仿宋_GB2312" w:cs="仿宋_GB2312" w:hint="eastAsia"/>
          <w:kern w:val="0"/>
          <w:sz w:val="32"/>
          <w:szCs w:val="32"/>
        </w:rPr>
        <w:t>，注册申请人应当按照</w:t>
      </w:r>
      <w:r>
        <w:rPr>
          <w:rFonts w:ascii="仿宋_GB2312" w:eastAsia="仿宋_GB2312" w:hAnsi="仿宋_GB2312" w:cs="仿宋_GB2312"/>
          <w:kern w:val="0"/>
          <w:sz w:val="32"/>
          <w:szCs w:val="32"/>
        </w:rPr>
        <w:t>《</w:t>
      </w:r>
      <w:r>
        <w:rPr>
          <w:rFonts w:ascii="仿宋_GB2312" w:eastAsia="仿宋_GB2312" w:hAnsi="仿宋_GB2312" w:cs="仿宋_GB2312" w:hint="eastAsia"/>
          <w:kern w:val="0"/>
          <w:sz w:val="32"/>
          <w:szCs w:val="32"/>
        </w:rPr>
        <w:t>列入免于临床评价医疗器械目录产品对比说明技术指导原则</w:t>
      </w:r>
      <w:r>
        <w:rPr>
          <w:rFonts w:ascii="仿宋_GB2312" w:eastAsia="仿宋_GB2312" w:hAnsi="仿宋_GB2312" w:cs="仿宋_GB2312"/>
          <w:kern w:val="0"/>
          <w:sz w:val="32"/>
          <w:szCs w:val="32"/>
        </w:rPr>
        <w:t>》</w:t>
      </w:r>
      <w:r>
        <w:rPr>
          <w:rFonts w:ascii="仿宋_GB2312" w:eastAsia="仿宋_GB2312" w:hAnsi="仿宋_GB2312" w:cs="仿宋_GB2312" w:hint="eastAsia"/>
          <w:kern w:val="0"/>
          <w:sz w:val="32"/>
          <w:szCs w:val="32"/>
        </w:rPr>
        <w:t>的要求，从基本原理、结构组成、性能、安全性、适用范围等方面证明产品的安全有效性。</w:t>
      </w:r>
    </w:p>
    <w:p w:rsidR="004731F4" w:rsidRDefault="00BD1A23">
      <w:pPr>
        <w:spacing w:line="520" w:lineRule="exact"/>
        <w:ind w:firstLineChars="200" w:firstLine="640"/>
        <w:rPr>
          <w:rFonts w:eastAsia="楷体_GB2312"/>
          <w:sz w:val="32"/>
          <w:szCs w:val="32"/>
        </w:rPr>
      </w:pPr>
      <w:r>
        <w:rPr>
          <w:rFonts w:ascii="Times New Roman" w:eastAsia="楷体_GB2312" w:hAnsi="Times New Roman"/>
          <w:sz w:val="32"/>
          <w:szCs w:val="32"/>
        </w:rPr>
        <w:t>（</w:t>
      </w:r>
      <w:r>
        <w:rPr>
          <w:rFonts w:ascii="Times New Roman" w:eastAsia="楷体_GB2312" w:hAnsi="Times New Roman" w:hint="eastAsia"/>
          <w:sz w:val="32"/>
          <w:szCs w:val="32"/>
        </w:rPr>
        <w:t>五</w:t>
      </w:r>
      <w:r>
        <w:rPr>
          <w:rFonts w:ascii="Times New Roman" w:eastAsia="楷体_GB2312" w:hAnsi="Times New Roman"/>
          <w:sz w:val="32"/>
          <w:szCs w:val="32"/>
        </w:rPr>
        <w:t>）临床评价资料</w:t>
      </w:r>
    </w:p>
    <w:p w:rsidR="004731F4" w:rsidRDefault="00BD1A23">
      <w:pPr>
        <w:spacing w:line="520" w:lineRule="exact"/>
        <w:ind w:firstLineChars="200" w:firstLine="640"/>
        <w:rPr>
          <w:rFonts w:ascii="仿宋_GB2312" w:eastAsia="仿宋_GB2312" w:hAnsi="Times New Roman" w:cs="MS Shell Dlg"/>
          <w:bCs/>
          <w:kern w:val="0"/>
          <w:sz w:val="32"/>
          <w:szCs w:val="32"/>
        </w:rPr>
      </w:pPr>
      <w:r>
        <w:rPr>
          <w:rFonts w:ascii="Times New Roman" w:eastAsia="仿宋_GB2312" w:hAnsi="Times New Roman" w:cs="Times New Roman" w:hint="eastAsia"/>
          <w:kern w:val="0"/>
          <w:sz w:val="32"/>
          <w:szCs w:val="32"/>
        </w:rPr>
        <w:t>对于需要进行临床评价的</w:t>
      </w:r>
      <w:r>
        <w:rPr>
          <w:rFonts w:ascii="Times New Roman" w:eastAsia="仿宋_GB2312" w:hAnsi="Times New Roman" w:cs="Times New Roman" w:hint="eastAsia"/>
          <w:kern w:val="0"/>
          <w:sz w:val="32"/>
          <w:szCs w:val="32"/>
        </w:rPr>
        <w:t>牙科种植用导板</w:t>
      </w:r>
      <w:r>
        <w:rPr>
          <w:rFonts w:ascii="Times New Roman" w:eastAsia="仿宋_GB2312" w:hAnsi="Times New Roman" w:cs="Times New Roman" w:hint="eastAsia"/>
          <w:kern w:val="0"/>
          <w:sz w:val="32"/>
          <w:szCs w:val="32"/>
        </w:rPr>
        <w:t>，注册申请人应按照《医疗器械临床评价技术指导原则》的要求，提交临床评价资料。</w:t>
      </w:r>
    </w:p>
    <w:p w:rsidR="004731F4" w:rsidRDefault="00BD1A23">
      <w:pPr>
        <w:spacing w:line="520" w:lineRule="exact"/>
        <w:ind w:firstLineChars="200" w:firstLine="640"/>
        <w:rPr>
          <w:rFonts w:ascii="Times New Roman" w:eastAsia="楷体_GB2312" w:hAnsi="Times New Roman" w:cs="Times New Roman"/>
          <w:sz w:val="32"/>
          <w:szCs w:val="32"/>
        </w:rPr>
      </w:pPr>
      <w:r>
        <w:rPr>
          <w:rFonts w:ascii="Times New Roman" w:eastAsia="楷体_GB2312" w:hAnsi="Times New Roman" w:cs="Times New Roman"/>
          <w:sz w:val="32"/>
          <w:szCs w:val="32"/>
        </w:rPr>
        <w:t>（</w:t>
      </w:r>
      <w:r>
        <w:rPr>
          <w:rFonts w:ascii="Times New Roman" w:eastAsia="楷体_GB2312" w:hAnsi="Times New Roman" w:cs="Times New Roman" w:hint="eastAsia"/>
          <w:sz w:val="32"/>
          <w:szCs w:val="32"/>
        </w:rPr>
        <w:t>六</w:t>
      </w:r>
      <w:r>
        <w:rPr>
          <w:rFonts w:ascii="Times New Roman" w:eastAsia="楷体_GB2312" w:hAnsi="Times New Roman" w:cs="Times New Roman"/>
          <w:sz w:val="32"/>
          <w:szCs w:val="32"/>
        </w:rPr>
        <w:t>）产品说明书和标签样稿</w:t>
      </w:r>
    </w:p>
    <w:p w:rsidR="004731F4" w:rsidRDefault="00BD1A23">
      <w:pPr>
        <w:pStyle w:val="ad"/>
        <w:spacing w:line="520" w:lineRule="exact"/>
        <w:ind w:firstLine="64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产品说明书、标签和包装标识需符合《医疗器械说明书和标签管理规定》和相关国家标准、行业标准的要求，例如</w:t>
      </w:r>
      <w:r>
        <w:rPr>
          <w:rFonts w:ascii="仿宋_GB2312" w:eastAsia="仿宋_GB2312" w:hAnsi="仿宋_GB2312" w:cs="仿宋_GB2312" w:hint="eastAsia"/>
          <w:color w:val="auto"/>
          <w:kern w:val="0"/>
          <w:sz w:val="32"/>
          <w:szCs w:val="32"/>
        </w:rPr>
        <w:t xml:space="preserve">YY/T </w:t>
      </w:r>
      <w:r>
        <w:rPr>
          <w:rFonts w:ascii="仿宋_GB2312" w:eastAsia="仿宋_GB2312" w:hAnsi="仿宋_GB2312" w:cs="仿宋_GB2312" w:hint="eastAsia"/>
          <w:color w:val="auto"/>
          <w:kern w:val="0"/>
          <w:sz w:val="32"/>
          <w:szCs w:val="32"/>
        </w:rPr>
        <w:t>0466.1</w:t>
      </w:r>
      <w:r>
        <w:rPr>
          <w:rFonts w:ascii="仿宋_GB2312" w:eastAsia="仿宋_GB2312" w:hAnsi="仿宋_GB2312" w:cs="仿宋_GB2312" w:hint="eastAsia"/>
          <w:color w:val="auto"/>
          <w:kern w:val="0"/>
          <w:sz w:val="32"/>
          <w:szCs w:val="32"/>
        </w:rPr>
        <w:t>《医疗器械用于医疗器械标签、标记和提供信息的符号第</w:t>
      </w:r>
      <w:r>
        <w:rPr>
          <w:rFonts w:ascii="仿宋_GB2312" w:eastAsia="仿宋_GB2312" w:hAnsi="仿宋_GB2312" w:cs="仿宋_GB2312" w:hint="eastAsia"/>
          <w:color w:val="auto"/>
          <w:kern w:val="0"/>
          <w:sz w:val="32"/>
          <w:szCs w:val="32"/>
        </w:rPr>
        <w:t>1</w:t>
      </w:r>
      <w:r>
        <w:rPr>
          <w:rFonts w:ascii="仿宋_GB2312" w:eastAsia="仿宋_GB2312" w:hAnsi="仿宋_GB2312" w:cs="仿宋_GB2312" w:hint="eastAsia"/>
          <w:color w:val="auto"/>
          <w:kern w:val="0"/>
          <w:sz w:val="32"/>
          <w:szCs w:val="32"/>
        </w:rPr>
        <w:t>部分：通用要求》。说明书中关于产品性能特征的描述不应超出研究资料及产品技术要求，不得含有未经验证的、夸大宣传的相关描述，并应重点阐述以下内容：</w:t>
      </w:r>
    </w:p>
    <w:p w:rsidR="004731F4" w:rsidRDefault="00BD1A23">
      <w:pPr>
        <w:pStyle w:val="ad"/>
        <w:spacing w:line="520" w:lineRule="exact"/>
        <w:ind w:firstLine="64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1.</w:t>
      </w:r>
      <w:r>
        <w:rPr>
          <w:rFonts w:ascii="仿宋_GB2312" w:eastAsia="仿宋_GB2312" w:hAnsi="仿宋_GB2312" w:cs="仿宋_GB2312" w:hint="eastAsia"/>
          <w:color w:val="auto"/>
          <w:kern w:val="0"/>
          <w:sz w:val="32"/>
          <w:szCs w:val="32"/>
        </w:rPr>
        <w:t>产品需要由具有专业资质的医师使用；</w:t>
      </w:r>
    </w:p>
    <w:p w:rsidR="004731F4" w:rsidRDefault="00BD1A23">
      <w:pPr>
        <w:pStyle w:val="ad"/>
        <w:spacing w:line="520" w:lineRule="exact"/>
        <w:ind w:firstLine="64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2.</w:t>
      </w:r>
      <w:r>
        <w:rPr>
          <w:rFonts w:ascii="仿宋_GB2312" w:eastAsia="仿宋_GB2312" w:hAnsi="仿宋_GB2312" w:cs="仿宋_GB2312" w:hint="eastAsia"/>
          <w:color w:val="auto"/>
          <w:kern w:val="0"/>
          <w:sz w:val="32"/>
          <w:szCs w:val="32"/>
        </w:rPr>
        <w:t>推荐终端用户消毒</w:t>
      </w:r>
      <w:r>
        <w:rPr>
          <w:rFonts w:ascii="仿宋_GB2312" w:eastAsia="仿宋_GB2312" w:hAnsi="仿宋_GB2312" w:cs="仿宋_GB2312" w:hint="eastAsia"/>
          <w:color w:val="auto"/>
          <w:kern w:val="0"/>
          <w:sz w:val="32"/>
          <w:szCs w:val="32"/>
        </w:rPr>
        <w:t>/</w:t>
      </w:r>
      <w:r>
        <w:rPr>
          <w:rFonts w:ascii="仿宋_GB2312" w:eastAsia="仿宋_GB2312" w:hAnsi="仿宋_GB2312" w:cs="仿宋_GB2312" w:hint="eastAsia"/>
          <w:color w:val="auto"/>
          <w:kern w:val="0"/>
          <w:sz w:val="32"/>
          <w:szCs w:val="32"/>
        </w:rPr>
        <w:t>灭菌的方法及参数；</w:t>
      </w:r>
    </w:p>
    <w:p w:rsidR="004731F4" w:rsidRDefault="00BD1A23">
      <w:pPr>
        <w:pStyle w:val="ad"/>
        <w:spacing w:line="520" w:lineRule="exact"/>
        <w:ind w:firstLine="64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3.</w:t>
      </w:r>
      <w:r>
        <w:rPr>
          <w:rFonts w:ascii="仿宋_GB2312" w:eastAsia="仿宋_GB2312" w:hAnsi="仿宋_GB2312" w:cs="仿宋_GB2312" w:hint="eastAsia"/>
          <w:color w:val="auto"/>
          <w:kern w:val="0"/>
          <w:sz w:val="32"/>
          <w:szCs w:val="32"/>
        </w:rPr>
        <w:t>产品安装有效期；</w:t>
      </w:r>
    </w:p>
    <w:p w:rsidR="004731F4" w:rsidRDefault="00BD1A23">
      <w:pPr>
        <w:pStyle w:val="ad"/>
        <w:spacing w:line="520" w:lineRule="exact"/>
        <w:ind w:firstLine="640"/>
        <w:rPr>
          <w:rFonts w:ascii="仿宋_GB2312" w:eastAsia="仿宋_GB2312" w:hAnsi="仿宋_GB2312" w:cs="仿宋_GB2312"/>
          <w:color w:val="auto"/>
          <w:spacing w:val="-1"/>
          <w:sz w:val="32"/>
          <w:szCs w:val="32"/>
        </w:rPr>
      </w:pPr>
      <w:r>
        <w:rPr>
          <w:rFonts w:ascii="仿宋_GB2312" w:eastAsia="仿宋_GB2312" w:hAnsi="仿宋_GB2312" w:cs="仿宋_GB2312" w:hint="eastAsia"/>
          <w:color w:val="auto"/>
          <w:kern w:val="0"/>
          <w:sz w:val="32"/>
          <w:szCs w:val="32"/>
        </w:rPr>
        <w:t>4.</w:t>
      </w:r>
      <w:r>
        <w:rPr>
          <w:rFonts w:ascii="仿宋_GB2312" w:eastAsia="仿宋_GB2312" w:hAnsi="仿宋_GB2312" w:cs="仿宋_GB2312" w:hint="eastAsia"/>
          <w:color w:val="auto"/>
          <w:kern w:val="0"/>
          <w:sz w:val="32"/>
          <w:szCs w:val="32"/>
        </w:rPr>
        <w:t>产品使用前应检查导板的固位、稳定、密合度等项目，评估导板的匹配性。</w:t>
      </w:r>
    </w:p>
    <w:p w:rsidR="004731F4" w:rsidRDefault="00BD1A23">
      <w:pPr>
        <w:spacing w:line="520" w:lineRule="exact"/>
        <w:ind w:firstLineChars="200" w:firstLine="640"/>
        <w:rPr>
          <w:rFonts w:ascii="Times New Roman" w:eastAsia="楷体_GB2312" w:hAnsi="Times New Roman" w:cs="Times New Roman"/>
          <w:sz w:val="32"/>
          <w:szCs w:val="32"/>
        </w:rPr>
      </w:pPr>
      <w:r>
        <w:rPr>
          <w:rFonts w:ascii="Times New Roman" w:eastAsia="楷体_GB2312" w:hAnsi="Times New Roman" w:cs="Times New Roman"/>
          <w:sz w:val="32"/>
          <w:szCs w:val="32"/>
        </w:rPr>
        <w:t>（</w:t>
      </w:r>
      <w:r>
        <w:rPr>
          <w:rFonts w:ascii="Times New Roman" w:eastAsia="楷体_GB2312" w:hAnsi="Times New Roman" w:cs="Times New Roman" w:hint="eastAsia"/>
          <w:sz w:val="32"/>
          <w:szCs w:val="32"/>
        </w:rPr>
        <w:t>七</w:t>
      </w:r>
      <w:r>
        <w:rPr>
          <w:rFonts w:ascii="Times New Roman" w:eastAsia="楷体_GB2312" w:hAnsi="Times New Roman" w:cs="Times New Roman"/>
          <w:sz w:val="32"/>
          <w:szCs w:val="32"/>
        </w:rPr>
        <w:t>）质量管理体系文件</w:t>
      </w:r>
    </w:p>
    <w:p w:rsidR="004731F4" w:rsidRDefault="00BD1A23">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按照《关于公布医疗器械注册申报资料要求和批准证明文件格式的公告》提交相关文件。</w:t>
      </w:r>
    </w:p>
    <w:p w:rsidR="004731F4" w:rsidRDefault="00BD1A23">
      <w:pPr>
        <w:pStyle w:val="ad"/>
        <w:spacing w:line="520" w:lineRule="exact"/>
        <w:ind w:firstLine="640"/>
        <w:rPr>
          <w:rFonts w:ascii="仿宋_GB2312" w:eastAsia="仿宋_GB2312" w:hAnsi="仿宋_GB2312" w:cs="仿宋_GB2312"/>
          <w:color w:val="auto"/>
          <w:kern w:val="0"/>
          <w:sz w:val="32"/>
          <w:szCs w:val="32"/>
        </w:rPr>
      </w:pPr>
      <w:r>
        <w:rPr>
          <w:rFonts w:ascii="仿宋_GB2312" w:eastAsia="仿宋_GB2312" w:hAnsi="仿宋_GB2312" w:cs="仿宋_GB2312"/>
          <w:color w:val="auto"/>
          <w:kern w:val="0"/>
          <w:sz w:val="32"/>
          <w:szCs w:val="32"/>
        </w:rPr>
        <w:t>1.</w:t>
      </w:r>
      <w:r>
        <w:rPr>
          <w:rFonts w:ascii="仿宋_GB2312" w:eastAsia="仿宋_GB2312" w:hAnsi="仿宋_GB2312" w:cs="仿宋_GB2312"/>
          <w:color w:val="auto"/>
          <w:kern w:val="0"/>
          <w:sz w:val="32"/>
          <w:szCs w:val="32"/>
        </w:rPr>
        <w:t>详述产品的生产工艺和步骤，提供生产工艺流程图。提交产品生产工艺概述、生产工艺过程中需要进行控制和测试的环节及相关证明性资料。确认关键工艺点，并对生产工艺的可控性、稳定性进行确认。</w:t>
      </w:r>
    </w:p>
    <w:p w:rsidR="004731F4" w:rsidRDefault="00BD1A23">
      <w:pPr>
        <w:pStyle w:val="ad"/>
        <w:spacing w:line="520" w:lineRule="exact"/>
        <w:ind w:firstLine="640"/>
        <w:rPr>
          <w:rFonts w:ascii="仿宋_GB2312" w:eastAsia="仿宋_GB2312" w:hAnsi="仿宋_GB2312" w:cs="仿宋_GB2312"/>
          <w:color w:val="auto"/>
          <w:kern w:val="0"/>
          <w:sz w:val="32"/>
          <w:szCs w:val="32"/>
        </w:rPr>
      </w:pPr>
      <w:r>
        <w:rPr>
          <w:rFonts w:ascii="仿宋_GB2312" w:eastAsia="仿宋_GB2312" w:hAnsi="仿宋_GB2312" w:cs="仿宋_GB2312"/>
          <w:color w:val="auto"/>
          <w:kern w:val="0"/>
          <w:sz w:val="32"/>
          <w:szCs w:val="32"/>
        </w:rPr>
        <w:t>2.</w:t>
      </w:r>
      <w:r>
        <w:rPr>
          <w:rFonts w:ascii="仿宋_GB2312" w:eastAsia="仿宋_GB2312" w:hAnsi="仿宋_GB2312" w:cs="仿宋_GB2312"/>
          <w:color w:val="auto"/>
          <w:kern w:val="0"/>
          <w:sz w:val="32"/>
          <w:szCs w:val="32"/>
        </w:rPr>
        <w:t>明确特殊过程和关键工序，提供特殊过程的确认资料以及关键工序的验证资料。对于可能影响终产品性能的内容，如打印工艺，后处理工艺，清洗工艺等，需提供详细的工艺验证资料。</w:t>
      </w:r>
    </w:p>
    <w:p w:rsidR="004731F4" w:rsidRDefault="00BD1A23">
      <w:pPr>
        <w:pStyle w:val="ad"/>
        <w:spacing w:line="520" w:lineRule="exact"/>
        <w:ind w:firstLine="64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3.</w:t>
      </w:r>
      <w:r>
        <w:rPr>
          <w:rFonts w:ascii="仿宋_GB2312" w:eastAsia="仿宋_GB2312" w:hAnsi="仿宋_GB2312" w:cs="仿宋_GB2312" w:hint="eastAsia"/>
          <w:color w:val="auto"/>
          <w:kern w:val="0"/>
          <w:sz w:val="32"/>
          <w:szCs w:val="32"/>
        </w:rPr>
        <w:t>建议参考《个性化匹配骨植入物及工具医工交互质控审查指导原则》</w:t>
      </w:r>
      <w:r>
        <w:rPr>
          <w:rFonts w:ascii="仿宋_GB2312" w:eastAsia="仿宋_GB2312" w:hAnsi="仿宋_GB2312" w:cs="仿宋_GB2312" w:hint="eastAsia"/>
          <w:color w:val="auto"/>
          <w:kern w:val="0"/>
          <w:sz w:val="32"/>
          <w:szCs w:val="32"/>
        </w:rPr>
        <w:t>(2020</w:t>
      </w:r>
      <w:r>
        <w:rPr>
          <w:rFonts w:ascii="仿宋_GB2312" w:eastAsia="仿宋_GB2312" w:hAnsi="仿宋_GB2312" w:cs="仿宋_GB2312" w:hint="eastAsia"/>
          <w:color w:val="auto"/>
          <w:kern w:val="0"/>
          <w:sz w:val="32"/>
          <w:szCs w:val="32"/>
        </w:rPr>
        <w:t>年第</w:t>
      </w:r>
      <w:r>
        <w:rPr>
          <w:rFonts w:ascii="仿宋_GB2312" w:eastAsia="仿宋_GB2312" w:hAnsi="仿宋_GB2312" w:cs="仿宋_GB2312" w:hint="eastAsia"/>
          <w:color w:val="auto"/>
          <w:kern w:val="0"/>
          <w:sz w:val="32"/>
          <w:szCs w:val="32"/>
        </w:rPr>
        <w:t>62</w:t>
      </w:r>
      <w:r>
        <w:rPr>
          <w:rFonts w:ascii="仿宋_GB2312" w:eastAsia="仿宋_GB2312" w:hAnsi="仿宋_GB2312" w:cs="仿宋_GB2312" w:hint="eastAsia"/>
          <w:color w:val="auto"/>
          <w:kern w:val="0"/>
          <w:sz w:val="32"/>
          <w:szCs w:val="32"/>
        </w:rPr>
        <w:t>号</w:t>
      </w:r>
      <w:r>
        <w:rPr>
          <w:rFonts w:ascii="仿宋_GB2312" w:eastAsia="仿宋_GB2312" w:hAnsi="仿宋_GB2312" w:cs="仿宋_GB2312" w:hint="eastAsia"/>
          <w:color w:val="auto"/>
          <w:kern w:val="0"/>
          <w:sz w:val="32"/>
          <w:szCs w:val="32"/>
        </w:rPr>
        <w:t>)</w:t>
      </w:r>
      <w:r>
        <w:rPr>
          <w:rFonts w:ascii="仿宋_GB2312" w:eastAsia="仿宋_GB2312" w:hAnsi="仿宋_GB2312" w:cs="仿宋_GB2312" w:hint="eastAsia"/>
          <w:color w:val="auto"/>
          <w:kern w:val="0"/>
          <w:sz w:val="32"/>
          <w:szCs w:val="32"/>
        </w:rPr>
        <w:t>，</w:t>
      </w:r>
      <w:r>
        <w:rPr>
          <w:rFonts w:eastAsia="仿宋_GB2312"/>
          <w:sz w:val="32"/>
          <w:szCs w:val="32"/>
        </w:rPr>
        <w:t>阐述各阶段的医工职责及交互内容</w:t>
      </w:r>
      <w:r>
        <w:rPr>
          <w:rFonts w:eastAsia="仿宋_GB2312" w:hint="eastAsia"/>
          <w:sz w:val="32"/>
          <w:szCs w:val="32"/>
        </w:rPr>
        <w:t>，</w:t>
      </w:r>
      <w:r>
        <w:rPr>
          <w:rFonts w:eastAsia="仿宋_GB2312"/>
          <w:sz w:val="32"/>
          <w:szCs w:val="32"/>
        </w:rPr>
        <w:t>对研发资料内容进行充实和细化</w:t>
      </w:r>
      <w:r>
        <w:rPr>
          <w:rFonts w:eastAsia="仿宋_GB2312" w:hint="eastAsia"/>
          <w:sz w:val="32"/>
          <w:szCs w:val="32"/>
        </w:rPr>
        <w:t>。</w:t>
      </w:r>
    </w:p>
    <w:p w:rsidR="004731F4" w:rsidRDefault="00BD1A23">
      <w:pPr>
        <w:spacing w:line="520" w:lineRule="exact"/>
        <w:ind w:rightChars="-32" w:right="-67" w:firstLineChars="200" w:firstLine="640"/>
        <w:rPr>
          <w:rFonts w:ascii="Times New Roman" w:eastAsia="黑体" w:hAnsi="Times New Roman" w:cs="Times New Roman"/>
          <w:kern w:val="28"/>
          <w:sz w:val="32"/>
          <w:szCs w:val="32"/>
        </w:rPr>
      </w:pPr>
      <w:r>
        <w:rPr>
          <w:rFonts w:ascii="Times New Roman" w:eastAsia="黑体" w:hAnsi="Times New Roman" w:cs="Times New Roman"/>
          <w:kern w:val="28"/>
          <w:sz w:val="32"/>
          <w:szCs w:val="32"/>
        </w:rPr>
        <w:t>三、参考文献</w:t>
      </w: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[1]</w:t>
      </w:r>
      <w:r>
        <w:rPr>
          <w:rFonts w:ascii="Times New Roman" w:eastAsia="仿宋_GB2312" w:hAnsi="Times New Roman" w:cs="Times New Roman" w:hint="eastAsia"/>
          <w:kern w:val="0"/>
          <w:sz w:val="32"/>
          <w:szCs w:val="32"/>
        </w:rPr>
        <w:t>GB/T 16886</w:t>
      </w:r>
      <w:r>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医疗器械生物学评价</w:t>
      </w:r>
      <w:r>
        <w:rPr>
          <w:rFonts w:ascii="Times New Roman" w:eastAsia="仿宋_GB2312" w:hAnsi="Times New Roman" w:cs="Times New Roman" w:hint="eastAsia"/>
          <w:kern w:val="0"/>
          <w:sz w:val="32"/>
          <w:szCs w:val="32"/>
        </w:rPr>
        <w:t xml:space="preserve"> </w:t>
      </w:r>
      <w:r>
        <w:rPr>
          <w:rFonts w:ascii="Times New Roman" w:eastAsia="仿宋_GB2312" w:hAnsi="Times New Roman" w:cs="Times New Roman" w:hint="eastAsia"/>
          <w:kern w:val="0"/>
          <w:sz w:val="32"/>
          <w:szCs w:val="32"/>
        </w:rPr>
        <w:t>系列标准</w:t>
      </w:r>
      <w:r>
        <w:rPr>
          <w:rFonts w:ascii="Times New Roman" w:eastAsia="仿宋_GB2312" w:hAnsi="Times New Roman" w:cs="Times New Roman" w:hint="eastAsia"/>
          <w:kern w:val="0"/>
          <w:sz w:val="32"/>
          <w:szCs w:val="32"/>
        </w:rPr>
        <w:t>[S].</w:t>
      </w: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[2]YY/T 0268</w:t>
      </w:r>
      <w:r>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牙科学</w:t>
      </w:r>
      <w:r>
        <w:rPr>
          <w:rFonts w:ascii="Times New Roman" w:eastAsia="仿宋_GB2312" w:hAnsi="Times New Roman" w:cs="Times New Roman" w:hint="eastAsia"/>
          <w:kern w:val="0"/>
          <w:sz w:val="32"/>
          <w:szCs w:val="32"/>
        </w:rPr>
        <w:t xml:space="preserve"> </w:t>
      </w:r>
      <w:r>
        <w:rPr>
          <w:rFonts w:ascii="Times New Roman" w:eastAsia="仿宋_GB2312" w:hAnsi="Times New Roman" w:cs="Times New Roman" w:hint="eastAsia"/>
          <w:kern w:val="0"/>
          <w:sz w:val="32"/>
          <w:szCs w:val="32"/>
        </w:rPr>
        <w:t>口腔医疗器械生物学评价</w:t>
      </w:r>
      <w:r>
        <w:rPr>
          <w:rFonts w:ascii="Times New Roman" w:eastAsia="仿宋_GB2312" w:hAnsi="Times New Roman" w:cs="Times New Roman" w:hint="eastAsia"/>
          <w:kern w:val="0"/>
          <w:sz w:val="32"/>
          <w:szCs w:val="32"/>
        </w:rPr>
        <w:t xml:space="preserve"> </w:t>
      </w:r>
      <w:r>
        <w:rPr>
          <w:rFonts w:ascii="Times New Roman" w:eastAsia="仿宋_GB2312" w:hAnsi="Times New Roman" w:cs="Times New Roman" w:hint="eastAsia"/>
          <w:kern w:val="0"/>
          <w:sz w:val="32"/>
          <w:szCs w:val="32"/>
        </w:rPr>
        <w:t>第</w:t>
      </w:r>
      <w:r>
        <w:rPr>
          <w:rFonts w:ascii="Times New Roman" w:eastAsia="仿宋_GB2312" w:hAnsi="Times New Roman" w:cs="Times New Roman" w:hint="eastAsia"/>
          <w:kern w:val="0"/>
          <w:sz w:val="32"/>
          <w:szCs w:val="32"/>
        </w:rPr>
        <w:t>1</w:t>
      </w:r>
      <w:r>
        <w:rPr>
          <w:rFonts w:ascii="Times New Roman" w:eastAsia="仿宋_GB2312" w:hAnsi="Times New Roman" w:cs="Times New Roman" w:hint="eastAsia"/>
          <w:kern w:val="0"/>
          <w:sz w:val="32"/>
          <w:szCs w:val="32"/>
        </w:rPr>
        <w:t>单元：评价与试验</w:t>
      </w:r>
      <w:r>
        <w:rPr>
          <w:rFonts w:ascii="Times New Roman" w:eastAsia="仿宋_GB2312" w:hAnsi="Times New Roman" w:cs="Times New Roman"/>
          <w:kern w:val="0"/>
          <w:sz w:val="32"/>
          <w:szCs w:val="32"/>
        </w:rPr>
        <w:t>[S]</w:t>
      </w:r>
      <w:r>
        <w:rPr>
          <w:rFonts w:ascii="Times New Roman" w:eastAsia="仿宋_GB2312" w:hAnsi="Times New Roman" w:cs="Times New Roman" w:hint="eastAsia"/>
          <w:kern w:val="0"/>
          <w:sz w:val="32"/>
          <w:szCs w:val="32"/>
        </w:rPr>
        <w:t>.</w:t>
      </w: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3</w:t>
      </w:r>
      <w:r>
        <w:rPr>
          <w:rFonts w:ascii="Times New Roman" w:eastAsia="仿宋_GB2312" w:hAnsi="Times New Roman" w:cs="Times New Roman"/>
          <w:kern w:val="0"/>
          <w:sz w:val="32"/>
          <w:szCs w:val="32"/>
        </w:rPr>
        <w:t>]GB/T 42062</w:t>
      </w:r>
      <w:r>
        <w:rPr>
          <w:rFonts w:ascii="Times New Roman" w:eastAsia="仿宋_GB2312" w:hAnsi="Times New Roman" w:cs="Times New Roman" w:hint="eastAsia"/>
          <w:kern w:val="0"/>
          <w:sz w:val="32"/>
          <w:szCs w:val="32"/>
        </w:rPr>
        <w:t>,</w:t>
      </w:r>
      <w:r>
        <w:rPr>
          <w:rFonts w:ascii="Times New Roman" w:eastAsia="仿宋_GB2312" w:hAnsi="Times New Roman" w:cs="Times New Roman"/>
          <w:kern w:val="0"/>
          <w:sz w:val="32"/>
          <w:szCs w:val="32"/>
        </w:rPr>
        <w:t>医疗器械风险管理对医疗器械的应用</w:t>
      </w:r>
      <w:r>
        <w:rPr>
          <w:rFonts w:ascii="Times New Roman" w:eastAsia="仿宋_GB2312" w:hAnsi="Times New Roman" w:cs="Times New Roman" w:hint="eastAsia"/>
          <w:kern w:val="0"/>
          <w:sz w:val="32"/>
          <w:szCs w:val="32"/>
        </w:rPr>
        <w:t>[S]</w:t>
      </w:r>
      <w:r>
        <w:rPr>
          <w:rFonts w:ascii="Times New Roman" w:eastAsia="仿宋_GB2312" w:hAnsi="Times New Roman" w:cs="Times New Roman"/>
          <w:kern w:val="0"/>
          <w:sz w:val="32"/>
          <w:szCs w:val="32"/>
        </w:rPr>
        <w:t>.</w:t>
      </w: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4</w:t>
      </w:r>
      <w:r>
        <w:rPr>
          <w:rFonts w:ascii="Times New Roman" w:eastAsia="仿宋_GB2312" w:hAnsi="Times New Roman" w:cs="Times New Roman"/>
          <w:kern w:val="0"/>
          <w:sz w:val="32"/>
          <w:szCs w:val="32"/>
        </w:rPr>
        <w:t>]YY/T 0466.1</w:t>
      </w:r>
      <w:r>
        <w:rPr>
          <w:rFonts w:ascii="Times New Roman" w:eastAsia="仿宋_GB2312" w:hAnsi="Times New Roman" w:cs="Times New Roman" w:hint="eastAsia"/>
          <w:kern w:val="0"/>
          <w:sz w:val="32"/>
          <w:szCs w:val="32"/>
        </w:rPr>
        <w:t>,</w:t>
      </w:r>
      <w:r>
        <w:rPr>
          <w:rFonts w:ascii="Times New Roman" w:eastAsia="仿宋_GB2312" w:hAnsi="Times New Roman" w:cs="Times New Roman"/>
          <w:kern w:val="0"/>
          <w:sz w:val="32"/>
          <w:szCs w:val="32"/>
        </w:rPr>
        <w:t>医疗器械用于医疗器械标签、标记和提供信息的符号第</w:t>
      </w:r>
      <w:r>
        <w:rPr>
          <w:rFonts w:ascii="Times New Roman" w:eastAsia="仿宋_GB2312" w:hAnsi="Times New Roman" w:cs="Times New Roman"/>
          <w:kern w:val="0"/>
          <w:sz w:val="32"/>
          <w:szCs w:val="32"/>
        </w:rPr>
        <w:t>1</w:t>
      </w:r>
      <w:r>
        <w:rPr>
          <w:rFonts w:ascii="Times New Roman" w:eastAsia="仿宋_GB2312" w:hAnsi="Times New Roman" w:cs="Times New Roman"/>
          <w:kern w:val="0"/>
          <w:sz w:val="32"/>
          <w:szCs w:val="32"/>
        </w:rPr>
        <w:t>部分：通用要求</w:t>
      </w:r>
      <w:r>
        <w:rPr>
          <w:rFonts w:ascii="Times New Roman" w:eastAsia="仿宋_GB2312" w:hAnsi="Times New Roman" w:cs="Times New Roman"/>
          <w:kern w:val="0"/>
          <w:sz w:val="32"/>
          <w:szCs w:val="32"/>
        </w:rPr>
        <w:t>[S].</w:t>
      </w: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5</w:t>
      </w:r>
      <w:r>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GB/T 19633.1,</w:t>
      </w:r>
      <w:r>
        <w:rPr>
          <w:rFonts w:ascii="Times New Roman" w:eastAsia="仿宋_GB2312" w:hAnsi="Times New Roman" w:cs="Times New Roman"/>
          <w:kern w:val="0"/>
          <w:sz w:val="32"/>
          <w:szCs w:val="32"/>
        </w:rPr>
        <w:t>最终灭菌医疗器械包装</w:t>
      </w:r>
      <w:r>
        <w:rPr>
          <w:rFonts w:ascii="Times New Roman" w:eastAsia="仿宋_GB2312" w:hAnsi="Times New Roman" w:cs="Times New Roman"/>
          <w:kern w:val="0"/>
          <w:sz w:val="32"/>
          <w:szCs w:val="32"/>
        </w:rPr>
        <w:t xml:space="preserve"> </w:t>
      </w:r>
      <w:r>
        <w:rPr>
          <w:rFonts w:ascii="Times New Roman" w:eastAsia="仿宋_GB2312" w:hAnsi="Times New Roman" w:cs="Times New Roman"/>
          <w:kern w:val="0"/>
          <w:sz w:val="32"/>
          <w:szCs w:val="32"/>
        </w:rPr>
        <w:t>第</w:t>
      </w:r>
      <w:r>
        <w:rPr>
          <w:rFonts w:ascii="Times New Roman" w:eastAsia="仿宋_GB2312" w:hAnsi="Times New Roman" w:cs="Times New Roman"/>
          <w:kern w:val="0"/>
          <w:sz w:val="32"/>
          <w:szCs w:val="32"/>
        </w:rPr>
        <w:t>1</w:t>
      </w:r>
      <w:r>
        <w:rPr>
          <w:rFonts w:ascii="Times New Roman" w:eastAsia="仿宋_GB2312" w:hAnsi="Times New Roman" w:cs="Times New Roman"/>
          <w:kern w:val="0"/>
          <w:sz w:val="32"/>
          <w:szCs w:val="32"/>
        </w:rPr>
        <w:t>部分</w:t>
      </w:r>
      <w:r>
        <w:rPr>
          <w:rFonts w:ascii="Times New Roman" w:eastAsia="仿宋_GB2312" w:hAnsi="Times New Roman" w:cs="Times New Roman"/>
          <w:kern w:val="0"/>
          <w:sz w:val="32"/>
          <w:szCs w:val="32"/>
        </w:rPr>
        <w:t>:</w:t>
      </w:r>
      <w:r>
        <w:rPr>
          <w:rFonts w:ascii="Times New Roman" w:eastAsia="仿宋_GB2312" w:hAnsi="Times New Roman" w:cs="Times New Roman"/>
          <w:kern w:val="0"/>
          <w:sz w:val="32"/>
          <w:szCs w:val="32"/>
        </w:rPr>
        <w:t>材料、无菌屏障系统和包装系统的要求</w:t>
      </w:r>
      <w:r>
        <w:rPr>
          <w:rFonts w:ascii="Times New Roman" w:eastAsia="仿宋_GB2312" w:hAnsi="Times New Roman" w:cs="Times New Roman" w:hint="eastAsia"/>
          <w:kern w:val="0"/>
          <w:sz w:val="32"/>
          <w:szCs w:val="32"/>
        </w:rPr>
        <w:t>[S].</w:t>
      </w:r>
    </w:p>
    <w:p w:rsidR="004731F4" w:rsidRDefault="004731F4">
      <w:pPr>
        <w:widowControl/>
        <w:adjustRightInd w:val="0"/>
        <w:snapToGrid w:val="0"/>
        <w:spacing w:line="480" w:lineRule="exact"/>
        <w:rPr>
          <w:rFonts w:ascii="Times New Roman" w:eastAsia="仿宋_GB2312" w:hAnsi="Times New Roman" w:cs="Times New Roman"/>
          <w:sz w:val="32"/>
          <w:szCs w:val="32"/>
        </w:rPr>
      </w:pPr>
    </w:p>
    <w:p w:rsidR="004731F4" w:rsidRDefault="004731F4">
      <w:pPr>
        <w:widowControl/>
        <w:adjustRightInd w:val="0"/>
        <w:snapToGrid w:val="0"/>
        <w:spacing w:line="480" w:lineRule="exact"/>
        <w:ind w:firstLineChars="200" w:firstLine="640"/>
        <w:rPr>
          <w:rFonts w:ascii="Times New Roman" w:eastAsia="仿宋_GB2312" w:hAnsi="Times New Roman" w:cs="Times New Roman"/>
          <w:sz w:val="32"/>
          <w:szCs w:val="32"/>
        </w:rPr>
        <w:sectPr w:rsidR="004731F4">
          <w:footerReference w:type="even" r:id="rId10"/>
          <w:footerReference w:type="default" r:id="rId11"/>
          <w:pgSz w:w="11906" w:h="16838"/>
          <w:pgMar w:top="2098" w:right="1588" w:bottom="2098" w:left="1588" w:header="851" w:footer="992" w:gutter="0"/>
          <w:lnNumType w:countBy="1" w:restart="continuous"/>
          <w:cols w:space="425"/>
          <w:docGrid w:type="lines" w:linePitch="312"/>
        </w:sectPr>
      </w:pPr>
    </w:p>
    <w:p w:rsidR="004731F4" w:rsidRDefault="00BD1A23">
      <w:pPr>
        <w:spacing w:line="52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附表</w:t>
      </w:r>
    </w:p>
    <w:p w:rsidR="004731F4" w:rsidRDefault="00BD1A23">
      <w:pPr>
        <w:spacing w:beforeLines="100" w:before="312" w:line="520" w:lineRule="exact"/>
        <w:jc w:val="center"/>
        <w:rPr>
          <w:rFonts w:ascii="黑体" w:eastAsia="黑体" w:hAnsi="黑体" w:cs="黑体"/>
          <w:kern w:val="0"/>
          <w:sz w:val="28"/>
          <w:szCs w:val="28"/>
        </w:rPr>
      </w:pPr>
      <w:r>
        <w:rPr>
          <w:rFonts w:ascii="黑体" w:eastAsia="黑体" w:hAnsi="黑体" w:cs="黑体" w:hint="eastAsia"/>
          <w:kern w:val="0"/>
          <w:sz w:val="28"/>
          <w:szCs w:val="28"/>
        </w:rPr>
        <w:t>牙科种植用导板</w:t>
      </w:r>
      <w:r>
        <w:rPr>
          <w:rFonts w:ascii="黑体" w:eastAsia="黑体" w:hAnsi="黑体" w:cs="黑体"/>
          <w:kern w:val="0"/>
          <w:sz w:val="28"/>
          <w:szCs w:val="28"/>
        </w:rPr>
        <w:t>的主要危害举例</w:t>
      </w:r>
    </w:p>
    <w:tbl>
      <w:tblPr>
        <w:tblpPr w:leftFromText="180" w:rightFromText="180" w:vertAnchor="text" w:tblpXSpec="center" w:tblpY="1"/>
        <w:tblOverlap w:val="never"/>
        <w:tblW w:w="8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559"/>
        <w:gridCol w:w="3776"/>
        <w:gridCol w:w="2094"/>
      </w:tblGrid>
      <w:tr w:rsidR="004731F4">
        <w:trPr>
          <w:trHeight w:val="20"/>
          <w:tblHeader/>
        </w:trPr>
        <w:tc>
          <w:tcPr>
            <w:tcW w:w="2604" w:type="dxa"/>
            <w:gridSpan w:val="2"/>
            <w:vAlign w:val="center"/>
          </w:tcPr>
          <w:p w:rsidR="004731F4" w:rsidRDefault="00BD1A23">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危害的分类</w:t>
            </w:r>
          </w:p>
        </w:tc>
        <w:tc>
          <w:tcPr>
            <w:tcW w:w="3776" w:type="dxa"/>
            <w:vAlign w:val="center"/>
          </w:tcPr>
          <w:p w:rsidR="004731F4" w:rsidRDefault="00BD1A23">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危害的形成因素</w:t>
            </w:r>
          </w:p>
        </w:tc>
        <w:tc>
          <w:tcPr>
            <w:tcW w:w="2094" w:type="dxa"/>
            <w:vAlign w:val="center"/>
          </w:tcPr>
          <w:p w:rsidR="004731F4" w:rsidRDefault="00BD1A23">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可能的后果</w:t>
            </w:r>
          </w:p>
        </w:tc>
      </w:tr>
      <w:tr w:rsidR="004731F4">
        <w:trPr>
          <w:trHeight w:val="20"/>
        </w:trPr>
        <w:tc>
          <w:tcPr>
            <w:tcW w:w="1045" w:type="dxa"/>
            <w:vMerge w:val="restart"/>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生物学危害</w:t>
            </w: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生物不相容性</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用于生产加工</w:t>
            </w:r>
            <w:r>
              <w:rPr>
                <w:rFonts w:ascii="仿宋_GB2312" w:eastAsia="仿宋_GB2312" w:hAnsi="仿宋_GB2312" w:cs="仿宋_GB2312" w:hint="eastAsia"/>
                <w:kern w:val="0"/>
                <w:sz w:val="28"/>
                <w:szCs w:val="28"/>
              </w:rPr>
              <w:t>牙科种植用导板</w:t>
            </w:r>
            <w:r>
              <w:rPr>
                <w:rFonts w:ascii="仿宋_GB2312" w:eastAsia="仿宋_GB2312" w:hAnsi="仿宋_GB2312" w:cs="仿宋_GB2312"/>
                <w:kern w:val="0"/>
                <w:sz w:val="28"/>
                <w:szCs w:val="28"/>
              </w:rPr>
              <w:t>的材料，不具有良好的生物相容性。</w:t>
            </w:r>
          </w:p>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推荐的消毒方法导致材料发生变化不具有良好的生物相容性。</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产生毒性、刺激等反应，如牙龈刺激、红肿等。</w:t>
            </w:r>
          </w:p>
        </w:tc>
      </w:tr>
      <w:tr w:rsidR="004731F4">
        <w:trPr>
          <w:trHeight w:val="20"/>
        </w:trPr>
        <w:tc>
          <w:tcPr>
            <w:tcW w:w="1045" w:type="dxa"/>
            <w:vMerge/>
            <w:vAlign w:val="center"/>
          </w:tcPr>
          <w:p w:rsidR="004731F4" w:rsidRDefault="004731F4">
            <w:pPr>
              <w:spacing w:line="520" w:lineRule="exact"/>
              <w:ind w:firstLineChars="200" w:firstLine="560"/>
              <w:rPr>
                <w:rFonts w:ascii="仿宋_GB2312" w:eastAsia="仿宋_GB2312" w:hAnsi="仿宋_GB2312" w:cs="仿宋_GB2312"/>
                <w:kern w:val="0"/>
                <w:sz w:val="28"/>
                <w:szCs w:val="28"/>
              </w:rPr>
            </w:pP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材料过敏</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使用前未了解患者过敏史，未在说明书中警示；或材料的金属有害元素超标。</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引起患者过敏</w:t>
            </w:r>
          </w:p>
        </w:tc>
      </w:tr>
      <w:tr w:rsidR="004731F4">
        <w:trPr>
          <w:trHeight w:val="20"/>
        </w:trPr>
        <w:tc>
          <w:tcPr>
            <w:tcW w:w="1045" w:type="dxa"/>
            <w:vMerge/>
            <w:vAlign w:val="center"/>
          </w:tcPr>
          <w:p w:rsidR="004731F4" w:rsidRDefault="004731F4">
            <w:pPr>
              <w:spacing w:line="520" w:lineRule="exact"/>
              <w:ind w:firstLineChars="200" w:firstLine="560"/>
              <w:rPr>
                <w:rFonts w:ascii="仿宋_GB2312" w:eastAsia="仿宋_GB2312" w:hAnsi="仿宋_GB2312" w:cs="仿宋_GB2312"/>
                <w:kern w:val="0"/>
                <w:sz w:val="28"/>
                <w:szCs w:val="28"/>
              </w:rPr>
            </w:pP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再感染和</w:t>
            </w:r>
            <w:r>
              <w:rPr>
                <w:rFonts w:ascii="仿宋_GB2312" w:eastAsia="仿宋_GB2312" w:hAnsi="仿宋_GB2312" w:cs="仿宋_GB2312"/>
                <w:kern w:val="0"/>
                <w:sz w:val="28"/>
                <w:szCs w:val="28"/>
              </w:rPr>
              <w:t>/</w:t>
            </w:r>
            <w:r>
              <w:rPr>
                <w:rFonts w:ascii="仿宋_GB2312" w:eastAsia="仿宋_GB2312" w:hAnsi="仿宋_GB2312" w:cs="仿宋_GB2312"/>
                <w:kern w:val="0"/>
                <w:sz w:val="28"/>
                <w:szCs w:val="28"/>
              </w:rPr>
              <w:t>或交叉感染</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使用前未有效清洁、消毒；设计单上标记与模型不一一对应，标识不清。</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引起患者局部、交叉感染。</w:t>
            </w:r>
          </w:p>
        </w:tc>
      </w:tr>
      <w:tr w:rsidR="004731F4">
        <w:trPr>
          <w:trHeight w:val="20"/>
        </w:trPr>
        <w:tc>
          <w:tcPr>
            <w:tcW w:w="1045" w:type="dxa"/>
            <w:shd w:val="clear" w:color="auto" w:fill="auto"/>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设计输出不满足要求产生的危害</w:t>
            </w:r>
          </w:p>
        </w:tc>
        <w:tc>
          <w:tcPr>
            <w:tcW w:w="1559" w:type="dxa"/>
            <w:shd w:val="clear" w:color="auto" w:fill="auto"/>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设计生产等不恰当</w:t>
            </w:r>
          </w:p>
        </w:tc>
        <w:tc>
          <w:tcPr>
            <w:tcW w:w="3776" w:type="dxa"/>
            <w:shd w:val="clear" w:color="auto" w:fill="auto"/>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产品的设计方案不恰当或未经医疗机构确认</w:t>
            </w:r>
          </w:p>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产品性能的要求不全面</w:t>
            </w:r>
          </w:p>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设计软件等不适合</w:t>
            </w:r>
          </w:p>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设计生产等未有医疗机构参与</w:t>
            </w:r>
          </w:p>
        </w:tc>
        <w:tc>
          <w:tcPr>
            <w:tcW w:w="2094" w:type="dxa"/>
            <w:shd w:val="clear" w:color="auto" w:fill="auto"/>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产品设计不能满足要求，可能导致手术失败。</w:t>
            </w:r>
          </w:p>
        </w:tc>
      </w:tr>
      <w:tr w:rsidR="004731F4">
        <w:trPr>
          <w:trHeight w:val="20"/>
        </w:trPr>
        <w:tc>
          <w:tcPr>
            <w:tcW w:w="1045" w:type="dxa"/>
            <w:vMerge w:val="restart"/>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机械</w:t>
            </w:r>
          </w:p>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危害</w:t>
            </w: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产品表面不光滑</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产品粗糙部分磨损、划伤牙龈、口腔粘膜及或软组织等。</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对患者牙龈、口腔黏膜及软组织造成意外伤害。</w:t>
            </w:r>
          </w:p>
        </w:tc>
      </w:tr>
      <w:tr w:rsidR="004731F4">
        <w:trPr>
          <w:trHeight w:val="20"/>
        </w:trPr>
        <w:tc>
          <w:tcPr>
            <w:tcW w:w="1045" w:type="dxa"/>
            <w:vMerge/>
            <w:vAlign w:val="center"/>
          </w:tcPr>
          <w:p w:rsidR="004731F4" w:rsidRDefault="004731F4">
            <w:pPr>
              <w:spacing w:line="520" w:lineRule="exact"/>
              <w:ind w:firstLineChars="200" w:firstLine="560"/>
              <w:rPr>
                <w:rFonts w:ascii="仿宋_GB2312" w:eastAsia="仿宋_GB2312" w:hAnsi="仿宋_GB2312" w:cs="仿宋_GB2312"/>
                <w:kern w:val="0"/>
                <w:sz w:val="28"/>
                <w:szCs w:val="28"/>
              </w:rPr>
            </w:pP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不适当的材料或加工过程中工艺参数的控制失效，如力学性能无法满足要求</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未选择正确的原材料或生产过程控制失效。</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产品精度不能满足要求，可能导致手术失败。</w:t>
            </w:r>
          </w:p>
          <w:p w:rsidR="004731F4" w:rsidRDefault="004731F4">
            <w:pPr>
              <w:spacing w:line="520" w:lineRule="exact"/>
              <w:ind w:firstLineChars="200" w:firstLine="560"/>
              <w:rPr>
                <w:rFonts w:ascii="仿宋_GB2312" w:eastAsia="仿宋_GB2312" w:hAnsi="仿宋_GB2312" w:cs="仿宋_GB2312"/>
                <w:kern w:val="0"/>
                <w:sz w:val="28"/>
                <w:szCs w:val="28"/>
              </w:rPr>
            </w:pPr>
          </w:p>
        </w:tc>
      </w:tr>
      <w:tr w:rsidR="004731F4">
        <w:trPr>
          <w:trHeight w:val="20"/>
        </w:trPr>
        <w:tc>
          <w:tcPr>
            <w:tcW w:w="1045"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操作</w:t>
            </w:r>
          </w:p>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危害</w:t>
            </w: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不适当的操作说明</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未按说明书推荐的方法清洗</w:t>
            </w:r>
            <w:r>
              <w:rPr>
                <w:rFonts w:ascii="仿宋_GB2312" w:eastAsia="仿宋_GB2312" w:hAnsi="仿宋_GB2312" w:cs="仿宋_GB2312" w:hint="eastAsia"/>
                <w:kern w:val="0"/>
                <w:sz w:val="28"/>
                <w:szCs w:val="28"/>
              </w:rPr>
              <w:t>、消毒</w:t>
            </w:r>
            <w:r>
              <w:rPr>
                <w:rFonts w:ascii="仿宋_GB2312" w:eastAsia="仿宋_GB2312" w:hAnsi="仿宋_GB2312" w:cs="仿宋_GB2312"/>
                <w:kern w:val="0"/>
                <w:sz w:val="28"/>
                <w:szCs w:val="28"/>
              </w:rPr>
              <w:t>，导致</w:t>
            </w:r>
            <w:r>
              <w:rPr>
                <w:rFonts w:ascii="仿宋_GB2312" w:eastAsia="仿宋_GB2312" w:hAnsi="仿宋_GB2312" w:cs="仿宋_GB2312" w:hint="eastAsia"/>
                <w:kern w:val="0"/>
                <w:sz w:val="28"/>
                <w:szCs w:val="28"/>
              </w:rPr>
              <w:t>牙科种植用导板</w:t>
            </w:r>
            <w:r>
              <w:rPr>
                <w:rFonts w:ascii="仿宋_GB2312" w:eastAsia="仿宋_GB2312" w:hAnsi="仿宋_GB2312" w:cs="仿宋_GB2312"/>
                <w:kern w:val="0"/>
                <w:sz w:val="28"/>
                <w:szCs w:val="28"/>
              </w:rPr>
              <w:t>发生变形。</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无法保证使用的有效性或无法正常使用。</w:t>
            </w:r>
          </w:p>
        </w:tc>
      </w:tr>
      <w:tr w:rsidR="004731F4">
        <w:trPr>
          <w:trHeight w:val="20"/>
        </w:trPr>
        <w:tc>
          <w:tcPr>
            <w:tcW w:w="1045" w:type="dxa"/>
            <w:vMerge w:val="restart"/>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环境</w:t>
            </w:r>
          </w:p>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危害</w:t>
            </w: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储存偏离预定的环境条件</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储运条件（如温度、湿度、酸碱度）不符合要求。</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产品</w:t>
            </w:r>
            <w:r>
              <w:rPr>
                <w:rFonts w:ascii="仿宋_GB2312" w:eastAsia="仿宋_GB2312" w:hAnsi="仿宋_GB2312" w:cs="仿宋_GB2312" w:hint="eastAsia"/>
                <w:kern w:val="0"/>
                <w:sz w:val="28"/>
                <w:szCs w:val="28"/>
              </w:rPr>
              <w:t>变形无法使用</w:t>
            </w:r>
            <w:r>
              <w:rPr>
                <w:rFonts w:ascii="仿宋_GB2312" w:eastAsia="仿宋_GB2312" w:hAnsi="仿宋_GB2312" w:cs="仿宋_GB2312"/>
                <w:kern w:val="0"/>
                <w:sz w:val="28"/>
                <w:szCs w:val="28"/>
              </w:rPr>
              <w:t>。</w:t>
            </w:r>
          </w:p>
        </w:tc>
      </w:tr>
      <w:tr w:rsidR="004731F4">
        <w:trPr>
          <w:trHeight w:val="20"/>
        </w:trPr>
        <w:tc>
          <w:tcPr>
            <w:tcW w:w="1045" w:type="dxa"/>
            <w:vMerge/>
            <w:vAlign w:val="center"/>
          </w:tcPr>
          <w:p w:rsidR="004731F4" w:rsidRDefault="004731F4">
            <w:pPr>
              <w:spacing w:line="520" w:lineRule="exact"/>
              <w:ind w:firstLineChars="200" w:firstLine="560"/>
              <w:rPr>
                <w:rFonts w:ascii="仿宋_GB2312" w:eastAsia="仿宋_GB2312" w:hAnsi="仿宋_GB2312" w:cs="仿宋_GB2312"/>
                <w:kern w:val="0"/>
                <w:sz w:val="28"/>
                <w:szCs w:val="28"/>
              </w:rPr>
            </w:pPr>
          </w:p>
        </w:tc>
        <w:tc>
          <w:tcPr>
            <w:tcW w:w="1559"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意外的机械破坏</w:t>
            </w:r>
          </w:p>
        </w:tc>
        <w:tc>
          <w:tcPr>
            <w:tcW w:w="3776"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储运、使用过程中发生意外的机械性破坏。</w:t>
            </w:r>
          </w:p>
        </w:tc>
        <w:tc>
          <w:tcPr>
            <w:tcW w:w="2094" w:type="dxa"/>
            <w:vAlign w:val="center"/>
          </w:tcPr>
          <w:p w:rsidR="004731F4" w:rsidRDefault="00BD1A23">
            <w:pPr>
              <w:spacing w:line="520" w:lineRule="exac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产品使用性能无法得到保证或者无法保证正常使用。</w:t>
            </w:r>
          </w:p>
        </w:tc>
      </w:tr>
    </w:tbl>
    <w:p w:rsidR="004731F4" w:rsidRDefault="004731F4">
      <w:pPr>
        <w:widowControl/>
        <w:adjustRightInd w:val="0"/>
        <w:snapToGrid w:val="0"/>
        <w:spacing w:line="480" w:lineRule="exact"/>
        <w:ind w:firstLineChars="200" w:firstLine="640"/>
        <w:rPr>
          <w:rFonts w:ascii="Times New Roman" w:eastAsia="仿宋_GB2312" w:hAnsi="Times New Roman" w:cs="Times New Roman"/>
          <w:sz w:val="32"/>
          <w:szCs w:val="32"/>
        </w:rPr>
      </w:pPr>
    </w:p>
    <w:sectPr w:rsidR="004731F4">
      <w:pgSz w:w="11906" w:h="16838"/>
      <w:pgMar w:top="2098" w:right="1588" w:bottom="2098" w:left="1588"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D1A23">
      <w:r>
        <w:separator/>
      </w:r>
    </w:p>
  </w:endnote>
  <w:endnote w:type="continuationSeparator" w:id="0">
    <w:p w:rsidR="00000000" w:rsidRDefault="00BD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hell Dlg">
    <w:panose1 w:val="020B0604020202020204"/>
    <w:charset w:val="00"/>
    <w:family w:val="swiss"/>
    <w:pitch w:val="default"/>
    <w:sig w:usb0="00000000" w:usb1="00000000" w:usb2="00000008" w:usb3="00000000" w:csb0="0001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1F4" w:rsidRDefault="00BD1A23">
    <w:pPr>
      <w:pStyle w:val="a7"/>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 xml:space="preserve"> </w:t>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  \* MERGEFORMAT </w:instrText>
    </w:r>
    <w:r>
      <w:rPr>
        <w:rFonts w:ascii="仿宋" w:eastAsia="仿宋" w:hAnsi="仿宋" w:cs="仿宋" w:hint="eastAsia"/>
        <w:sz w:val="32"/>
        <w:szCs w:val="32"/>
      </w:rPr>
      <w:fldChar w:fldCharType="separate"/>
    </w:r>
    <w:r>
      <w:rPr>
        <w:rFonts w:ascii="仿宋" w:eastAsia="仿宋" w:hAnsi="仿宋" w:cs="仿宋"/>
        <w:noProof/>
        <w:sz w:val="32"/>
        <w:szCs w:val="32"/>
      </w:rPr>
      <w:t>16</w:t>
    </w:r>
    <w:r>
      <w:rPr>
        <w:rFonts w:ascii="仿宋" w:eastAsia="仿宋" w:hAnsi="仿宋" w:cs="仿宋" w:hint="eastAsia"/>
        <w:sz w:val="32"/>
        <w:szCs w:val="32"/>
      </w:rPr>
      <w:fldChar w:fldCharType="end"/>
    </w:r>
    <w:r>
      <w:rPr>
        <w:rFonts w:ascii="仿宋" w:eastAsia="仿宋" w:hAnsi="仿宋" w:cs="仿宋" w:hint="eastAsia"/>
        <w:sz w:val="32"/>
        <w:szCs w:val="32"/>
      </w:rPr>
      <w:t xml:space="preserve"> </w:t>
    </w:r>
    <w:r>
      <w:rPr>
        <w:rFonts w:ascii="仿宋" w:eastAsia="仿宋" w:hAnsi="仿宋" w:cs="仿宋" w:hint="eastAsia"/>
        <w:sz w:val="32"/>
        <w:szCs w:val="32"/>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1F4" w:rsidRDefault="00BD1A23">
    <w:pPr>
      <w:pStyle w:val="a7"/>
      <w:jc w:val="right"/>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 xml:space="preserve"> </w:t>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  \* MERGEFORMAT </w:instrText>
    </w:r>
    <w:r>
      <w:rPr>
        <w:rFonts w:ascii="仿宋" w:eastAsia="仿宋" w:hAnsi="仿宋" w:cs="仿宋" w:hint="eastAsia"/>
        <w:sz w:val="32"/>
        <w:szCs w:val="32"/>
      </w:rPr>
      <w:fldChar w:fldCharType="separate"/>
    </w:r>
    <w:r>
      <w:rPr>
        <w:rFonts w:ascii="仿宋" w:eastAsia="仿宋" w:hAnsi="仿宋" w:cs="仿宋"/>
        <w:noProof/>
        <w:sz w:val="32"/>
        <w:szCs w:val="32"/>
      </w:rPr>
      <w:t>1</w:t>
    </w:r>
    <w:r>
      <w:rPr>
        <w:rFonts w:ascii="仿宋" w:eastAsia="仿宋" w:hAnsi="仿宋" w:cs="仿宋" w:hint="eastAsia"/>
        <w:sz w:val="32"/>
        <w:szCs w:val="32"/>
      </w:rPr>
      <w:fldChar w:fldCharType="end"/>
    </w:r>
    <w:r>
      <w:rPr>
        <w:rFonts w:ascii="仿宋" w:eastAsia="仿宋" w:hAnsi="仿宋" w:cs="仿宋" w:hint="eastAsia"/>
        <w:sz w:val="32"/>
        <w:szCs w:val="32"/>
      </w:rPr>
      <w:t xml:space="preserve"> </w:t>
    </w:r>
    <w:r>
      <w:rPr>
        <w:rFonts w:ascii="仿宋" w:eastAsia="仿宋" w:hAnsi="仿宋" w:cs="仿宋" w:hint="eastAsia"/>
        <w:sz w:val="32"/>
        <w:szCs w:val="32"/>
      </w:rPr>
      <w:t>—</w:t>
    </w:r>
  </w:p>
  <w:p w:rsidR="004731F4" w:rsidRDefault="004731F4">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D1A23">
      <w:r>
        <w:separator/>
      </w:r>
    </w:p>
  </w:footnote>
  <w:footnote w:type="continuationSeparator" w:id="0">
    <w:p w:rsidR="00000000" w:rsidRDefault="00BD1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ZjI5NDViOGRiNTI2NDExZGUwOGQwNGNhZGRmY2YifQ=="/>
  </w:docVars>
  <w:rsids>
    <w:rsidRoot w:val="724F0822"/>
    <w:rsid w:val="BEF90C13"/>
    <w:rsid w:val="CFBDA52C"/>
    <w:rsid w:val="DCF3607A"/>
    <w:rsid w:val="DDBA21C8"/>
    <w:rsid w:val="DDFF5DBF"/>
    <w:rsid w:val="DFAD52B0"/>
    <w:rsid w:val="EB5FA90C"/>
    <w:rsid w:val="FD5F8772"/>
    <w:rsid w:val="FDEBC19C"/>
    <w:rsid w:val="FF7F951A"/>
    <w:rsid w:val="FFF7E2F0"/>
    <w:rsid w:val="00175B0B"/>
    <w:rsid w:val="002A4743"/>
    <w:rsid w:val="00383CB9"/>
    <w:rsid w:val="00443171"/>
    <w:rsid w:val="00470B91"/>
    <w:rsid w:val="004731F4"/>
    <w:rsid w:val="004C0647"/>
    <w:rsid w:val="00881A88"/>
    <w:rsid w:val="009723D0"/>
    <w:rsid w:val="00972E04"/>
    <w:rsid w:val="00993ABE"/>
    <w:rsid w:val="009F6FB0"/>
    <w:rsid w:val="00A6187A"/>
    <w:rsid w:val="00AB0FB9"/>
    <w:rsid w:val="00AC7461"/>
    <w:rsid w:val="00B00355"/>
    <w:rsid w:val="00B045C6"/>
    <w:rsid w:val="00BB6972"/>
    <w:rsid w:val="00BD1A23"/>
    <w:rsid w:val="00C3291E"/>
    <w:rsid w:val="00C378F1"/>
    <w:rsid w:val="00CC4246"/>
    <w:rsid w:val="00D35249"/>
    <w:rsid w:val="00EA17F2"/>
    <w:rsid w:val="00FD2022"/>
    <w:rsid w:val="01C17A8F"/>
    <w:rsid w:val="020A2568"/>
    <w:rsid w:val="0226174B"/>
    <w:rsid w:val="02555ED9"/>
    <w:rsid w:val="0288005D"/>
    <w:rsid w:val="028C3644"/>
    <w:rsid w:val="02A12ECC"/>
    <w:rsid w:val="02EB239A"/>
    <w:rsid w:val="03AC1B29"/>
    <w:rsid w:val="03D744AF"/>
    <w:rsid w:val="04217AD2"/>
    <w:rsid w:val="045521C0"/>
    <w:rsid w:val="04B8274F"/>
    <w:rsid w:val="05942874"/>
    <w:rsid w:val="05BC1DCB"/>
    <w:rsid w:val="05DD1E07"/>
    <w:rsid w:val="064745A2"/>
    <w:rsid w:val="064F49ED"/>
    <w:rsid w:val="07414C7E"/>
    <w:rsid w:val="075A4B48"/>
    <w:rsid w:val="077C5159"/>
    <w:rsid w:val="07D4164E"/>
    <w:rsid w:val="08A23EA1"/>
    <w:rsid w:val="08DA7138"/>
    <w:rsid w:val="091D7025"/>
    <w:rsid w:val="096274B0"/>
    <w:rsid w:val="0AD57BB7"/>
    <w:rsid w:val="0AEB4882"/>
    <w:rsid w:val="0B6C8269"/>
    <w:rsid w:val="0BC02C20"/>
    <w:rsid w:val="0BC33EB3"/>
    <w:rsid w:val="0BCB4B16"/>
    <w:rsid w:val="0C152235"/>
    <w:rsid w:val="0CFD51A3"/>
    <w:rsid w:val="0E3C619F"/>
    <w:rsid w:val="0EC67D0D"/>
    <w:rsid w:val="0ECC0366"/>
    <w:rsid w:val="0EDB32C2"/>
    <w:rsid w:val="0F724322"/>
    <w:rsid w:val="0F73174D"/>
    <w:rsid w:val="0F93735C"/>
    <w:rsid w:val="10354C54"/>
    <w:rsid w:val="104F3F68"/>
    <w:rsid w:val="106612B1"/>
    <w:rsid w:val="109A294A"/>
    <w:rsid w:val="10B63FE7"/>
    <w:rsid w:val="112A6783"/>
    <w:rsid w:val="112F78F5"/>
    <w:rsid w:val="11FA43A7"/>
    <w:rsid w:val="12192A7F"/>
    <w:rsid w:val="12F11306"/>
    <w:rsid w:val="131C6458"/>
    <w:rsid w:val="13225964"/>
    <w:rsid w:val="134A6C68"/>
    <w:rsid w:val="13F63A56"/>
    <w:rsid w:val="146D51DC"/>
    <w:rsid w:val="149866BF"/>
    <w:rsid w:val="156D58AA"/>
    <w:rsid w:val="15B11221"/>
    <w:rsid w:val="15C256FE"/>
    <w:rsid w:val="15D53161"/>
    <w:rsid w:val="182815FE"/>
    <w:rsid w:val="18825528"/>
    <w:rsid w:val="1890312F"/>
    <w:rsid w:val="199978D9"/>
    <w:rsid w:val="19C92BD5"/>
    <w:rsid w:val="19E716B5"/>
    <w:rsid w:val="1A051B3B"/>
    <w:rsid w:val="1A34268E"/>
    <w:rsid w:val="1AE23C2A"/>
    <w:rsid w:val="1B222279"/>
    <w:rsid w:val="1B2C65C5"/>
    <w:rsid w:val="1B7E5415"/>
    <w:rsid w:val="1CD75A11"/>
    <w:rsid w:val="1D50131F"/>
    <w:rsid w:val="1D7C4F1D"/>
    <w:rsid w:val="1E346845"/>
    <w:rsid w:val="1F176598"/>
    <w:rsid w:val="1F525822"/>
    <w:rsid w:val="1F9A0F77"/>
    <w:rsid w:val="1FB42039"/>
    <w:rsid w:val="202D3A67"/>
    <w:rsid w:val="202E30B3"/>
    <w:rsid w:val="208B11A1"/>
    <w:rsid w:val="20B415F9"/>
    <w:rsid w:val="2149055F"/>
    <w:rsid w:val="218F029C"/>
    <w:rsid w:val="21AA2451"/>
    <w:rsid w:val="22477195"/>
    <w:rsid w:val="23BF2D5B"/>
    <w:rsid w:val="26B7240F"/>
    <w:rsid w:val="26C364F1"/>
    <w:rsid w:val="27335F39"/>
    <w:rsid w:val="27734588"/>
    <w:rsid w:val="27AF2FB2"/>
    <w:rsid w:val="27DA5B03"/>
    <w:rsid w:val="28445F24"/>
    <w:rsid w:val="2912392D"/>
    <w:rsid w:val="299A22A0"/>
    <w:rsid w:val="2A1D6A2D"/>
    <w:rsid w:val="2A9D329F"/>
    <w:rsid w:val="2B3D7387"/>
    <w:rsid w:val="2BA742C2"/>
    <w:rsid w:val="2BAA369F"/>
    <w:rsid w:val="2CD72E37"/>
    <w:rsid w:val="2D0141F9"/>
    <w:rsid w:val="2DB17BB8"/>
    <w:rsid w:val="2E1B693A"/>
    <w:rsid w:val="2F667498"/>
    <w:rsid w:val="2FAF0127"/>
    <w:rsid w:val="2FFB0736"/>
    <w:rsid w:val="300E2E34"/>
    <w:rsid w:val="30B33C47"/>
    <w:rsid w:val="3113494D"/>
    <w:rsid w:val="31440E25"/>
    <w:rsid w:val="31B859B9"/>
    <w:rsid w:val="32496611"/>
    <w:rsid w:val="32DA370D"/>
    <w:rsid w:val="33BD731B"/>
    <w:rsid w:val="33F212DC"/>
    <w:rsid w:val="33F31B98"/>
    <w:rsid w:val="34122DEA"/>
    <w:rsid w:val="34254E5C"/>
    <w:rsid w:val="34DD0B46"/>
    <w:rsid w:val="35042CC3"/>
    <w:rsid w:val="376831AD"/>
    <w:rsid w:val="37BC7885"/>
    <w:rsid w:val="382F44FB"/>
    <w:rsid w:val="3851621F"/>
    <w:rsid w:val="38D96215"/>
    <w:rsid w:val="390F4B99"/>
    <w:rsid w:val="397B107A"/>
    <w:rsid w:val="399F16F1"/>
    <w:rsid w:val="3A2B77F7"/>
    <w:rsid w:val="3A673154"/>
    <w:rsid w:val="3A9C574C"/>
    <w:rsid w:val="3BE253E0"/>
    <w:rsid w:val="3BE87A50"/>
    <w:rsid w:val="3C460065"/>
    <w:rsid w:val="3C601127"/>
    <w:rsid w:val="3CB3652B"/>
    <w:rsid w:val="3CDA6666"/>
    <w:rsid w:val="3DF17B5D"/>
    <w:rsid w:val="3EFC2C5D"/>
    <w:rsid w:val="3F071F6C"/>
    <w:rsid w:val="3F8C5D8F"/>
    <w:rsid w:val="3FC92DEC"/>
    <w:rsid w:val="40291830"/>
    <w:rsid w:val="40BC6B48"/>
    <w:rsid w:val="4171348E"/>
    <w:rsid w:val="41F235E8"/>
    <w:rsid w:val="421A1D78"/>
    <w:rsid w:val="4262727B"/>
    <w:rsid w:val="428C42F8"/>
    <w:rsid w:val="43506893"/>
    <w:rsid w:val="4379487C"/>
    <w:rsid w:val="43BA2B98"/>
    <w:rsid w:val="43DE0B83"/>
    <w:rsid w:val="441F38D8"/>
    <w:rsid w:val="445C6AC7"/>
    <w:rsid w:val="457B0D80"/>
    <w:rsid w:val="45DE5E06"/>
    <w:rsid w:val="46004B5D"/>
    <w:rsid w:val="465810C1"/>
    <w:rsid w:val="46623CEE"/>
    <w:rsid w:val="466753B0"/>
    <w:rsid w:val="471A1ED2"/>
    <w:rsid w:val="478B6C61"/>
    <w:rsid w:val="49D33484"/>
    <w:rsid w:val="49DE7B2F"/>
    <w:rsid w:val="4A5971B6"/>
    <w:rsid w:val="4A680913"/>
    <w:rsid w:val="4ADA2EB0"/>
    <w:rsid w:val="4B0C4228"/>
    <w:rsid w:val="4B15132F"/>
    <w:rsid w:val="4B1F03FF"/>
    <w:rsid w:val="4B8F523A"/>
    <w:rsid w:val="4BB22A2B"/>
    <w:rsid w:val="4BC36FDC"/>
    <w:rsid w:val="4C215AB1"/>
    <w:rsid w:val="4C297B66"/>
    <w:rsid w:val="4CAA1F4A"/>
    <w:rsid w:val="4D0F1DAD"/>
    <w:rsid w:val="4D717113"/>
    <w:rsid w:val="4DDF3E76"/>
    <w:rsid w:val="505F4DFA"/>
    <w:rsid w:val="509C604E"/>
    <w:rsid w:val="5129500C"/>
    <w:rsid w:val="513B06F1"/>
    <w:rsid w:val="52540893"/>
    <w:rsid w:val="529A036B"/>
    <w:rsid w:val="53136D01"/>
    <w:rsid w:val="53764231"/>
    <w:rsid w:val="545F186C"/>
    <w:rsid w:val="55124FFB"/>
    <w:rsid w:val="55366A71"/>
    <w:rsid w:val="579F5FE3"/>
    <w:rsid w:val="581D5B25"/>
    <w:rsid w:val="584C63C9"/>
    <w:rsid w:val="586B2293"/>
    <w:rsid w:val="58D520FD"/>
    <w:rsid w:val="5963595B"/>
    <w:rsid w:val="596C0CB3"/>
    <w:rsid w:val="598F6750"/>
    <w:rsid w:val="5A272E2C"/>
    <w:rsid w:val="5B305D11"/>
    <w:rsid w:val="5BD91D23"/>
    <w:rsid w:val="5E072112"/>
    <w:rsid w:val="5EA70098"/>
    <w:rsid w:val="5EDD1D0C"/>
    <w:rsid w:val="5EDEBD4F"/>
    <w:rsid w:val="5FA548CC"/>
    <w:rsid w:val="5FA70040"/>
    <w:rsid w:val="606A75CF"/>
    <w:rsid w:val="60903494"/>
    <w:rsid w:val="633F6174"/>
    <w:rsid w:val="634C0331"/>
    <w:rsid w:val="638906B4"/>
    <w:rsid w:val="63FD075A"/>
    <w:rsid w:val="642B3664"/>
    <w:rsid w:val="645B2050"/>
    <w:rsid w:val="658B2578"/>
    <w:rsid w:val="65AAF5A8"/>
    <w:rsid w:val="665A00E6"/>
    <w:rsid w:val="669E446B"/>
    <w:rsid w:val="68106CAE"/>
    <w:rsid w:val="68582403"/>
    <w:rsid w:val="68D91796"/>
    <w:rsid w:val="694F3806"/>
    <w:rsid w:val="6953779A"/>
    <w:rsid w:val="6ADD743F"/>
    <w:rsid w:val="6B286A04"/>
    <w:rsid w:val="6C501D6F"/>
    <w:rsid w:val="6C775C70"/>
    <w:rsid w:val="6C81461E"/>
    <w:rsid w:val="6CC3290B"/>
    <w:rsid w:val="6CC7657D"/>
    <w:rsid w:val="6DA2484C"/>
    <w:rsid w:val="6E5B49FB"/>
    <w:rsid w:val="6EE175F6"/>
    <w:rsid w:val="70A33376"/>
    <w:rsid w:val="70F445F3"/>
    <w:rsid w:val="70F92A2E"/>
    <w:rsid w:val="71A05546"/>
    <w:rsid w:val="71A861A9"/>
    <w:rsid w:val="71B52674"/>
    <w:rsid w:val="721455EC"/>
    <w:rsid w:val="724F0822"/>
    <w:rsid w:val="73116B85"/>
    <w:rsid w:val="73326672"/>
    <w:rsid w:val="73A7621C"/>
    <w:rsid w:val="73BB6668"/>
    <w:rsid w:val="74A92964"/>
    <w:rsid w:val="756845CD"/>
    <w:rsid w:val="75A629FF"/>
    <w:rsid w:val="764E79F4"/>
    <w:rsid w:val="77B3407E"/>
    <w:rsid w:val="77DA4BE2"/>
    <w:rsid w:val="783F0EE9"/>
    <w:rsid w:val="788F1AD5"/>
    <w:rsid w:val="78EC72C3"/>
    <w:rsid w:val="795C1D84"/>
    <w:rsid w:val="79BF005F"/>
    <w:rsid w:val="79EE0E19"/>
    <w:rsid w:val="7A0907FB"/>
    <w:rsid w:val="7B4705E0"/>
    <w:rsid w:val="7B472196"/>
    <w:rsid w:val="7C3A20F4"/>
    <w:rsid w:val="7C823224"/>
    <w:rsid w:val="7CFC55FB"/>
    <w:rsid w:val="7D1943FF"/>
    <w:rsid w:val="7D3114B8"/>
    <w:rsid w:val="7D3F7243"/>
    <w:rsid w:val="7D6F70E7"/>
    <w:rsid w:val="7DFB58B2"/>
    <w:rsid w:val="7E582D05"/>
    <w:rsid w:val="7EB67976"/>
    <w:rsid w:val="7EBB39C0"/>
    <w:rsid w:val="7FFD3B64"/>
    <w:rsid w:val="9FF80E71"/>
    <w:rsid w:val="B72F6D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9373481-CCDD-4041-A9E0-A9D0084ED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uiPriority w:val="99"/>
    <w:unhideWhenUsed/>
    <w:qFormat/>
    <w:rPr>
      <w:rFonts w:ascii="宋体" w:hAnsi="Courier New"/>
      <w:szCs w:val="21"/>
    </w:rPr>
  </w:style>
  <w:style w:type="paragraph" w:styleId="a5">
    <w:name w:val="Balloon Text"/>
    <w:basedOn w:val="a"/>
    <w:link w:val="a6"/>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rPr>
      <w:rFonts w:ascii="Times New Roman" w:eastAsia="宋体" w:hAnsi="Times New Roman" w:cs="Times New Roman"/>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王奕，内文"/>
    <w:basedOn w:val="ab"/>
    <w:qFormat/>
    <w:pPr>
      <w:spacing w:line="360" w:lineRule="auto"/>
      <w:ind w:firstLineChars="200" w:firstLine="200"/>
    </w:pPr>
    <w:rPr>
      <w:rFonts w:cs="MS Shell Dlg"/>
      <w:color w:val="000000"/>
    </w:rPr>
  </w:style>
  <w:style w:type="character" w:customStyle="1" w:styleId="f101">
    <w:name w:val="f101"/>
    <w:uiPriority w:val="99"/>
    <w:qFormat/>
    <w:rPr>
      <w:sz w:val="24"/>
      <w:szCs w:val="24"/>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8">
    <w:name w:val="页脚 字符"/>
    <w:basedOn w:val="a0"/>
    <w:link w:val="a7"/>
    <w:uiPriority w:val="99"/>
    <w:qFormat/>
    <w:rPr>
      <w:rFonts w:asciiTheme="minorHAnsi" w:eastAsiaTheme="minorEastAsia" w:hAnsiTheme="minorHAnsi" w:cstheme="minorBidi"/>
      <w:kern w:val="2"/>
      <w:sz w:val="18"/>
      <w:szCs w:val="18"/>
    </w:rPr>
  </w:style>
  <w:style w:type="paragraph" w:styleId="ae">
    <w:name w:val="No Spacing"/>
    <w:qFormat/>
    <w:pPr>
      <w:adjustRightInd w:val="0"/>
      <w:snapToGrid w:val="0"/>
    </w:pPr>
    <w:rPr>
      <w:rFonts w:ascii="Tahoma" w:eastAsia="微软雅黑" w:hAnsi="Tahoma"/>
      <w:sz w:val="22"/>
      <w:szCs w:val="22"/>
    </w:rPr>
  </w:style>
  <w:style w:type="character" w:styleId="af">
    <w:name w:val="line number"/>
    <w:basedOn w:val="a0"/>
    <w:rsid w:val="00BD1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949</Words>
  <Characters>5411</Characters>
  <Application>Microsoft Office Word</Application>
  <DocSecurity>0</DocSecurity>
  <Lines>45</Lines>
  <Paragraphs>12</Paragraphs>
  <ScaleCrop>false</ScaleCrop>
  <Company>Microsoft</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XUEQIAN</dc:creator>
  <cp:lastModifiedBy>高田</cp:lastModifiedBy>
  <cp:revision>9</cp:revision>
  <dcterms:created xsi:type="dcterms:W3CDTF">2021-10-16T05:31:00Z</dcterms:created>
  <dcterms:modified xsi:type="dcterms:W3CDTF">2025-12-03T06:58:00Z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17DDFE0580E04ACB8BB7B87FE82626F4_13</vt:lpwstr>
  </property>
  <property fmtid="{D5CDD505-2E9C-101B-9397-08002B2CF9AE}" pid="4" name="KSOTemplateDocerSaveRecord">
    <vt:lpwstr>eyJoZGlkIjoiNzFkZjI5NDViOGRiNTI2NDExZGUwOGQwNGNhZGRmY2YiLCJ1c2VySWQiOiI5OTgzMjUwNDcifQ==</vt:lpwstr>
  </property>
</Properties>
</file>