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5BAB" w:rsidRDefault="00335140">
      <w:pPr>
        <w:spacing w:line="520" w:lineRule="exact"/>
        <w:ind w:rightChars="-32" w:right="-102"/>
        <w:jc w:val="center"/>
        <w:rPr>
          <w:rFonts w:ascii="方正小标宋简体" w:eastAsia="方正小标宋简体" w:hAnsi="方正小标宋简体" w:cs="方正小标宋简体"/>
          <w:bCs/>
          <w:color w:val="000000"/>
          <w:sz w:val="44"/>
          <w:szCs w:val="44"/>
        </w:rPr>
      </w:pPr>
      <w:bookmarkStart w:id="0" w:name="_GoBack"/>
      <w:bookmarkEnd w:id="0"/>
      <w:r>
        <w:rPr>
          <w:rFonts w:ascii="方正小标宋简体" w:eastAsia="方正小标宋简体" w:hAnsi="方正小标宋简体" w:cs="方正小标宋简体" w:hint="eastAsia"/>
          <w:color w:val="000000"/>
          <w:sz w:val="44"/>
        </w:rPr>
        <w:t>一次性</w:t>
      </w:r>
      <w:r>
        <w:rPr>
          <w:rFonts w:asciiTheme="minorHAnsi" w:eastAsia="方正小标宋简体" w:hAnsiTheme="minorHAnsi" w:cs="方正小标宋简体" w:hint="eastAsia"/>
          <w:color w:val="000000"/>
          <w:sz w:val="44"/>
        </w:rPr>
        <w:t>使用</w:t>
      </w:r>
      <w:r>
        <w:rPr>
          <w:rFonts w:ascii="方正小标宋简体" w:eastAsia="方正小标宋简体" w:hAnsi="方正小标宋简体" w:cs="方正小标宋简体" w:hint="eastAsia"/>
          <w:color w:val="000000"/>
          <w:sz w:val="44"/>
        </w:rPr>
        <w:t>脐带剪</w:t>
      </w:r>
      <w:r>
        <w:rPr>
          <w:rFonts w:ascii="方正小标宋简体" w:eastAsia="方正小标宋简体" w:hAnsi="方正小标宋简体" w:cs="方正小标宋简体" w:hint="eastAsia"/>
          <w:bCs/>
          <w:color w:val="000000"/>
          <w:sz w:val="44"/>
          <w:szCs w:val="44"/>
        </w:rPr>
        <w:t>注册</w:t>
      </w:r>
      <w:r>
        <w:rPr>
          <w:rFonts w:ascii="方正小标宋简体" w:eastAsia="方正小标宋简体" w:hAnsi="方正小标宋简体" w:cs="方正小标宋简体" w:hint="eastAsia"/>
          <w:bCs/>
          <w:sz w:val="44"/>
          <w:szCs w:val="44"/>
        </w:rPr>
        <w:t>审查</w:t>
      </w:r>
      <w:r>
        <w:rPr>
          <w:rFonts w:ascii="方正小标宋简体" w:eastAsia="方正小标宋简体" w:hAnsi="方正小标宋简体" w:cs="方正小标宋简体" w:hint="eastAsia"/>
          <w:bCs/>
          <w:color w:val="000000"/>
          <w:sz w:val="44"/>
          <w:szCs w:val="44"/>
        </w:rPr>
        <w:t>指导原则</w:t>
      </w:r>
    </w:p>
    <w:p w:rsidR="000A5BAB" w:rsidRDefault="00335140">
      <w:pPr>
        <w:spacing w:line="520" w:lineRule="exact"/>
        <w:ind w:rightChars="-32" w:right="-102"/>
        <w:jc w:val="center"/>
        <w:rPr>
          <w:rFonts w:eastAsia="微软雅黑"/>
          <w:bCs/>
          <w:color w:val="000000"/>
          <w:sz w:val="44"/>
          <w:szCs w:val="44"/>
        </w:rPr>
      </w:pPr>
      <w:r>
        <w:rPr>
          <w:rFonts w:ascii="方正小标宋简体" w:eastAsia="方正小标宋简体" w:hAnsi="方正小标宋简体" w:cs="方正小标宋简体" w:hint="eastAsia"/>
          <w:bCs/>
          <w:color w:val="000000"/>
          <w:sz w:val="44"/>
          <w:szCs w:val="44"/>
        </w:rPr>
        <w:t>（征求意见稿）</w:t>
      </w:r>
    </w:p>
    <w:p w:rsidR="000A5BAB" w:rsidRDefault="000A5BAB">
      <w:pPr>
        <w:spacing w:line="520" w:lineRule="exact"/>
        <w:ind w:rightChars="-32" w:right="-102"/>
        <w:jc w:val="center"/>
        <w:rPr>
          <w:rFonts w:eastAsia="微软雅黑"/>
          <w:color w:val="000000"/>
          <w:szCs w:val="44"/>
        </w:rPr>
      </w:pPr>
    </w:p>
    <w:p w:rsidR="000A5BAB" w:rsidRDefault="00335140">
      <w:pPr>
        <w:spacing w:line="520" w:lineRule="exact"/>
        <w:ind w:firstLineChars="200" w:firstLine="640"/>
        <w:rPr>
          <w:rFonts w:eastAsia="仿宋_GB2312"/>
          <w:color w:val="000000"/>
          <w:szCs w:val="32"/>
        </w:rPr>
      </w:pPr>
      <w:r>
        <w:rPr>
          <w:rFonts w:eastAsia="仿宋_GB2312"/>
          <w:color w:val="000000"/>
          <w:szCs w:val="32"/>
        </w:rPr>
        <w:t>本指导原则旨在指导注册申请人对</w:t>
      </w:r>
      <w:r>
        <w:rPr>
          <w:rFonts w:eastAsia="仿宋_GB2312" w:hint="eastAsia"/>
          <w:color w:val="000000"/>
          <w:szCs w:val="32"/>
        </w:rPr>
        <w:t>一次性使用脐带剪</w:t>
      </w:r>
      <w:r>
        <w:rPr>
          <w:rFonts w:eastAsia="仿宋_GB2312"/>
          <w:color w:val="000000"/>
          <w:szCs w:val="32"/>
        </w:rPr>
        <w:t>产品注册申报资料的准备及撰写，同时也为技术审评部门对注册申报资料的审评提供技术参考。</w:t>
      </w:r>
    </w:p>
    <w:p w:rsidR="000A5BAB" w:rsidRDefault="00335140">
      <w:pPr>
        <w:spacing w:line="520" w:lineRule="exact"/>
        <w:ind w:firstLineChars="200" w:firstLine="640"/>
        <w:rPr>
          <w:rFonts w:eastAsia="仿宋_GB2312"/>
          <w:color w:val="000000"/>
          <w:szCs w:val="32"/>
        </w:rPr>
      </w:pPr>
      <w:r>
        <w:rPr>
          <w:rFonts w:eastAsia="仿宋_GB2312"/>
          <w:color w:val="000000"/>
          <w:szCs w:val="32"/>
        </w:rPr>
        <w:t>本指导原则是对</w:t>
      </w:r>
      <w:r>
        <w:rPr>
          <w:rFonts w:eastAsia="仿宋_GB2312" w:hint="eastAsia"/>
          <w:color w:val="000000"/>
          <w:szCs w:val="32"/>
        </w:rPr>
        <w:t>一次性使用脐带剪</w:t>
      </w:r>
      <w:r>
        <w:rPr>
          <w:rFonts w:eastAsia="仿宋_GB2312"/>
          <w:color w:val="000000"/>
          <w:szCs w:val="32"/>
        </w:rPr>
        <w:t>注册申报资料的一般要求，注册申请人需依据产品的具体特性确定其中内容是否</w:t>
      </w:r>
      <w:r>
        <w:rPr>
          <w:rFonts w:eastAsia="仿宋_GB2312" w:hint="eastAsia"/>
          <w:color w:val="000000"/>
          <w:szCs w:val="32"/>
        </w:rPr>
        <w:t>适</w:t>
      </w:r>
      <w:r>
        <w:rPr>
          <w:rFonts w:eastAsia="仿宋_GB2312"/>
          <w:color w:val="000000"/>
          <w:szCs w:val="32"/>
        </w:rPr>
        <w:t>用。若不适用，需具体阐述理由及相应的科学依据，并依据产品的具体特性对注册申报资料的内容进行充实和细化。</w:t>
      </w:r>
    </w:p>
    <w:p w:rsidR="000A5BAB" w:rsidRDefault="00335140">
      <w:pPr>
        <w:spacing w:line="520" w:lineRule="exact"/>
        <w:ind w:firstLineChars="200" w:firstLine="640"/>
        <w:rPr>
          <w:rFonts w:eastAsia="仿宋_GB2312"/>
          <w:color w:val="000000"/>
          <w:szCs w:val="32"/>
        </w:rPr>
      </w:pPr>
      <w:r>
        <w:rPr>
          <w:rFonts w:eastAsia="仿宋_GB2312"/>
          <w:color w:val="000000"/>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rsidR="000A5BAB" w:rsidRDefault="00335140">
      <w:pPr>
        <w:spacing w:line="520" w:lineRule="exact"/>
        <w:ind w:firstLineChars="200" w:firstLine="640"/>
        <w:rPr>
          <w:rFonts w:eastAsia="黑体"/>
          <w:color w:val="000000"/>
          <w:szCs w:val="32"/>
        </w:rPr>
      </w:pPr>
      <w:r>
        <w:rPr>
          <w:rFonts w:eastAsia="仿宋_GB2312"/>
          <w:color w:val="000000"/>
          <w:szCs w:val="32"/>
        </w:rPr>
        <w:t>本指导原则是在现行法规和标准体系以及当前认知水平下制定的，随着法规和标准的不断完善，以及科学技术的不断发展，本指导原则相关内容也将进行适时的调整。</w:t>
      </w:r>
    </w:p>
    <w:p w:rsidR="000A5BAB" w:rsidRDefault="00335140">
      <w:pPr>
        <w:spacing w:line="520" w:lineRule="exact"/>
        <w:ind w:firstLineChars="200" w:firstLine="640"/>
        <w:rPr>
          <w:rFonts w:eastAsia="黑体"/>
          <w:color w:val="000000"/>
          <w:szCs w:val="32"/>
        </w:rPr>
      </w:pPr>
      <w:r>
        <w:rPr>
          <w:rFonts w:eastAsia="黑体"/>
          <w:color w:val="000000"/>
          <w:szCs w:val="32"/>
        </w:rPr>
        <w:t>一、适用范围</w:t>
      </w:r>
    </w:p>
    <w:p w:rsidR="000A5BAB" w:rsidRDefault="00335140">
      <w:pPr>
        <w:spacing w:line="520" w:lineRule="exact"/>
        <w:ind w:firstLineChars="200" w:firstLine="640"/>
        <w:rPr>
          <w:rFonts w:eastAsia="仿宋_GB2312"/>
          <w:color w:val="000000"/>
          <w:szCs w:val="32"/>
        </w:rPr>
      </w:pPr>
      <w:r>
        <w:rPr>
          <w:rFonts w:eastAsia="仿宋_GB2312"/>
          <w:color w:val="000000"/>
          <w:szCs w:val="32"/>
        </w:rPr>
        <w:t>本指导原则适用于</w:t>
      </w:r>
      <w:r>
        <w:rPr>
          <w:rFonts w:eastAsia="仿宋_GB2312"/>
          <w:szCs w:val="32"/>
        </w:rPr>
        <w:t>《医疗器械分类目录》中</w:t>
      </w:r>
      <w:r>
        <w:rPr>
          <w:rFonts w:eastAsia="仿宋_GB2312" w:hint="eastAsia"/>
          <w:szCs w:val="32"/>
        </w:rPr>
        <w:t>二</w:t>
      </w:r>
      <w:r>
        <w:rPr>
          <w:rFonts w:eastAsia="仿宋_GB2312"/>
          <w:szCs w:val="32"/>
        </w:rPr>
        <w:t>类</w:t>
      </w:r>
      <w:r>
        <w:rPr>
          <w:rFonts w:eastAsia="仿宋_GB2312" w:hint="eastAsia"/>
          <w:szCs w:val="32"/>
        </w:rPr>
        <w:t>无源医疗器械一次性使用脐带剪，分类编码为</w:t>
      </w:r>
      <w:r>
        <w:rPr>
          <w:rFonts w:eastAsia="仿宋_GB2312"/>
          <w:szCs w:val="32"/>
        </w:rPr>
        <w:t>1</w:t>
      </w:r>
      <w:r>
        <w:rPr>
          <w:rFonts w:eastAsia="仿宋_GB2312" w:hint="eastAsia"/>
          <w:szCs w:val="32"/>
        </w:rPr>
        <w:t>8</w:t>
      </w:r>
      <w:r>
        <w:rPr>
          <w:rFonts w:eastAsia="仿宋_GB2312" w:hint="eastAsia"/>
          <w:szCs w:val="32"/>
        </w:rPr>
        <w:t>妇产科、辅助生殖和避孕器械</w:t>
      </w:r>
      <w:r>
        <w:rPr>
          <w:rFonts w:eastAsia="仿宋_GB2312"/>
          <w:szCs w:val="32"/>
        </w:rPr>
        <w:t>-0</w:t>
      </w:r>
      <w:r>
        <w:rPr>
          <w:rFonts w:eastAsia="仿宋_GB2312" w:hint="eastAsia"/>
          <w:szCs w:val="32"/>
        </w:rPr>
        <w:t>1</w:t>
      </w:r>
      <w:r>
        <w:rPr>
          <w:rFonts w:eastAsia="仿宋_GB2312" w:hint="eastAsia"/>
          <w:szCs w:val="32"/>
        </w:rPr>
        <w:t>妇产科手术器械</w:t>
      </w:r>
      <w:r>
        <w:rPr>
          <w:rFonts w:eastAsia="仿宋_GB2312" w:hint="eastAsia"/>
          <w:szCs w:val="32"/>
        </w:rPr>
        <w:t>-</w:t>
      </w:r>
      <w:r>
        <w:rPr>
          <w:rFonts w:eastAsia="仿宋_GB2312"/>
          <w:szCs w:val="32"/>
        </w:rPr>
        <w:t>0</w:t>
      </w:r>
      <w:r>
        <w:rPr>
          <w:rFonts w:eastAsia="仿宋_GB2312" w:hint="eastAsia"/>
          <w:szCs w:val="32"/>
        </w:rPr>
        <w:t>2</w:t>
      </w:r>
      <w:r>
        <w:rPr>
          <w:rFonts w:eastAsia="仿宋_GB2312" w:hint="eastAsia"/>
          <w:szCs w:val="32"/>
        </w:rPr>
        <w:t>妇产科用剪。带有源部件的一次性使用脐带剪</w:t>
      </w:r>
      <w:r>
        <w:rPr>
          <w:rFonts w:eastAsia="仿宋_GB2312"/>
          <w:color w:val="000000"/>
          <w:szCs w:val="32"/>
        </w:rPr>
        <w:t>可参考本指导原则适用部分。</w:t>
      </w:r>
    </w:p>
    <w:p w:rsidR="000A5BAB" w:rsidRDefault="000A5BAB">
      <w:pPr>
        <w:spacing w:line="520" w:lineRule="exact"/>
        <w:ind w:firstLineChars="200" w:firstLine="640"/>
        <w:rPr>
          <w:rFonts w:eastAsia="仿宋_GB2312"/>
          <w:szCs w:val="32"/>
        </w:rPr>
      </w:pPr>
    </w:p>
    <w:p w:rsidR="000A5BAB" w:rsidRDefault="00335140">
      <w:pPr>
        <w:spacing w:line="520" w:lineRule="exact"/>
        <w:ind w:firstLineChars="200" w:firstLine="640"/>
        <w:rPr>
          <w:rFonts w:eastAsia="黑体"/>
          <w:color w:val="000000"/>
          <w:szCs w:val="32"/>
        </w:rPr>
      </w:pPr>
      <w:r>
        <w:rPr>
          <w:rFonts w:eastAsia="黑体"/>
          <w:color w:val="000000"/>
          <w:szCs w:val="32"/>
        </w:rPr>
        <w:lastRenderedPageBreak/>
        <w:t>二、注册审查要点</w:t>
      </w:r>
    </w:p>
    <w:p w:rsidR="000A5BAB" w:rsidRDefault="00335140">
      <w:pPr>
        <w:spacing w:line="520" w:lineRule="exact"/>
        <w:ind w:firstLineChars="200" w:firstLine="640"/>
        <w:rPr>
          <w:rFonts w:eastAsia="楷体_GB2312"/>
          <w:color w:val="000000"/>
          <w:szCs w:val="32"/>
        </w:rPr>
      </w:pPr>
      <w:r>
        <w:rPr>
          <w:rFonts w:eastAsia="楷体_GB2312"/>
          <w:color w:val="000000"/>
          <w:szCs w:val="32"/>
        </w:rPr>
        <w:t>（一）监管信息</w:t>
      </w:r>
    </w:p>
    <w:p w:rsidR="000A5BAB" w:rsidRDefault="00335140">
      <w:pPr>
        <w:spacing w:line="520" w:lineRule="exact"/>
        <w:ind w:firstLineChars="200" w:firstLine="640"/>
        <w:rPr>
          <w:rFonts w:eastAsia="仿宋_GB2312"/>
          <w:color w:val="000000"/>
          <w:szCs w:val="32"/>
        </w:rPr>
      </w:pPr>
      <w:r>
        <w:rPr>
          <w:rFonts w:eastAsia="仿宋_GB2312"/>
          <w:color w:val="000000"/>
          <w:szCs w:val="32"/>
        </w:rPr>
        <w:t>1.</w:t>
      </w:r>
      <w:r>
        <w:rPr>
          <w:rFonts w:eastAsia="仿宋_GB2312"/>
          <w:color w:val="000000"/>
          <w:szCs w:val="32"/>
        </w:rPr>
        <w:t>产品名称</w:t>
      </w:r>
    </w:p>
    <w:p w:rsidR="000A5BAB" w:rsidRDefault="00335140">
      <w:pPr>
        <w:adjustRightInd w:val="0"/>
        <w:snapToGrid w:val="0"/>
        <w:spacing w:line="520" w:lineRule="exact"/>
        <w:ind w:firstLineChars="200" w:firstLine="640"/>
        <w:rPr>
          <w:rFonts w:eastAsia="仿宋_GB2312"/>
          <w:color w:val="000000"/>
          <w:szCs w:val="32"/>
        </w:rPr>
      </w:pPr>
      <w:r>
        <w:rPr>
          <w:rFonts w:eastAsia="仿宋_GB2312"/>
          <w:szCs w:val="32"/>
        </w:rPr>
        <w:t>产品名称应为通用名称，并符合《医疗器械通用名称命名规则》等相关法规、规范性文件的要求，如</w:t>
      </w:r>
      <w:r>
        <w:rPr>
          <w:rFonts w:eastAsia="仿宋_GB2312"/>
          <w:szCs w:val="32"/>
        </w:rPr>
        <w:t>“</w:t>
      </w:r>
      <w:r>
        <w:rPr>
          <w:rFonts w:eastAsia="仿宋_GB2312"/>
          <w:szCs w:val="32"/>
        </w:rPr>
        <w:t>一次性使用</w:t>
      </w:r>
      <w:r>
        <w:rPr>
          <w:rFonts w:eastAsia="仿宋_GB2312" w:hint="eastAsia"/>
          <w:szCs w:val="32"/>
        </w:rPr>
        <w:t>无菌脐带剪</w:t>
      </w:r>
      <w:r>
        <w:rPr>
          <w:rFonts w:eastAsia="仿宋_GB2312"/>
          <w:szCs w:val="32"/>
        </w:rPr>
        <w:t>、一次性使用</w:t>
      </w:r>
      <w:r>
        <w:rPr>
          <w:rFonts w:eastAsia="仿宋_GB2312" w:hint="eastAsia"/>
          <w:szCs w:val="32"/>
        </w:rPr>
        <w:t>脐带剪、一次性使用脐带剪断器、一次性使用脐带剪夹器</w:t>
      </w:r>
      <w:r>
        <w:rPr>
          <w:rFonts w:eastAsia="仿宋_GB2312"/>
          <w:szCs w:val="32"/>
        </w:rPr>
        <w:t>”</w:t>
      </w:r>
      <w:r>
        <w:rPr>
          <w:rFonts w:eastAsia="仿宋_GB2312"/>
          <w:szCs w:val="32"/>
        </w:rPr>
        <w:t>等。</w:t>
      </w:r>
    </w:p>
    <w:p w:rsidR="000A5BAB" w:rsidRDefault="00335140">
      <w:pPr>
        <w:spacing w:line="520" w:lineRule="exact"/>
        <w:ind w:firstLineChars="200" w:firstLine="640"/>
        <w:rPr>
          <w:rFonts w:eastAsia="仿宋_GB2312"/>
          <w:color w:val="000000"/>
          <w:szCs w:val="32"/>
        </w:rPr>
      </w:pPr>
      <w:r>
        <w:rPr>
          <w:rFonts w:eastAsia="仿宋_GB2312"/>
          <w:color w:val="000000"/>
          <w:szCs w:val="32"/>
        </w:rPr>
        <w:t>2.</w:t>
      </w:r>
      <w:r>
        <w:rPr>
          <w:rFonts w:eastAsia="仿宋_GB2312"/>
          <w:color w:val="000000"/>
          <w:szCs w:val="32"/>
        </w:rPr>
        <w:t>分类编码</w:t>
      </w:r>
    </w:p>
    <w:p w:rsidR="000A5BAB" w:rsidRDefault="00335140">
      <w:pPr>
        <w:spacing w:line="520" w:lineRule="exact"/>
        <w:ind w:firstLineChars="200" w:firstLine="640"/>
        <w:rPr>
          <w:rFonts w:eastAsia="仿宋_GB2312"/>
          <w:szCs w:val="32"/>
        </w:rPr>
      </w:pPr>
      <w:r>
        <w:rPr>
          <w:rFonts w:eastAsia="仿宋_GB2312"/>
          <w:szCs w:val="32"/>
        </w:rPr>
        <w:t>根据《医疗器械分类目录》，产品的分类编码为</w:t>
      </w:r>
      <w:r>
        <w:rPr>
          <w:rFonts w:eastAsia="仿宋_GB2312"/>
          <w:szCs w:val="32"/>
        </w:rPr>
        <w:t>1</w:t>
      </w:r>
      <w:r>
        <w:rPr>
          <w:rFonts w:eastAsia="仿宋_GB2312" w:hint="eastAsia"/>
          <w:szCs w:val="32"/>
        </w:rPr>
        <w:t>8</w:t>
      </w:r>
      <w:r>
        <w:rPr>
          <w:rFonts w:eastAsia="仿宋_GB2312"/>
          <w:szCs w:val="32"/>
        </w:rPr>
        <w:t>-0</w:t>
      </w:r>
      <w:r>
        <w:rPr>
          <w:rFonts w:eastAsia="仿宋_GB2312" w:hint="eastAsia"/>
          <w:szCs w:val="32"/>
        </w:rPr>
        <w:t>1</w:t>
      </w:r>
      <w:r>
        <w:rPr>
          <w:rFonts w:eastAsia="仿宋_GB2312"/>
          <w:szCs w:val="32"/>
        </w:rPr>
        <w:t>-0</w:t>
      </w:r>
      <w:r>
        <w:rPr>
          <w:rFonts w:eastAsia="仿宋_GB2312" w:hint="eastAsia"/>
          <w:szCs w:val="32"/>
        </w:rPr>
        <w:t>2</w:t>
      </w:r>
      <w:r>
        <w:rPr>
          <w:rFonts w:eastAsia="仿宋_GB2312"/>
          <w:szCs w:val="32"/>
        </w:rPr>
        <w:t>，管理类别为</w:t>
      </w:r>
      <w:r>
        <w:rPr>
          <w:rFonts w:eastAsia="仿宋_GB2312" w:hint="eastAsia"/>
          <w:szCs w:val="32"/>
        </w:rPr>
        <w:t>二</w:t>
      </w:r>
      <w:r>
        <w:rPr>
          <w:rFonts w:eastAsia="仿宋_GB2312"/>
          <w:szCs w:val="32"/>
        </w:rPr>
        <w:t>类。</w:t>
      </w:r>
    </w:p>
    <w:p w:rsidR="000A5BAB" w:rsidRDefault="00335140">
      <w:pPr>
        <w:spacing w:line="520" w:lineRule="exact"/>
        <w:ind w:firstLineChars="200" w:firstLine="640"/>
        <w:rPr>
          <w:rFonts w:eastAsia="仿宋_GB2312"/>
          <w:szCs w:val="32"/>
        </w:rPr>
      </w:pPr>
      <w:r>
        <w:rPr>
          <w:rFonts w:eastAsia="仿宋_GB2312"/>
          <w:szCs w:val="32"/>
        </w:rPr>
        <w:t>3.</w:t>
      </w:r>
      <w:r>
        <w:rPr>
          <w:rFonts w:eastAsia="仿宋_GB2312"/>
          <w:szCs w:val="32"/>
        </w:rPr>
        <w:t>注册单元划分的原则和实例</w:t>
      </w:r>
    </w:p>
    <w:p w:rsidR="000A5BAB" w:rsidRDefault="00335140">
      <w:pPr>
        <w:spacing w:line="520" w:lineRule="exact"/>
        <w:ind w:firstLineChars="200" w:firstLine="640"/>
        <w:rPr>
          <w:rFonts w:eastAsia="仿宋_GB2312"/>
          <w:color w:val="000000"/>
          <w:szCs w:val="32"/>
        </w:rPr>
      </w:pPr>
      <w:r>
        <w:rPr>
          <w:rFonts w:eastAsia="仿宋_GB2312"/>
          <w:szCs w:val="32"/>
        </w:rPr>
        <w:t>产品注册单元的划分需符合《医疗器械注册单元划分指导原则》的要求。</w:t>
      </w:r>
      <w:r>
        <w:rPr>
          <w:rFonts w:eastAsia="仿宋_GB2312" w:hint="eastAsia"/>
          <w:szCs w:val="32"/>
        </w:rPr>
        <w:t>以产</w:t>
      </w:r>
      <w:r>
        <w:rPr>
          <w:rFonts w:eastAsia="仿宋_GB2312" w:hint="eastAsia"/>
          <w:color w:val="000000"/>
          <w:szCs w:val="32"/>
        </w:rPr>
        <w:t>品的技术原理、结构组成、性能指标和适用范围等因素为划分依据。</w:t>
      </w:r>
    </w:p>
    <w:p w:rsidR="000A5BAB" w:rsidRDefault="00335140">
      <w:pPr>
        <w:spacing w:line="540" w:lineRule="exact"/>
        <w:ind w:firstLineChars="200" w:firstLine="640"/>
        <w:rPr>
          <w:rFonts w:eastAsia="仿宋_GB2312"/>
          <w:color w:val="0000FF"/>
          <w:szCs w:val="32"/>
        </w:rPr>
      </w:pPr>
      <w:r>
        <w:rPr>
          <w:rFonts w:eastAsia="仿宋_GB2312" w:hint="eastAsia"/>
          <w:color w:val="000000"/>
          <w:szCs w:val="32"/>
        </w:rPr>
        <w:t>例如：推切式、剪切式和纵切式脐带剪夹器可作为同一注册单元。</w:t>
      </w:r>
    </w:p>
    <w:p w:rsidR="000A5BAB" w:rsidRDefault="00335140">
      <w:pPr>
        <w:spacing w:line="520" w:lineRule="exact"/>
        <w:ind w:firstLineChars="200" w:firstLine="640"/>
        <w:rPr>
          <w:rFonts w:eastAsia="楷体_GB2312"/>
          <w:color w:val="000000"/>
          <w:szCs w:val="32"/>
        </w:rPr>
      </w:pPr>
      <w:r>
        <w:rPr>
          <w:rFonts w:eastAsia="楷体_GB2312"/>
          <w:color w:val="000000"/>
          <w:szCs w:val="32"/>
        </w:rPr>
        <w:t>（二）综述资料</w:t>
      </w:r>
    </w:p>
    <w:p w:rsidR="000A5BAB" w:rsidRDefault="00335140">
      <w:pPr>
        <w:spacing w:line="520" w:lineRule="exact"/>
        <w:ind w:firstLineChars="200" w:firstLine="640"/>
        <w:rPr>
          <w:rFonts w:eastAsia="仿宋_GB2312"/>
          <w:color w:val="000000"/>
          <w:szCs w:val="32"/>
        </w:rPr>
      </w:pPr>
      <w:r>
        <w:rPr>
          <w:rFonts w:eastAsia="仿宋_GB2312"/>
          <w:color w:val="000000"/>
          <w:szCs w:val="32"/>
        </w:rPr>
        <w:t>1.</w:t>
      </w:r>
      <w:r>
        <w:rPr>
          <w:rFonts w:eastAsia="仿宋_GB2312"/>
          <w:color w:val="000000"/>
          <w:szCs w:val="32"/>
        </w:rPr>
        <w:t>器械及操作原理描述</w:t>
      </w:r>
    </w:p>
    <w:p w:rsidR="000A5BAB" w:rsidRDefault="00335140">
      <w:pPr>
        <w:spacing w:line="520" w:lineRule="exact"/>
        <w:ind w:firstLineChars="200" w:firstLine="640"/>
        <w:rPr>
          <w:rFonts w:eastAsia="仿宋_GB2312"/>
          <w:color w:val="000000"/>
          <w:szCs w:val="32"/>
          <w:highlight w:val="yellow"/>
        </w:rPr>
      </w:pPr>
      <w:r>
        <w:rPr>
          <w:rFonts w:eastAsia="仿宋_GB2312" w:hint="eastAsia"/>
          <w:color w:val="000000"/>
          <w:szCs w:val="32"/>
        </w:rPr>
        <w:t>一次性使用无菌脐带剪在使用过程中，脐带夹夹紧脐带的同时，利用切割刀将脐带切断。脐带夹与脐带剪夹器分离，脐带夹保留在新生儿身上。脐带夹表面有锯齿状凸起，闭合时可迅速结扎脐带，阻断脐血流，闭合后为紧密的卡扣结构，可保证紧密的结扎效果。</w:t>
      </w:r>
    </w:p>
    <w:p w:rsidR="000A5BAB" w:rsidRDefault="00335140">
      <w:pPr>
        <w:adjustRightInd w:val="0"/>
        <w:snapToGrid w:val="0"/>
        <w:spacing w:line="520" w:lineRule="exact"/>
        <w:ind w:firstLineChars="200" w:firstLine="640"/>
        <w:outlineLvl w:val="2"/>
        <w:rPr>
          <w:rFonts w:eastAsia="仿宋_GB2312"/>
          <w:szCs w:val="32"/>
        </w:rPr>
      </w:pPr>
      <w:r>
        <w:rPr>
          <w:rFonts w:eastAsia="楷体_GB2312"/>
          <w:bCs/>
          <w:iCs/>
          <w:szCs w:val="28"/>
        </w:rPr>
        <w:t>2.</w:t>
      </w:r>
      <w:r>
        <w:rPr>
          <w:rFonts w:eastAsia="仿宋_GB2312"/>
          <w:color w:val="000000"/>
          <w:szCs w:val="32"/>
        </w:rPr>
        <w:t>产品结构及组成</w:t>
      </w:r>
    </w:p>
    <w:p w:rsidR="000A5BAB" w:rsidRDefault="00335140">
      <w:pPr>
        <w:adjustRightInd w:val="0"/>
        <w:snapToGrid w:val="0"/>
        <w:spacing w:line="520" w:lineRule="exact"/>
        <w:ind w:firstLineChars="200" w:firstLine="640"/>
        <w:rPr>
          <w:rFonts w:eastAsia="仿宋_GB2312"/>
          <w:color w:val="000000"/>
          <w:szCs w:val="32"/>
        </w:rPr>
      </w:pPr>
      <w:r>
        <w:rPr>
          <w:rFonts w:eastAsia="仿宋_GB2312" w:hint="eastAsia"/>
          <w:color w:val="000000"/>
          <w:szCs w:val="32"/>
        </w:rPr>
        <w:t>一次性使用无菌脐带剪通常由脐带夹、刀架和切割刀等组成。</w:t>
      </w:r>
      <w:r>
        <w:rPr>
          <w:rFonts w:eastAsia="仿宋_GB2312"/>
          <w:szCs w:val="32"/>
        </w:rPr>
        <w:t>根据产品实际情况提供产品的结构示意图，结合结构</w:t>
      </w:r>
      <w:r>
        <w:rPr>
          <w:rFonts w:eastAsia="仿宋_GB2312"/>
          <w:szCs w:val="32"/>
        </w:rPr>
        <w:lastRenderedPageBreak/>
        <w:t>示意图对产品的结构组成进行详尽描述。描述的内容包括结构、尺寸、材料等。</w:t>
      </w:r>
      <w:r>
        <w:rPr>
          <w:rFonts w:eastAsia="仿宋_GB2312" w:hint="eastAsia"/>
          <w:color w:val="000000"/>
          <w:szCs w:val="32"/>
        </w:rPr>
        <w:t>常见的结构型式有推切式、剪切式和纵切式三种型式。</w:t>
      </w:r>
    </w:p>
    <w:p w:rsidR="000A5BAB" w:rsidRDefault="000A5BAB">
      <w:pPr>
        <w:pStyle w:val="af0"/>
        <w:ind w:rightChars="-241" w:right="-771" w:firstLineChars="0" w:firstLine="0"/>
        <w:rPr>
          <w:rFonts w:hAnsi="宋体" w:cs="宋体"/>
          <w:sz w:val="24"/>
          <w:szCs w:val="24"/>
          <w:lang w:bidi="bo-CN"/>
        </w:rPr>
      </w:pPr>
    </w:p>
    <w:p w:rsidR="000A5BAB" w:rsidRDefault="00335140">
      <w:r>
        <w:rPr>
          <w:rFonts w:eastAsia="仿宋_GB2312" w:hint="eastAsia"/>
          <w:noProof/>
          <w:color w:val="000000"/>
          <w:szCs w:val="32"/>
        </w:rPr>
        <w:drawing>
          <wp:anchor distT="0" distB="0" distL="114300" distR="114300" simplePos="0" relativeHeight="251660288" behindDoc="0" locked="0" layoutInCell="1" allowOverlap="1">
            <wp:simplePos x="0" y="0"/>
            <wp:positionH relativeFrom="column">
              <wp:posOffset>1934845</wp:posOffset>
            </wp:positionH>
            <wp:positionV relativeFrom="paragraph">
              <wp:posOffset>16510</wp:posOffset>
            </wp:positionV>
            <wp:extent cx="1839595" cy="1726565"/>
            <wp:effectExtent l="0" t="0" r="8255" b="6985"/>
            <wp:wrapNone/>
            <wp:docPr id="3" name="图片 3" descr="1757923589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57923589701"/>
                    <pic:cNvPicPr>
                      <a:picLocks noChangeAspect="1"/>
                    </pic:cNvPicPr>
                  </pic:nvPicPr>
                  <pic:blipFill>
                    <a:blip r:embed="rId8"/>
                    <a:srcRect b="8408"/>
                    <a:stretch>
                      <a:fillRect/>
                    </a:stretch>
                  </pic:blipFill>
                  <pic:spPr>
                    <a:xfrm>
                      <a:off x="0" y="0"/>
                      <a:ext cx="1839595" cy="1726565"/>
                    </a:xfrm>
                    <a:prstGeom prst="rect">
                      <a:avLst/>
                    </a:prstGeom>
                  </pic:spPr>
                </pic:pic>
              </a:graphicData>
            </a:graphic>
          </wp:anchor>
        </w:drawing>
      </w:r>
    </w:p>
    <w:p w:rsidR="000A5BAB" w:rsidRDefault="000A5BAB">
      <w:pPr>
        <w:pStyle w:val="af0"/>
        <w:ind w:leftChars="-71" w:left="-227" w:rightChars="-241" w:right="-771" w:firstLineChars="0" w:firstLine="0"/>
        <w:jc w:val="center"/>
        <w:rPr>
          <w:rFonts w:hAnsi="宋体" w:cs="宋体"/>
          <w:sz w:val="24"/>
          <w:szCs w:val="24"/>
          <w:lang w:bidi="bo-CN"/>
        </w:rPr>
      </w:pPr>
    </w:p>
    <w:p w:rsidR="000A5BAB" w:rsidRDefault="000A5BAB">
      <w:pPr>
        <w:pStyle w:val="af0"/>
        <w:ind w:leftChars="-71" w:left="-227" w:rightChars="-241" w:right="-771" w:firstLineChars="0" w:firstLine="0"/>
        <w:jc w:val="center"/>
        <w:rPr>
          <w:rFonts w:ascii="Times New Roman" w:eastAsia="黑体"/>
          <w:sz w:val="28"/>
          <w:szCs w:val="28"/>
        </w:rPr>
      </w:pPr>
    </w:p>
    <w:p w:rsidR="000A5BAB" w:rsidRDefault="000A5BAB">
      <w:pPr>
        <w:pStyle w:val="af0"/>
        <w:ind w:leftChars="-71" w:left="-227" w:rightChars="-241" w:right="-771" w:firstLineChars="0" w:firstLine="0"/>
        <w:jc w:val="center"/>
        <w:rPr>
          <w:rFonts w:ascii="Times New Roman" w:eastAsia="黑体"/>
          <w:sz w:val="28"/>
          <w:szCs w:val="28"/>
        </w:rPr>
      </w:pPr>
    </w:p>
    <w:p w:rsidR="000A5BAB" w:rsidRDefault="000A5BAB">
      <w:pPr>
        <w:pStyle w:val="af0"/>
        <w:ind w:rightChars="-241" w:right="-771" w:firstLineChars="0" w:firstLine="0"/>
        <w:rPr>
          <w:rFonts w:ascii="Times New Roman" w:eastAsia="黑体"/>
          <w:sz w:val="28"/>
          <w:szCs w:val="28"/>
        </w:rPr>
      </w:pPr>
    </w:p>
    <w:p w:rsidR="000A5BAB" w:rsidRDefault="00335140">
      <w:pPr>
        <w:pStyle w:val="af0"/>
        <w:ind w:leftChars="-71" w:left="-227" w:rightChars="-241" w:right="-771" w:firstLineChars="0" w:firstLine="0"/>
        <w:jc w:val="center"/>
        <w:rPr>
          <w:rStyle w:val="tit2"/>
          <w:rFonts w:hAnsi="宋体"/>
          <w:b w:val="0"/>
          <w:bCs w:val="0"/>
          <w:szCs w:val="21"/>
        </w:rPr>
      </w:pPr>
      <w:r>
        <w:rPr>
          <w:rFonts w:ascii="Times New Roman" w:eastAsia="黑体"/>
          <w:sz w:val="28"/>
          <w:szCs w:val="28"/>
        </w:rPr>
        <w:t>a)</w:t>
      </w:r>
      <w:r>
        <w:rPr>
          <w:rFonts w:eastAsia="黑体"/>
          <w:sz w:val="28"/>
          <w:szCs w:val="28"/>
        </w:rPr>
        <w:t xml:space="preserve"> </w:t>
      </w:r>
      <w:r>
        <w:rPr>
          <w:rFonts w:ascii="黑体" w:eastAsia="黑体" w:hAnsi="黑体" w:cs="黑体" w:hint="eastAsia"/>
          <w:sz w:val="24"/>
          <w:szCs w:val="24"/>
          <w:lang w:bidi="bo-CN"/>
        </w:rPr>
        <w:t>纵切式</w:t>
      </w:r>
    </w:p>
    <w:p w:rsidR="000A5BAB" w:rsidRDefault="00335140">
      <w:pPr>
        <w:spacing w:line="520" w:lineRule="exact"/>
        <w:rPr>
          <w:rFonts w:eastAsia="仿宋_GB2312"/>
          <w:color w:val="000000"/>
          <w:szCs w:val="32"/>
        </w:rPr>
      </w:pPr>
      <w:r>
        <w:rPr>
          <w:rFonts w:eastAsia="仿宋_GB2312" w:hint="eastAsia"/>
          <w:noProof/>
          <w:color w:val="000000"/>
          <w:szCs w:val="32"/>
        </w:rPr>
        <w:drawing>
          <wp:anchor distT="0" distB="0" distL="114300" distR="114300" simplePos="0" relativeHeight="251661312" behindDoc="0" locked="0" layoutInCell="1" allowOverlap="1">
            <wp:simplePos x="0" y="0"/>
            <wp:positionH relativeFrom="column">
              <wp:posOffset>1946910</wp:posOffset>
            </wp:positionH>
            <wp:positionV relativeFrom="paragraph">
              <wp:posOffset>173990</wp:posOffset>
            </wp:positionV>
            <wp:extent cx="1894205" cy="1137920"/>
            <wp:effectExtent l="0" t="0" r="10795" b="5080"/>
            <wp:wrapNone/>
            <wp:docPr id="6" name="图片 6" descr="1764144185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64144185773"/>
                    <pic:cNvPicPr>
                      <a:picLocks noChangeAspect="1"/>
                    </pic:cNvPicPr>
                  </pic:nvPicPr>
                  <pic:blipFill>
                    <a:blip r:embed="rId9"/>
                    <a:stretch>
                      <a:fillRect/>
                    </a:stretch>
                  </pic:blipFill>
                  <pic:spPr>
                    <a:xfrm>
                      <a:off x="0" y="0"/>
                      <a:ext cx="1894205" cy="1137920"/>
                    </a:xfrm>
                    <a:prstGeom prst="rect">
                      <a:avLst/>
                    </a:prstGeom>
                  </pic:spPr>
                </pic:pic>
              </a:graphicData>
            </a:graphic>
          </wp:anchor>
        </w:drawing>
      </w:r>
    </w:p>
    <w:p w:rsidR="000A5BAB" w:rsidRDefault="000A5BAB">
      <w:pPr>
        <w:spacing w:line="520" w:lineRule="exact"/>
        <w:ind w:firstLineChars="200" w:firstLine="640"/>
        <w:jc w:val="left"/>
        <w:rPr>
          <w:rFonts w:eastAsia="仿宋_GB2312"/>
          <w:color w:val="000000"/>
          <w:szCs w:val="32"/>
        </w:rPr>
      </w:pPr>
    </w:p>
    <w:p w:rsidR="000A5BAB" w:rsidRDefault="000A5BAB">
      <w:pPr>
        <w:spacing w:line="520" w:lineRule="exact"/>
        <w:ind w:firstLineChars="200" w:firstLine="640"/>
        <w:jc w:val="left"/>
        <w:rPr>
          <w:rFonts w:eastAsia="仿宋_GB2312"/>
          <w:color w:val="000000"/>
          <w:szCs w:val="32"/>
        </w:rPr>
      </w:pPr>
    </w:p>
    <w:p w:rsidR="000A5BAB" w:rsidRDefault="000A5BAB">
      <w:pPr>
        <w:spacing w:line="520" w:lineRule="exact"/>
        <w:jc w:val="left"/>
        <w:rPr>
          <w:rFonts w:eastAsia="仿宋_GB2312"/>
          <w:color w:val="000000"/>
          <w:szCs w:val="32"/>
        </w:rPr>
      </w:pPr>
    </w:p>
    <w:p w:rsidR="000A5BAB" w:rsidRDefault="00335140">
      <w:pPr>
        <w:pStyle w:val="af0"/>
        <w:ind w:leftChars="-71" w:left="-227" w:rightChars="-241" w:right="-771" w:firstLineChars="0" w:firstLine="0"/>
        <w:jc w:val="center"/>
        <w:rPr>
          <w:rStyle w:val="tit2"/>
          <w:rFonts w:hAnsi="宋体"/>
          <w:b w:val="0"/>
          <w:bCs w:val="0"/>
          <w:szCs w:val="21"/>
        </w:rPr>
      </w:pPr>
      <w:r>
        <w:rPr>
          <w:rFonts w:ascii="Times New Roman" w:eastAsia="黑体" w:hint="eastAsia"/>
          <w:sz w:val="28"/>
          <w:szCs w:val="28"/>
        </w:rPr>
        <w:t>b</w:t>
      </w:r>
      <w:r>
        <w:rPr>
          <w:rFonts w:ascii="Times New Roman" w:eastAsia="黑体"/>
          <w:sz w:val="28"/>
          <w:szCs w:val="28"/>
        </w:rPr>
        <w:t>)</w:t>
      </w:r>
      <w:r>
        <w:rPr>
          <w:rFonts w:eastAsia="黑体"/>
          <w:sz w:val="28"/>
          <w:szCs w:val="28"/>
        </w:rPr>
        <w:t xml:space="preserve"> </w:t>
      </w:r>
      <w:r>
        <w:rPr>
          <w:rFonts w:ascii="黑体" w:eastAsia="黑体" w:hAnsi="黑体" w:cs="黑体" w:hint="eastAsia"/>
          <w:sz w:val="24"/>
          <w:szCs w:val="24"/>
          <w:lang w:bidi="bo-CN"/>
        </w:rPr>
        <w:t>剪切式</w:t>
      </w:r>
    </w:p>
    <w:p w:rsidR="000A5BAB" w:rsidRDefault="00335140">
      <w:pPr>
        <w:spacing w:line="520" w:lineRule="exact"/>
        <w:ind w:firstLineChars="200" w:firstLine="480"/>
        <w:jc w:val="center"/>
        <w:rPr>
          <w:rFonts w:eastAsia="仿宋_GB2312"/>
          <w:color w:val="000000"/>
          <w:szCs w:val="32"/>
        </w:rPr>
      </w:pPr>
      <w:r>
        <w:rPr>
          <w:rFonts w:eastAsia="宋体" w:hAnsi="宋体" w:cs="宋体" w:hint="eastAsia"/>
          <w:noProof/>
          <w:sz w:val="24"/>
        </w:rPr>
        <w:drawing>
          <wp:anchor distT="0" distB="0" distL="114300" distR="114300" simplePos="0" relativeHeight="251662336" behindDoc="0" locked="0" layoutInCell="1" allowOverlap="1">
            <wp:simplePos x="0" y="0"/>
            <wp:positionH relativeFrom="column">
              <wp:posOffset>1655445</wp:posOffset>
            </wp:positionH>
            <wp:positionV relativeFrom="paragraph">
              <wp:posOffset>133350</wp:posOffset>
            </wp:positionV>
            <wp:extent cx="2497455" cy="1192530"/>
            <wp:effectExtent l="0" t="0" r="17145" b="7620"/>
            <wp:wrapNone/>
            <wp:docPr id="8" name="图片 8" descr="1764144138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764144138638"/>
                    <pic:cNvPicPr>
                      <a:picLocks noChangeAspect="1"/>
                    </pic:cNvPicPr>
                  </pic:nvPicPr>
                  <pic:blipFill>
                    <a:blip r:embed="rId10"/>
                    <a:stretch>
                      <a:fillRect/>
                    </a:stretch>
                  </pic:blipFill>
                  <pic:spPr>
                    <a:xfrm>
                      <a:off x="0" y="0"/>
                      <a:ext cx="2497455" cy="1192530"/>
                    </a:xfrm>
                    <a:prstGeom prst="rect">
                      <a:avLst/>
                    </a:prstGeom>
                  </pic:spPr>
                </pic:pic>
              </a:graphicData>
            </a:graphic>
          </wp:anchor>
        </w:drawing>
      </w:r>
    </w:p>
    <w:p w:rsidR="000A5BAB" w:rsidRDefault="000A5BAB">
      <w:pPr>
        <w:spacing w:line="520" w:lineRule="exact"/>
        <w:ind w:firstLineChars="200" w:firstLine="640"/>
        <w:jc w:val="left"/>
        <w:rPr>
          <w:rFonts w:eastAsia="仿宋_GB2312"/>
          <w:color w:val="000000"/>
          <w:szCs w:val="32"/>
        </w:rPr>
      </w:pPr>
    </w:p>
    <w:p w:rsidR="000A5BAB" w:rsidRDefault="000A5BAB">
      <w:pPr>
        <w:spacing w:line="520" w:lineRule="exact"/>
        <w:ind w:firstLineChars="200" w:firstLine="640"/>
        <w:jc w:val="left"/>
        <w:rPr>
          <w:rFonts w:eastAsia="仿宋_GB2312"/>
          <w:color w:val="000000"/>
          <w:szCs w:val="32"/>
        </w:rPr>
      </w:pPr>
    </w:p>
    <w:p w:rsidR="000A5BAB" w:rsidRDefault="000A5BAB">
      <w:pPr>
        <w:spacing w:line="520" w:lineRule="exact"/>
        <w:jc w:val="left"/>
        <w:rPr>
          <w:rFonts w:eastAsia="仿宋_GB2312"/>
          <w:color w:val="000000"/>
          <w:szCs w:val="32"/>
        </w:rPr>
      </w:pPr>
    </w:p>
    <w:p w:rsidR="000A5BAB" w:rsidRDefault="00335140">
      <w:pPr>
        <w:pStyle w:val="af0"/>
        <w:ind w:leftChars="-71" w:left="-227" w:rightChars="-241" w:right="-771" w:firstLineChars="0" w:firstLine="0"/>
        <w:jc w:val="center"/>
        <w:rPr>
          <w:rFonts w:ascii="黑体" w:eastAsia="黑体" w:hAnsi="黑体" w:cs="黑体"/>
          <w:sz w:val="24"/>
          <w:szCs w:val="24"/>
          <w:lang w:bidi="bo-CN"/>
        </w:rPr>
      </w:pPr>
      <w:r>
        <w:rPr>
          <w:rFonts w:ascii="Times New Roman" w:eastAsia="黑体" w:hint="eastAsia"/>
          <w:sz w:val="28"/>
          <w:szCs w:val="28"/>
          <w:lang w:bidi="bo-CN"/>
        </w:rPr>
        <w:t xml:space="preserve">c) </w:t>
      </w:r>
      <w:r>
        <w:rPr>
          <w:rFonts w:ascii="黑体" w:eastAsia="黑体" w:hAnsi="黑体" w:cs="黑体" w:hint="eastAsia"/>
          <w:sz w:val="24"/>
          <w:szCs w:val="24"/>
          <w:lang w:bidi="bo-CN"/>
        </w:rPr>
        <w:t>推切式</w:t>
      </w:r>
    </w:p>
    <w:p w:rsidR="000A5BAB" w:rsidRDefault="00335140">
      <w:pPr>
        <w:spacing w:line="520" w:lineRule="exact"/>
        <w:ind w:firstLineChars="200" w:firstLine="640"/>
        <w:jc w:val="center"/>
        <w:rPr>
          <w:rFonts w:eastAsia="仿宋_GB2312"/>
          <w:color w:val="000000"/>
          <w:szCs w:val="32"/>
        </w:rPr>
      </w:pPr>
      <w:r>
        <w:rPr>
          <w:rFonts w:eastAsia="仿宋_GB2312" w:hint="eastAsia"/>
          <w:color w:val="000000"/>
          <w:szCs w:val="32"/>
        </w:rPr>
        <w:t>1</w:t>
      </w:r>
      <w:r>
        <w:rPr>
          <w:rFonts w:eastAsia="仿宋_GB2312" w:hint="eastAsia"/>
          <w:color w:val="000000"/>
          <w:szCs w:val="32"/>
        </w:rPr>
        <w:t>、脐带夹；</w:t>
      </w:r>
      <w:r>
        <w:rPr>
          <w:rFonts w:eastAsia="仿宋_GB2312" w:hint="eastAsia"/>
          <w:color w:val="000000"/>
          <w:szCs w:val="32"/>
        </w:rPr>
        <w:t>2</w:t>
      </w:r>
      <w:r>
        <w:rPr>
          <w:rFonts w:eastAsia="仿宋_GB2312" w:hint="eastAsia"/>
          <w:color w:val="000000"/>
          <w:szCs w:val="32"/>
        </w:rPr>
        <w:t>、切割刀；</w:t>
      </w:r>
      <w:r>
        <w:rPr>
          <w:rFonts w:eastAsia="仿宋_GB2312" w:hint="eastAsia"/>
          <w:color w:val="000000"/>
          <w:szCs w:val="32"/>
        </w:rPr>
        <w:t>3</w:t>
      </w:r>
      <w:r>
        <w:rPr>
          <w:rFonts w:eastAsia="仿宋_GB2312" w:hint="eastAsia"/>
          <w:color w:val="000000"/>
          <w:szCs w:val="32"/>
        </w:rPr>
        <w:t>、刀架</w:t>
      </w:r>
    </w:p>
    <w:p w:rsidR="000A5BAB" w:rsidRDefault="00335140">
      <w:pPr>
        <w:spacing w:line="520" w:lineRule="exact"/>
        <w:ind w:firstLineChars="200" w:firstLine="560"/>
        <w:jc w:val="center"/>
        <w:rPr>
          <w:rFonts w:eastAsia="仿宋_GB2312"/>
          <w:color w:val="000000"/>
          <w:szCs w:val="32"/>
        </w:rPr>
      </w:pPr>
      <w:r>
        <w:rPr>
          <w:rFonts w:ascii="黑体" w:eastAsia="黑体" w:hAnsi="黑体" w:cs="黑体" w:hint="eastAsia"/>
          <w:bCs/>
          <w:sz w:val="28"/>
          <w:szCs w:val="28"/>
        </w:rPr>
        <w:t>图1  一次性使用无菌脐带剪结构示意图</w:t>
      </w:r>
    </w:p>
    <w:p w:rsidR="000A5BAB" w:rsidRDefault="000A5BAB">
      <w:pPr>
        <w:adjustRightInd w:val="0"/>
        <w:snapToGrid w:val="0"/>
        <w:ind w:firstLineChars="200" w:firstLine="640"/>
        <w:outlineLvl w:val="2"/>
        <w:rPr>
          <w:rFonts w:eastAsia="仿宋_GB2312"/>
          <w:szCs w:val="32"/>
        </w:rPr>
      </w:pPr>
    </w:p>
    <w:p w:rsidR="000A5BAB" w:rsidRDefault="00335140">
      <w:pPr>
        <w:adjustRightInd w:val="0"/>
        <w:snapToGrid w:val="0"/>
        <w:ind w:firstLineChars="200" w:firstLine="640"/>
        <w:outlineLvl w:val="2"/>
        <w:rPr>
          <w:rFonts w:eastAsia="仿宋_GB2312"/>
          <w:szCs w:val="32"/>
        </w:rPr>
      </w:pPr>
      <w:r>
        <w:rPr>
          <w:rFonts w:eastAsia="仿宋_GB2312"/>
          <w:szCs w:val="32"/>
        </w:rPr>
        <w:t>3.</w:t>
      </w:r>
      <w:r>
        <w:rPr>
          <w:rFonts w:eastAsia="仿宋_GB2312"/>
          <w:szCs w:val="32"/>
        </w:rPr>
        <w:t>原材料</w:t>
      </w:r>
    </w:p>
    <w:p w:rsidR="000A5BAB" w:rsidRDefault="00335140">
      <w:pPr>
        <w:adjustRightInd w:val="0"/>
        <w:snapToGrid w:val="0"/>
        <w:spacing w:line="520" w:lineRule="exact"/>
        <w:ind w:firstLineChars="200" w:firstLine="640"/>
        <w:jc w:val="left"/>
        <w:rPr>
          <w:rFonts w:eastAsia="仿宋_GB2312"/>
          <w:szCs w:val="32"/>
        </w:rPr>
      </w:pPr>
      <w:r>
        <w:rPr>
          <w:rFonts w:eastAsia="仿宋_GB2312"/>
          <w:szCs w:val="32"/>
        </w:rPr>
        <w:t>描述与使用者和</w:t>
      </w:r>
      <w:r>
        <w:rPr>
          <w:rFonts w:eastAsia="仿宋_GB2312"/>
          <w:szCs w:val="32"/>
        </w:rPr>
        <w:t>/</w:t>
      </w:r>
      <w:r>
        <w:rPr>
          <w:rFonts w:eastAsia="仿宋_GB2312"/>
          <w:szCs w:val="32"/>
        </w:rPr>
        <w:t>或患者直接或间接接触的材料成分。明确产品所有部件组成材料的通用名称</w:t>
      </w:r>
      <w:r>
        <w:rPr>
          <w:rFonts w:eastAsia="仿宋_GB2312"/>
          <w:szCs w:val="32"/>
        </w:rPr>
        <w:t>/</w:t>
      </w:r>
      <w:r>
        <w:rPr>
          <w:rFonts w:eastAsia="仿宋_GB2312"/>
          <w:szCs w:val="32"/>
        </w:rPr>
        <w:t>化学名称、商品名</w:t>
      </w:r>
      <w:r>
        <w:rPr>
          <w:rFonts w:eastAsia="仿宋_GB2312"/>
          <w:szCs w:val="32"/>
        </w:rPr>
        <w:t>/</w:t>
      </w:r>
      <w:r>
        <w:rPr>
          <w:rFonts w:eastAsia="仿宋_GB2312"/>
          <w:szCs w:val="32"/>
        </w:rPr>
        <w:t>牌号、符合的材料标准（如适用）及材料供应商等基本信息，包括制造过程中使用的粘合剂（如适用）、着色剂（如适用）</w:t>
      </w:r>
      <w:r>
        <w:rPr>
          <w:rFonts w:eastAsia="仿宋_GB2312"/>
          <w:szCs w:val="32"/>
        </w:rPr>
        <w:lastRenderedPageBreak/>
        <w:t>等。建议产品组成材料以列表的形式提供，并与产品结构图示中标识的部件名称一一对应。</w:t>
      </w:r>
    </w:p>
    <w:p w:rsidR="000A5BAB" w:rsidRDefault="00335140">
      <w:pPr>
        <w:adjustRightInd w:val="0"/>
        <w:snapToGrid w:val="0"/>
        <w:spacing w:line="520" w:lineRule="exact"/>
        <w:ind w:firstLineChars="200" w:firstLine="640"/>
        <w:jc w:val="left"/>
        <w:outlineLvl w:val="2"/>
        <w:rPr>
          <w:rFonts w:eastAsia="仿宋_GB2312"/>
          <w:szCs w:val="32"/>
        </w:rPr>
      </w:pPr>
      <w:r>
        <w:rPr>
          <w:rFonts w:eastAsia="仿宋_GB2312"/>
          <w:szCs w:val="32"/>
        </w:rPr>
        <w:t>4.</w:t>
      </w:r>
      <w:r>
        <w:rPr>
          <w:rFonts w:eastAsia="仿宋_GB2312"/>
          <w:szCs w:val="32"/>
        </w:rPr>
        <w:t>型号规格</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对于存在多种型号、规格的产品，</w:t>
      </w:r>
      <w:r>
        <w:rPr>
          <w:rFonts w:eastAsia="仿宋_GB2312" w:hint="eastAsia"/>
          <w:szCs w:val="32"/>
        </w:rPr>
        <w:t>建议</w:t>
      </w:r>
      <w:r>
        <w:rPr>
          <w:rFonts w:eastAsia="仿宋_GB2312"/>
          <w:szCs w:val="32"/>
        </w:rPr>
        <w:t>明确各型号、规格的区别。</w:t>
      </w:r>
      <w:r>
        <w:rPr>
          <w:rFonts w:eastAsia="仿宋_GB2312" w:hint="eastAsia"/>
          <w:szCs w:val="32"/>
        </w:rPr>
        <w:t>建议</w:t>
      </w:r>
      <w:r>
        <w:rPr>
          <w:rFonts w:eastAsia="仿宋_GB2312"/>
          <w:szCs w:val="32"/>
        </w:rPr>
        <w:t>采用对比表及带有说明性文字的图片、图表，对于各种型号、规格的结构组成（或配置）、功能、产品特征、性能指标等方面加以描述。</w:t>
      </w:r>
    </w:p>
    <w:p w:rsidR="000A5BAB" w:rsidRDefault="00335140">
      <w:pPr>
        <w:adjustRightInd w:val="0"/>
        <w:snapToGrid w:val="0"/>
        <w:spacing w:line="520" w:lineRule="exact"/>
        <w:ind w:firstLineChars="200" w:firstLine="640"/>
        <w:outlineLvl w:val="2"/>
        <w:rPr>
          <w:rFonts w:eastAsia="仿宋_GB2312"/>
          <w:szCs w:val="32"/>
        </w:rPr>
      </w:pPr>
      <w:r>
        <w:rPr>
          <w:rFonts w:eastAsia="仿宋_GB2312"/>
          <w:szCs w:val="32"/>
        </w:rPr>
        <w:t>5.</w:t>
      </w:r>
      <w:r>
        <w:rPr>
          <w:rFonts w:eastAsia="仿宋_GB2312"/>
          <w:szCs w:val="32"/>
        </w:rPr>
        <w:t>包装说明</w:t>
      </w:r>
    </w:p>
    <w:p w:rsidR="000A5BAB" w:rsidRDefault="00335140">
      <w:pPr>
        <w:adjustRightInd w:val="0"/>
        <w:snapToGrid w:val="0"/>
        <w:spacing w:line="520" w:lineRule="exact"/>
        <w:ind w:firstLineChars="200" w:firstLine="640"/>
        <w:rPr>
          <w:rFonts w:eastAsia="仿宋_GB2312"/>
          <w:szCs w:val="32"/>
        </w:rPr>
      </w:pPr>
      <w:r>
        <w:rPr>
          <w:rFonts w:eastAsia="仿宋_GB2312"/>
          <w:color w:val="000000"/>
          <w:szCs w:val="32"/>
        </w:rPr>
        <w:t>提供产品的包装信息，可包括包装形式、包装材料、包装工艺以及无菌屏障系统等信息。</w:t>
      </w:r>
    </w:p>
    <w:p w:rsidR="000A5BAB" w:rsidRDefault="00335140">
      <w:pPr>
        <w:adjustRightInd w:val="0"/>
        <w:snapToGrid w:val="0"/>
        <w:spacing w:line="520" w:lineRule="exact"/>
        <w:ind w:firstLineChars="200" w:firstLine="640"/>
        <w:outlineLvl w:val="2"/>
        <w:rPr>
          <w:rFonts w:eastAsia="仿宋_GB2312"/>
          <w:szCs w:val="32"/>
        </w:rPr>
      </w:pPr>
      <w:r>
        <w:rPr>
          <w:rFonts w:eastAsia="仿宋_GB2312"/>
          <w:szCs w:val="32"/>
        </w:rPr>
        <w:t>6.</w:t>
      </w:r>
      <w:r>
        <w:rPr>
          <w:rFonts w:eastAsia="仿宋_GB2312"/>
          <w:szCs w:val="32"/>
        </w:rPr>
        <w:t>研发历程</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阐述申请注册产品的研发背景和目的。如有参考的同类产品或前代产品，应当提供同类产品或前代产品的信息，并说明选择其作为研发参考的原因。</w:t>
      </w:r>
    </w:p>
    <w:p w:rsidR="000A5BAB" w:rsidRDefault="00335140">
      <w:pPr>
        <w:adjustRightInd w:val="0"/>
        <w:snapToGrid w:val="0"/>
        <w:spacing w:line="520" w:lineRule="exact"/>
        <w:ind w:firstLineChars="200" w:firstLine="640"/>
        <w:rPr>
          <w:rFonts w:eastAsia="仿宋_GB2312"/>
          <w:szCs w:val="32"/>
        </w:rPr>
      </w:pPr>
      <w:r>
        <w:rPr>
          <w:rFonts w:eastAsia="仿宋_GB2312" w:hint="eastAsia"/>
          <w:szCs w:val="32"/>
        </w:rPr>
        <w:t>明确产品设计开发立题依据，</w:t>
      </w:r>
      <w:r>
        <w:rPr>
          <w:rFonts w:eastAsia="仿宋_GB2312"/>
          <w:szCs w:val="32"/>
        </w:rPr>
        <w:t>根据产品实际情况</w:t>
      </w:r>
      <w:r>
        <w:rPr>
          <w:rFonts w:eastAsia="仿宋_GB2312" w:hint="eastAsia"/>
          <w:szCs w:val="32"/>
        </w:rPr>
        <w:t>如产品特性论述产品临床使用的必需性。如通过市场调研、临床文献资料等论述注册产品较传统的断脐方法的优势。</w:t>
      </w:r>
    </w:p>
    <w:p w:rsidR="000A5BAB" w:rsidRDefault="00335140">
      <w:pPr>
        <w:adjustRightInd w:val="0"/>
        <w:snapToGrid w:val="0"/>
        <w:spacing w:line="520" w:lineRule="exact"/>
        <w:ind w:firstLineChars="200" w:firstLine="640"/>
        <w:outlineLvl w:val="2"/>
        <w:rPr>
          <w:rFonts w:eastAsia="仿宋_GB2312"/>
          <w:szCs w:val="32"/>
        </w:rPr>
      </w:pPr>
      <w:r>
        <w:rPr>
          <w:rFonts w:eastAsia="仿宋_GB2312"/>
          <w:szCs w:val="32"/>
        </w:rPr>
        <w:t>7.</w:t>
      </w:r>
      <w:r>
        <w:rPr>
          <w:rFonts w:eastAsia="仿宋_GB2312"/>
          <w:szCs w:val="32"/>
        </w:rPr>
        <w:t>与同类和</w:t>
      </w:r>
      <w:r>
        <w:rPr>
          <w:rFonts w:eastAsia="仿宋_GB2312"/>
          <w:szCs w:val="32"/>
        </w:rPr>
        <w:t>/</w:t>
      </w:r>
      <w:r>
        <w:rPr>
          <w:rFonts w:eastAsia="仿宋_GB2312"/>
          <w:szCs w:val="32"/>
        </w:rPr>
        <w:t>或前代产品的参考和比较</w:t>
      </w:r>
    </w:p>
    <w:p w:rsidR="000A5BAB" w:rsidRDefault="00335140">
      <w:pPr>
        <w:spacing w:line="520" w:lineRule="exact"/>
        <w:ind w:firstLineChars="200" w:firstLine="640"/>
        <w:jc w:val="left"/>
        <w:rPr>
          <w:rFonts w:eastAsia="仿宋_GB2312"/>
          <w:color w:val="000000"/>
          <w:szCs w:val="32"/>
        </w:rPr>
      </w:pPr>
      <w:r>
        <w:rPr>
          <w:rFonts w:eastAsia="仿宋_GB2312"/>
          <w:szCs w:val="32"/>
        </w:rPr>
        <w:t>列表比较说明申报产品与同类和</w:t>
      </w:r>
      <w:r>
        <w:rPr>
          <w:rFonts w:eastAsia="仿宋_GB2312"/>
          <w:szCs w:val="32"/>
        </w:rPr>
        <w:t>/</w:t>
      </w:r>
      <w:r>
        <w:rPr>
          <w:rFonts w:eastAsia="仿宋_GB2312"/>
          <w:szCs w:val="32"/>
        </w:rPr>
        <w:t>或前代产品工作原理、结构组成、制造材料、性能指标、作用方式，以及适用范围等异同。</w:t>
      </w:r>
    </w:p>
    <w:p w:rsidR="000A5BAB" w:rsidRDefault="00335140">
      <w:pPr>
        <w:adjustRightInd w:val="0"/>
        <w:snapToGrid w:val="0"/>
        <w:spacing w:line="520" w:lineRule="exact"/>
        <w:ind w:firstLineChars="200" w:firstLine="640"/>
        <w:outlineLvl w:val="2"/>
        <w:rPr>
          <w:rFonts w:eastAsia="仿宋_GB2312"/>
          <w:szCs w:val="32"/>
        </w:rPr>
      </w:pPr>
      <w:r>
        <w:rPr>
          <w:rFonts w:eastAsia="仿宋_GB2312"/>
          <w:szCs w:val="32"/>
        </w:rPr>
        <w:t>8.</w:t>
      </w:r>
      <w:r>
        <w:rPr>
          <w:rFonts w:eastAsia="仿宋_GB2312"/>
          <w:szCs w:val="32"/>
        </w:rPr>
        <w:t>适用范围、禁忌证</w:t>
      </w:r>
    </w:p>
    <w:p w:rsidR="000A5BAB" w:rsidRDefault="00335140">
      <w:pPr>
        <w:adjustRightInd w:val="0"/>
        <w:snapToGrid w:val="0"/>
        <w:spacing w:line="520" w:lineRule="exact"/>
        <w:ind w:firstLineChars="200" w:firstLine="640"/>
        <w:rPr>
          <w:rFonts w:eastAsia="仿宋_GB2312"/>
          <w:szCs w:val="32"/>
        </w:rPr>
      </w:pPr>
      <w:r>
        <w:rPr>
          <w:rFonts w:eastAsia="仿宋_GB2312" w:hint="eastAsia"/>
          <w:szCs w:val="32"/>
        </w:rPr>
        <w:t>8.1</w:t>
      </w:r>
      <w:r>
        <w:rPr>
          <w:rFonts w:eastAsia="仿宋_GB2312"/>
          <w:szCs w:val="32"/>
        </w:rPr>
        <w:t>适用范围：供切断并封闭新生儿脐带残端用。</w:t>
      </w:r>
    </w:p>
    <w:p w:rsidR="000A5BAB" w:rsidRDefault="00335140">
      <w:pPr>
        <w:spacing w:line="520" w:lineRule="exact"/>
        <w:ind w:firstLineChars="200" w:firstLine="640"/>
        <w:rPr>
          <w:rFonts w:eastAsia="仿宋_GB2312"/>
          <w:szCs w:val="32"/>
        </w:rPr>
      </w:pPr>
      <w:r>
        <w:rPr>
          <w:rFonts w:eastAsia="仿宋_GB2312" w:hint="eastAsia"/>
          <w:szCs w:val="32"/>
        </w:rPr>
        <w:t>8.2</w:t>
      </w:r>
      <w:r>
        <w:rPr>
          <w:rFonts w:eastAsia="仿宋_GB2312" w:hint="eastAsia"/>
          <w:szCs w:val="32"/>
        </w:rPr>
        <w:t>预期使用环境：</w:t>
      </w:r>
      <w:r>
        <w:rPr>
          <w:rFonts w:eastAsia="仿宋_GB2312" w:hint="eastAsia"/>
          <w:color w:val="000000"/>
          <w:spacing w:val="-1"/>
          <w:szCs w:val="32"/>
        </w:rPr>
        <w:t>预期使用环境为医疗机构。</w:t>
      </w:r>
    </w:p>
    <w:p w:rsidR="000A5BAB" w:rsidRDefault="00335140">
      <w:pPr>
        <w:adjustRightInd w:val="0"/>
        <w:snapToGrid w:val="0"/>
        <w:spacing w:line="520" w:lineRule="exact"/>
        <w:ind w:firstLineChars="200" w:firstLine="640"/>
        <w:rPr>
          <w:rFonts w:eastAsia="仿宋_GB2312"/>
          <w:szCs w:val="32"/>
        </w:rPr>
      </w:pPr>
      <w:r>
        <w:rPr>
          <w:rFonts w:eastAsia="仿宋_GB2312" w:hint="eastAsia"/>
          <w:szCs w:val="32"/>
        </w:rPr>
        <w:t>8.3</w:t>
      </w:r>
      <w:r>
        <w:rPr>
          <w:rFonts w:eastAsia="仿宋_GB2312" w:hint="eastAsia"/>
          <w:szCs w:val="32"/>
        </w:rPr>
        <w:t>禁忌证：脐带水肿者慎用，材料过敏者慎用等</w:t>
      </w:r>
      <w:r>
        <w:rPr>
          <w:rFonts w:eastAsia="仿宋_GB2312"/>
          <w:szCs w:val="32"/>
        </w:rPr>
        <w:t>。</w:t>
      </w:r>
    </w:p>
    <w:p w:rsidR="000A5BAB" w:rsidRDefault="00335140">
      <w:pPr>
        <w:adjustRightInd w:val="0"/>
        <w:snapToGrid w:val="0"/>
        <w:spacing w:line="520" w:lineRule="exact"/>
        <w:ind w:firstLineChars="200" w:firstLine="640"/>
        <w:outlineLvl w:val="2"/>
        <w:rPr>
          <w:rFonts w:eastAsia="仿宋_GB2312"/>
          <w:szCs w:val="32"/>
        </w:rPr>
      </w:pPr>
      <w:r>
        <w:rPr>
          <w:rFonts w:eastAsia="仿宋_GB2312"/>
          <w:szCs w:val="32"/>
        </w:rPr>
        <w:t>9.</w:t>
      </w:r>
      <w:r>
        <w:rPr>
          <w:rFonts w:eastAsia="仿宋_GB2312"/>
          <w:szCs w:val="32"/>
        </w:rPr>
        <w:t>不良事件历史记录</w:t>
      </w:r>
    </w:p>
    <w:p w:rsidR="000A5BAB" w:rsidRDefault="00335140">
      <w:pPr>
        <w:spacing w:line="520" w:lineRule="exact"/>
        <w:ind w:firstLineChars="200" w:firstLine="640"/>
        <w:jc w:val="left"/>
        <w:rPr>
          <w:rFonts w:eastAsia="仿宋_GB2312"/>
          <w:color w:val="FF0000"/>
          <w:szCs w:val="32"/>
        </w:rPr>
      </w:pPr>
      <w:r>
        <w:rPr>
          <w:rFonts w:eastAsia="仿宋_GB2312"/>
          <w:szCs w:val="32"/>
        </w:rPr>
        <w:lastRenderedPageBreak/>
        <w:t>申请人应跟踪整理</w:t>
      </w:r>
      <w:r>
        <w:rPr>
          <w:rFonts w:eastAsia="仿宋_GB2312" w:hint="eastAsia"/>
          <w:szCs w:val="32"/>
        </w:rPr>
        <w:t>已上市同类</w:t>
      </w:r>
      <w:r>
        <w:rPr>
          <w:rFonts w:eastAsia="仿宋_GB2312"/>
          <w:szCs w:val="32"/>
        </w:rPr>
        <w:t>产品的不良事件、召回、警戒等相关信息，并将其作为风险管理的输入资料，进行风险评估和控制。</w:t>
      </w:r>
      <w:r>
        <w:rPr>
          <w:rFonts w:eastAsia="仿宋_GB2312" w:hint="eastAsia"/>
          <w:szCs w:val="32"/>
        </w:rPr>
        <w:t>常见的不良事件如下：零件缺失、脐带夹脱落、断裂、不能闭合或者闭合不紧、刀片不锋利等，对患者造成的伤害主要是出血。</w:t>
      </w:r>
    </w:p>
    <w:p w:rsidR="000A5BAB" w:rsidRDefault="000A5BAB">
      <w:pPr>
        <w:spacing w:line="520" w:lineRule="exact"/>
        <w:rPr>
          <w:rFonts w:eastAsia="仿宋_GB2312"/>
          <w:color w:val="000000"/>
          <w:szCs w:val="32"/>
        </w:rPr>
      </w:pPr>
    </w:p>
    <w:p w:rsidR="000A5BAB" w:rsidRDefault="00335140">
      <w:pPr>
        <w:spacing w:line="520" w:lineRule="exact"/>
        <w:ind w:firstLineChars="200" w:firstLine="640"/>
        <w:rPr>
          <w:rFonts w:eastAsia="楷体_GB2312"/>
          <w:b/>
          <w:szCs w:val="32"/>
        </w:rPr>
      </w:pPr>
      <w:r>
        <w:rPr>
          <w:rFonts w:eastAsia="楷体_GB2312"/>
          <w:szCs w:val="32"/>
        </w:rPr>
        <w:t>（三）非临床资料</w:t>
      </w:r>
    </w:p>
    <w:p w:rsidR="000A5BAB" w:rsidRDefault="00335140">
      <w:pPr>
        <w:spacing w:line="520" w:lineRule="exact"/>
        <w:ind w:firstLineChars="200" w:firstLine="640"/>
        <w:rPr>
          <w:rFonts w:eastAsia="仿宋_GB2312"/>
          <w:color w:val="000000"/>
          <w:szCs w:val="32"/>
        </w:rPr>
      </w:pPr>
      <w:r>
        <w:rPr>
          <w:rFonts w:eastAsia="仿宋_GB2312"/>
          <w:color w:val="000000"/>
          <w:szCs w:val="32"/>
        </w:rPr>
        <w:t>1.</w:t>
      </w:r>
      <w:r>
        <w:rPr>
          <w:rFonts w:eastAsia="仿宋_GB2312"/>
          <w:color w:val="000000"/>
          <w:szCs w:val="32"/>
        </w:rPr>
        <w:t>产品风险管理资料</w:t>
      </w:r>
    </w:p>
    <w:p w:rsidR="000A5BAB" w:rsidRDefault="00335140">
      <w:pPr>
        <w:spacing w:line="520" w:lineRule="exact"/>
        <w:ind w:firstLineChars="200" w:firstLine="640"/>
        <w:rPr>
          <w:rFonts w:eastAsia="仿宋_GB2312"/>
          <w:color w:val="000000"/>
          <w:szCs w:val="32"/>
        </w:rPr>
      </w:pPr>
      <w:r>
        <w:rPr>
          <w:rFonts w:eastAsia="仿宋_GB2312"/>
          <w:color w:val="000000"/>
          <w:szCs w:val="32"/>
        </w:rPr>
        <w:t>注册申请人需对产品全生命周期实施风险管理，提交风险管理资料</w:t>
      </w:r>
      <w:r>
        <w:rPr>
          <w:rFonts w:eastAsia="仿宋_GB2312" w:hint="eastAsia"/>
          <w:color w:val="000000"/>
          <w:szCs w:val="32"/>
        </w:rPr>
        <w:t>，</w:t>
      </w:r>
      <w:r>
        <w:rPr>
          <w:rFonts w:eastAsia="仿宋_GB2312"/>
          <w:color w:val="000000"/>
          <w:szCs w:val="32"/>
        </w:rPr>
        <w:t>参照</w:t>
      </w:r>
      <w:r>
        <w:rPr>
          <w:rFonts w:eastAsia="仿宋_GB2312"/>
          <w:color w:val="000000"/>
          <w:szCs w:val="32"/>
        </w:rPr>
        <w:t>GB/T 42062</w:t>
      </w:r>
      <w:r>
        <w:rPr>
          <w:rFonts w:eastAsia="仿宋_GB2312"/>
          <w:color w:val="000000"/>
          <w:szCs w:val="32"/>
        </w:rPr>
        <w:t>《医疗器械风险管理对医疗器械的应用》。注册申请人在产品注册上市前，需对风险管理过程进行评审。</w:t>
      </w:r>
    </w:p>
    <w:p w:rsidR="000A5BAB" w:rsidRDefault="00335140">
      <w:pPr>
        <w:spacing w:line="520" w:lineRule="exact"/>
        <w:ind w:firstLineChars="200" w:firstLine="640"/>
        <w:rPr>
          <w:rFonts w:eastAsia="仿宋_GB2312"/>
          <w:b/>
          <w:bCs/>
          <w:szCs w:val="28"/>
        </w:rPr>
      </w:pPr>
      <w:r>
        <w:rPr>
          <w:rFonts w:eastAsia="仿宋_GB2312"/>
          <w:szCs w:val="28"/>
        </w:rPr>
        <w:t>审查要点包括：</w:t>
      </w:r>
    </w:p>
    <w:p w:rsidR="000A5BAB" w:rsidRDefault="00335140">
      <w:pPr>
        <w:spacing w:line="520" w:lineRule="exact"/>
        <w:ind w:firstLineChars="200" w:firstLine="640"/>
        <w:rPr>
          <w:rFonts w:eastAsia="仿宋_GB2312"/>
          <w:szCs w:val="32"/>
        </w:rPr>
      </w:pPr>
      <w:r>
        <w:rPr>
          <w:rFonts w:eastAsia="仿宋_GB2312"/>
          <w:szCs w:val="32"/>
        </w:rPr>
        <w:t>1.1</w:t>
      </w:r>
      <w:r>
        <w:rPr>
          <w:rFonts w:eastAsia="仿宋_GB2312"/>
          <w:szCs w:val="32"/>
        </w:rPr>
        <w:t>是否确定了风险管理的范围、规定和人员职责分工。</w:t>
      </w:r>
    </w:p>
    <w:p w:rsidR="000A5BAB" w:rsidRDefault="00335140">
      <w:pPr>
        <w:spacing w:line="520" w:lineRule="exact"/>
        <w:ind w:firstLineChars="200" w:firstLine="640"/>
        <w:rPr>
          <w:rFonts w:eastAsia="仿宋_GB2312"/>
          <w:szCs w:val="32"/>
        </w:rPr>
      </w:pPr>
      <w:r>
        <w:rPr>
          <w:rFonts w:eastAsia="仿宋_GB2312"/>
          <w:szCs w:val="32"/>
        </w:rPr>
        <w:t>1.2</w:t>
      </w:r>
      <w:r>
        <w:rPr>
          <w:rFonts w:eastAsia="仿宋_GB2312"/>
          <w:szCs w:val="32"/>
        </w:rPr>
        <w:t>产品风险定性定量分析是否准确。</w:t>
      </w:r>
    </w:p>
    <w:p w:rsidR="000A5BAB" w:rsidRDefault="00335140">
      <w:pPr>
        <w:spacing w:line="520" w:lineRule="exact"/>
        <w:ind w:firstLineChars="200" w:firstLine="640"/>
        <w:rPr>
          <w:rFonts w:eastAsia="仿宋_GB2312"/>
          <w:szCs w:val="32"/>
        </w:rPr>
      </w:pPr>
      <w:r>
        <w:rPr>
          <w:rFonts w:eastAsia="仿宋_GB2312"/>
          <w:szCs w:val="32"/>
        </w:rPr>
        <w:t>1.3</w:t>
      </w:r>
      <w:r>
        <w:rPr>
          <w:rFonts w:eastAsia="仿宋_GB2312"/>
          <w:szCs w:val="32"/>
        </w:rPr>
        <w:t>危险分析是否全面。</w:t>
      </w:r>
    </w:p>
    <w:p w:rsidR="000A5BAB" w:rsidRDefault="00335140">
      <w:pPr>
        <w:spacing w:line="520" w:lineRule="exact"/>
        <w:ind w:firstLineChars="200" w:firstLine="640"/>
        <w:rPr>
          <w:rFonts w:eastAsia="仿宋_GB2312"/>
          <w:szCs w:val="32"/>
        </w:rPr>
      </w:pPr>
      <w:r>
        <w:rPr>
          <w:rFonts w:eastAsia="仿宋_GB2312"/>
          <w:szCs w:val="32"/>
        </w:rPr>
        <w:t>1.4</w:t>
      </w:r>
      <w:r>
        <w:rPr>
          <w:rFonts w:eastAsia="仿宋_GB2312"/>
          <w:szCs w:val="32"/>
        </w:rPr>
        <w:t>风险可接受准则，降低风险的措施及采取措施后风险的可接受程度，是否有新的风险产生。</w:t>
      </w:r>
    </w:p>
    <w:p w:rsidR="000A5BAB" w:rsidRDefault="00335140">
      <w:pPr>
        <w:spacing w:line="520" w:lineRule="exact"/>
        <w:ind w:firstLineChars="200" w:firstLine="640"/>
        <w:rPr>
          <w:rFonts w:eastAsia="仿宋_GB2312"/>
          <w:szCs w:val="32"/>
        </w:rPr>
      </w:pPr>
      <w:r>
        <w:rPr>
          <w:rFonts w:eastAsia="仿宋_GB2312"/>
          <w:szCs w:val="32"/>
        </w:rPr>
        <w:t>1.5</w:t>
      </w:r>
      <w:r>
        <w:rPr>
          <w:rFonts w:eastAsia="仿宋_GB2312"/>
          <w:szCs w:val="32"/>
        </w:rPr>
        <w:t>是否确定了风险反馈的规定及信息收集情况。</w:t>
      </w:r>
    </w:p>
    <w:p w:rsidR="000A5BAB" w:rsidRDefault="00335140">
      <w:pPr>
        <w:spacing w:line="520" w:lineRule="exact"/>
        <w:ind w:firstLineChars="200" w:firstLine="640"/>
        <w:rPr>
          <w:rFonts w:eastAsia="仿宋_GB2312"/>
          <w:color w:val="000000"/>
          <w:szCs w:val="32"/>
        </w:rPr>
      </w:pPr>
      <w:r>
        <w:rPr>
          <w:rFonts w:eastAsia="仿宋_GB2312"/>
          <w:szCs w:val="32"/>
        </w:rPr>
        <w:t>产品的主要危险见</w:t>
      </w:r>
      <w:r>
        <w:rPr>
          <w:rFonts w:eastAsia="仿宋_GB2312"/>
          <w:color w:val="000000"/>
          <w:szCs w:val="32"/>
        </w:rPr>
        <w:t>附</w:t>
      </w:r>
      <w:r>
        <w:rPr>
          <w:rFonts w:eastAsia="仿宋_GB2312" w:hint="eastAsia"/>
          <w:color w:val="000000"/>
          <w:szCs w:val="32"/>
        </w:rPr>
        <w:t>件</w:t>
      </w:r>
      <w:r>
        <w:rPr>
          <w:rFonts w:eastAsia="仿宋_GB2312"/>
          <w:szCs w:val="32"/>
        </w:rPr>
        <w:t>，注册申请人还应结合产品自身特点确定其他危险。</w:t>
      </w:r>
    </w:p>
    <w:p w:rsidR="000A5BAB" w:rsidRDefault="00335140">
      <w:pPr>
        <w:spacing w:line="520" w:lineRule="exact"/>
        <w:ind w:firstLineChars="200" w:firstLine="640"/>
        <w:rPr>
          <w:rFonts w:eastAsia="仿宋_GB2312"/>
          <w:color w:val="000000"/>
          <w:szCs w:val="32"/>
        </w:rPr>
      </w:pPr>
      <w:r>
        <w:rPr>
          <w:rFonts w:eastAsia="仿宋_GB2312"/>
          <w:color w:val="000000"/>
          <w:szCs w:val="32"/>
        </w:rPr>
        <w:t>2.</w:t>
      </w:r>
      <w:r>
        <w:rPr>
          <w:rFonts w:eastAsia="仿宋_GB2312"/>
          <w:color w:val="000000"/>
          <w:szCs w:val="32"/>
        </w:rPr>
        <w:t>产品技术要求的主要性能指标</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产品技术要求</w:t>
      </w:r>
      <w:r>
        <w:rPr>
          <w:rFonts w:eastAsia="仿宋_GB2312" w:hint="eastAsia"/>
          <w:szCs w:val="32"/>
        </w:rPr>
        <w:t>建议</w:t>
      </w:r>
      <w:r>
        <w:rPr>
          <w:rFonts w:eastAsia="仿宋_GB2312"/>
          <w:szCs w:val="32"/>
        </w:rPr>
        <w:t>参考</w:t>
      </w:r>
      <w:r>
        <w:rPr>
          <w:rFonts w:eastAsia="仿宋_GB2312"/>
          <w:szCs w:val="32"/>
        </w:rPr>
        <w:t xml:space="preserve"> </w:t>
      </w:r>
      <w:bookmarkStart w:id="1" w:name="_Hlk168048905"/>
      <w:r>
        <w:rPr>
          <w:rFonts w:eastAsia="仿宋_GB2312"/>
          <w:szCs w:val="32"/>
        </w:rPr>
        <w:t xml:space="preserve">YY/T </w:t>
      </w:r>
      <w:r>
        <w:rPr>
          <w:rFonts w:eastAsia="仿宋_GB2312" w:hint="eastAsia"/>
          <w:szCs w:val="32"/>
        </w:rPr>
        <w:t>1470</w:t>
      </w:r>
      <w:r>
        <w:rPr>
          <w:rFonts w:eastAsia="仿宋_GB2312"/>
          <w:szCs w:val="32"/>
        </w:rPr>
        <w:t>《</w:t>
      </w:r>
      <w:r>
        <w:rPr>
          <w:rFonts w:eastAsia="仿宋_GB2312" w:hint="eastAsia"/>
          <w:szCs w:val="32"/>
        </w:rPr>
        <w:t>一次性使用脐带剪（切）断器</w:t>
      </w:r>
      <w:r>
        <w:rPr>
          <w:rFonts w:eastAsia="仿宋_GB2312"/>
          <w:szCs w:val="32"/>
        </w:rPr>
        <w:t>》</w:t>
      </w:r>
      <w:bookmarkEnd w:id="1"/>
      <w:r>
        <w:rPr>
          <w:rFonts w:eastAsia="仿宋_GB2312"/>
          <w:szCs w:val="32"/>
        </w:rPr>
        <w:t>等相关标准，结合产品设计特征及临床应用来制订，同时还需符合《医疗器械产品技术要求编写指导原则》的要求。</w:t>
      </w:r>
      <w:r>
        <w:rPr>
          <w:rFonts w:eastAsia="仿宋_GB2312"/>
          <w:color w:val="000000"/>
          <w:szCs w:val="32"/>
        </w:rPr>
        <w:t>常见的技术指标包括但不限于：</w:t>
      </w:r>
    </w:p>
    <w:p w:rsidR="000A5BAB" w:rsidRDefault="00335140">
      <w:pPr>
        <w:spacing w:line="520" w:lineRule="exact"/>
        <w:ind w:firstLineChars="200" w:firstLine="640"/>
        <w:rPr>
          <w:rFonts w:eastAsia="仿宋_GB2312"/>
          <w:color w:val="000000"/>
          <w:szCs w:val="32"/>
        </w:rPr>
      </w:pPr>
      <w:r>
        <w:rPr>
          <w:rFonts w:eastAsia="仿宋_GB2312"/>
          <w:color w:val="000000"/>
          <w:szCs w:val="32"/>
        </w:rPr>
        <w:lastRenderedPageBreak/>
        <w:t>2.</w:t>
      </w:r>
      <w:r>
        <w:rPr>
          <w:rFonts w:eastAsia="仿宋_GB2312" w:hint="eastAsia"/>
          <w:color w:val="000000"/>
          <w:szCs w:val="32"/>
        </w:rPr>
        <w:t>1</w:t>
      </w:r>
      <w:r>
        <w:rPr>
          <w:rFonts w:eastAsia="仿宋_GB2312" w:hint="eastAsia"/>
          <w:color w:val="000000"/>
          <w:szCs w:val="32"/>
        </w:rPr>
        <w:t>外观。</w:t>
      </w:r>
    </w:p>
    <w:p w:rsidR="000A5BAB" w:rsidRDefault="00335140">
      <w:pPr>
        <w:spacing w:line="520" w:lineRule="exact"/>
        <w:ind w:firstLineChars="200" w:firstLine="640"/>
        <w:rPr>
          <w:rFonts w:eastAsia="仿宋_GB2312"/>
          <w:color w:val="000000"/>
          <w:szCs w:val="32"/>
        </w:rPr>
      </w:pPr>
      <w:r>
        <w:rPr>
          <w:rFonts w:eastAsia="仿宋_GB2312"/>
          <w:color w:val="000000"/>
          <w:szCs w:val="32"/>
        </w:rPr>
        <w:t>2.</w:t>
      </w:r>
      <w:r>
        <w:rPr>
          <w:rFonts w:eastAsia="仿宋_GB2312" w:hint="eastAsia"/>
          <w:color w:val="000000"/>
          <w:szCs w:val="32"/>
        </w:rPr>
        <w:t>2</w:t>
      </w:r>
      <w:r>
        <w:rPr>
          <w:rFonts w:eastAsia="仿宋_GB2312"/>
          <w:color w:val="000000"/>
          <w:szCs w:val="32"/>
        </w:rPr>
        <w:t>尺寸和公差。</w:t>
      </w:r>
    </w:p>
    <w:p w:rsidR="000A5BAB" w:rsidRDefault="00335140">
      <w:pPr>
        <w:spacing w:line="520" w:lineRule="exact"/>
        <w:ind w:firstLineChars="200" w:firstLine="640"/>
        <w:rPr>
          <w:rFonts w:eastAsia="仿宋_GB2312"/>
          <w:color w:val="000000"/>
          <w:szCs w:val="32"/>
          <w:highlight w:val="yellow"/>
        </w:rPr>
      </w:pPr>
      <w:r>
        <w:rPr>
          <w:rFonts w:eastAsia="仿宋_GB2312"/>
          <w:color w:val="000000"/>
          <w:szCs w:val="32"/>
        </w:rPr>
        <w:t>2.3</w:t>
      </w:r>
      <w:r>
        <w:rPr>
          <w:rFonts w:eastAsia="仿宋_GB2312" w:hint="eastAsia"/>
          <w:color w:val="000000"/>
          <w:szCs w:val="32"/>
        </w:rPr>
        <w:t>切割刀片</w:t>
      </w:r>
      <w:r>
        <w:rPr>
          <w:rFonts w:eastAsia="仿宋_GB2312"/>
          <w:color w:val="000000"/>
          <w:szCs w:val="32"/>
        </w:rPr>
        <w:t>的性能，如</w:t>
      </w:r>
      <w:r>
        <w:rPr>
          <w:rFonts w:eastAsia="仿宋_GB2312" w:hint="eastAsia"/>
          <w:color w:val="000000"/>
          <w:szCs w:val="32"/>
        </w:rPr>
        <w:t>表面粗糙度</w:t>
      </w:r>
      <w:r>
        <w:rPr>
          <w:rFonts w:eastAsia="仿宋_GB2312"/>
          <w:color w:val="000000"/>
          <w:szCs w:val="32"/>
        </w:rPr>
        <w:t>，</w:t>
      </w:r>
      <w:r>
        <w:rPr>
          <w:rFonts w:eastAsia="仿宋_GB2312" w:hint="eastAsia"/>
          <w:color w:val="000000"/>
          <w:szCs w:val="32"/>
        </w:rPr>
        <w:t>硬度，耐腐蚀性能，锋利度。</w:t>
      </w:r>
    </w:p>
    <w:p w:rsidR="000A5BAB" w:rsidRDefault="00335140">
      <w:pPr>
        <w:spacing w:line="520" w:lineRule="exact"/>
        <w:ind w:firstLineChars="200" w:firstLine="640"/>
        <w:rPr>
          <w:rFonts w:eastAsia="仿宋_GB2312"/>
          <w:color w:val="000000"/>
          <w:szCs w:val="32"/>
        </w:rPr>
      </w:pPr>
      <w:r>
        <w:rPr>
          <w:rFonts w:eastAsia="仿宋_GB2312"/>
          <w:color w:val="000000"/>
          <w:szCs w:val="32"/>
        </w:rPr>
        <w:t>2.4</w:t>
      </w:r>
      <w:r>
        <w:rPr>
          <w:rFonts w:eastAsia="仿宋_GB2312" w:hint="eastAsia"/>
          <w:color w:val="000000"/>
          <w:szCs w:val="32"/>
        </w:rPr>
        <w:t>使用性能（切断性能、夹持性能、配合性能）</w:t>
      </w:r>
    </w:p>
    <w:p w:rsidR="000A5BAB" w:rsidRDefault="00335140">
      <w:pPr>
        <w:spacing w:line="520" w:lineRule="exact"/>
        <w:ind w:firstLineChars="200" w:firstLine="640"/>
        <w:rPr>
          <w:rFonts w:eastAsia="仿宋_GB2312"/>
          <w:color w:val="000000"/>
          <w:szCs w:val="32"/>
        </w:rPr>
      </w:pPr>
      <w:r>
        <w:rPr>
          <w:rFonts w:eastAsia="仿宋_GB2312"/>
          <w:color w:val="000000"/>
          <w:szCs w:val="32"/>
        </w:rPr>
        <w:t>2.5</w:t>
      </w:r>
      <w:r>
        <w:rPr>
          <w:rFonts w:eastAsia="仿宋_GB2312"/>
          <w:color w:val="000000"/>
          <w:szCs w:val="32"/>
        </w:rPr>
        <w:t>灭菌产品的无菌性能。</w:t>
      </w:r>
    </w:p>
    <w:p w:rsidR="000A5BAB" w:rsidRDefault="00335140">
      <w:pPr>
        <w:spacing w:line="520" w:lineRule="exact"/>
        <w:ind w:firstLineChars="200" w:firstLine="640"/>
        <w:rPr>
          <w:rFonts w:eastAsia="仿宋_GB2312"/>
          <w:color w:val="000000"/>
          <w:szCs w:val="32"/>
        </w:rPr>
      </w:pPr>
      <w:r>
        <w:rPr>
          <w:rFonts w:eastAsia="仿宋_GB2312"/>
          <w:color w:val="000000"/>
          <w:szCs w:val="32"/>
        </w:rPr>
        <w:t>2.6</w:t>
      </w:r>
      <w:r>
        <w:rPr>
          <w:rFonts w:eastAsia="仿宋_GB2312"/>
          <w:color w:val="000000"/>
          <w:szCs w:val="32"/>
        </w:rPr>
        <w:t>若灭菌使用的方法涉及出现残留，需对允许的残留量进行规定，如采用环氧乙烷灭菌的产品的环氧乙烷残留量的要求。</w:t>
      </w:r>
    </w:p>
    <w:p w:rsidR="000A5BAB" w:rsidRDefault="00335140">
      <w:pPr>
        <w:spacing w:line="520" w:lineRule="exact"/>
        <w:ind w:firstLineChars="200" w:firstLine="640"/>
        <w:rPr>
          <w:rFonts w:eastAsia="仿宋_GB2312"/>
          <w:color w:val="000000"/>
          <w:szCs w:val="32"/>
        </w:rPr>
      </w:pPr>
      <w:r>
        <w:rPr>
          <w:rFonts w:eastAsia="仿宋_GB2312" w:hint="eastAsia"/>
          <w:color w:val="000000"/>
          <w:szCs w:val="32"/>
        </w:rPr>
        <w:t xml:space="preserve">2.7 </w:t>
      </w:r>
      <w:r>
        <w:rPr>
          <w:rFonts w:eastAsia="仿宋_GB2312"/>
          <w:color w:val="000000"/>
          <w:szCs w:val="32"/>
        </w:rPr>
        <w:t>由申请人根据不同材料特性决定是否对</w:t>
      </w:r>
      <w:r>
        <w:rPr>
          <w:rFonts w:eastAsia="仿宋_GB2312" w:hint="eastAsia"/>
          <w:color w:val="000000"/>
          <w:szCs w:val="32"/>
        </w:rPr>
        <w:t>脐带夹</w:t>
      </w:r>
      <w:r>
        <w:rPr>
          <w:rFonts w:eastAsia="仿宋_GB2312"/>
          <w:color w:val="000000"/>
          <w:szCs w:val="32"/>
        </w:rPr>
        <w:t>的化学性能（</w:t>
      </w:r>
      <w:r>
        <w:rPr>
          <w:rFonts w:eastAsia="仿宋_GB2312"/>
          <w:szCs w:val="32"/>
        </w:rPr>
        <w:t>重金属、酸碱度</w:t>
      </w:r>
      <w:r>
        <w:rPr>
          <w:rFonts w:eastAsia="仿宋_GB2312"/>
          <w:color w:val="000000"/>
          <w:szCs w:val="32"/>
        </w:rPr>
        <w:t>等）提出要求。</w:t>
      </w:r>
    </w:p>
    <w:p w:rsidR="000A5BAB" w:rsidRDefault="00335140">
      <w:pPr>
        <w:spacing w:line="520" w:lineRule="exact"/>
        <w:ind w:firstLineChars="200" w:firstLine="640"/>
        <w:rPr>
          <w:rFonts w:eastAsia="仿宋_GB2312"/>
          <w:color w:val="000000"/>
          <w:szCs w:val="32"/>
        </w:rPr>
      </w:pPr>
      <w:r>
        <w:rPr>
          <w:rFonts w:eastAsia="仿宋_GB2312" w:hint="eastAsia"/>
          <w:color w:val="000000"/>
          <w:szCs w:val="32"/>
        </w:rPr>
        <w:t xml:space="preserve">2.8 </w:t>
      </w:r>
      <w:r>
        <w:rPr>
          <w:rFonts w:eastAsia="仿宋_GB2312" w:hint="eastAsia"/>
          <w:color w:val="000000"/>
          <w:szCs w:val="32"/>
        </w:rPr>
        <w:t>如产品含有其他配件，应制定配件的相关性能。</w:t>
      </w:r>
    </w:p>
    <w:p w:rsidR="000A5BAB" w:rsidRDefault="00335140">
      <w:pPr>
        <w:spacing w:line="520" w:lineRule="exact"/>
        <w:ind w:firstLineChars="200" w:firstLine="640"/>
        <w:rPr>
          <w:rFonts w:eastAsia="仿宋_GB2312"/>
          <w:color w:val="000000"/>
          <w:szCs w:val="32"/>
        </w:rPr>
      </w:pPr>
      <w:r>
        <w:rPr>
          <w:rFonts w:eastAsia="仿宋_GB2312" w:hint="eastAsia"/>
          <w:color w:val="000000"/>
          <w:szCs w:val="32"/>
        </w:rPr>
        <w:t>3</w:t>
      </w:r>
      <w:r>
        <w:rPr>
          <w:rFonts w:eastAsia="仿宋_GB2312"/>
          <w:color w:val="000000"/>
          <w:szCs w:val="32"/>
        </w:rPr>
        <w:t>.</w:t>
      </w:r>
      <w:r>
        <w:rPr>
          <w:rFonts w:eastAsia="仿宋_GB2312"/>
          <w:color w:val="000000"/>
          <w:szCs w:val="32"/>
        </w:rPr>
        <w:t>检验</w:t>
      </w:r>
      <w:r>
        <w:rPr>
          <w:rFonts w:eastAsia="仿宋_GB2312" w:hint="eastAsia"/>
          <w:color w:val="000000"/>
          <w:szCs w:val="32"/>
        </w:rPr>
        <w:t>报告</w:t>
      </w:r>
    </w:p>
    <w:p w:rsidR="000A5BAB" w:rsidRDefault="00335140">
      <w:pPr>
        <w:pStyle w:val="1"/>
        <w:spacing w:line="520" w:lineRule="exact"/>
        <w:ind w:firstLine="640"/>
        <w:rPr>
          <w:color w:val="000000"/>
        </w:rPr>
      </w:pPr>
      <w:r>
        <w:rPr>
          <w:rFonts w:hint="eastAsia"/>
          <w:color w:val="000000"/>
        </w:rPr>
        <w:t>注册申请人应提供具有申报产品承检资质的医疗器械检验机构出具的注册检验报告，或是注册申请人的自检报告。注册申请人应提供典型性检验样品的选择说明，典型性产品的确定可以通过比较同一注册单元内所有产品的技术结构、性能指标和预期用途等相应资料，说明其能够代表本注册单元内其他产品的安全性和有效性。原则上应选取结构最复杂、功能最齐全、风险最高的型号规格作为典型性产品。若一个型号规格不能覆盖所有产品，除选择典型性产品进行全性能检验外，还需选择其他型号规格产品进行未覆盖项目的检验。</w:t>
      </w:r>
    </w:p>
    <w:p w:rsidR="000A5BAB" w:rsidRDefault="00335140">
      <w:pPr>
        <w:spacing w:line="520" w:lineRule="exact"/>
        <w:ind w:firstLineChars="200" w:firstLine="640"/>
      </w:pPr>
      <w:r>
        <w:rPr>
          <w:rFonts w:eastAsia="仿宋_GB2312" w:hint="eastAsia"/>
          <w:color w:val="000000"/>
          <w:szCs w:val="32"/>
        </w:rPr>
        <w:t>如选取推切式脐带剪夹器为典</w:t>
      </w:r>
      <w:r>
        <w:rPr>
          <w:rFonts w:hint="eastAsia"/>
        </w:rPr>
        <w:t>型型号，剪切式应差异化检测。</w:t>
      </w:r>
    </w:p>
    <w:p w:rsidR="000A5BAB" w:rsidRDefault="00335140">
      <w:pPr>
        <w:spacing w:line="520" w:lineRule="exact"/>
        <w:ind w:firstLineChars="200" w:firstLine="640"/>
        <w:rPr>
          <w:rFonts w:eastAsia="仿宋_GB2312"/>
          <w:color w:val="000000"/>
          <w:szCs w:val="32"/>
        </w:rPr>
      </w:pPr>
      <w:r>
        <w:rPr>
          <w:rFonts w:eastAsia="仿宋_GB2312"/>
          <w:color w:val="000000"/>
          <w:szCs w:val="32"/>
        </w:rPr>
        <w:t>4.</w:t>
      </w:r>
      <w:r>
        <w:rPr>
          <w:rFonts w:eastAsia="仿宋_GB2312"/>
          <w:color w:val="000000"/>
          <w:szCs w:val="32"/>
        </w:rPr>
        <w:t>研究资料</w:t>
      </w:r>
    </w:p>
    <w:p w:rsidR="000A5BAB" w:rsidRDefault="00335140">
      <w:pPr>
        <w:spacing w:line="520" w:lineRule="exact"/>
        <w:ind w:firstLineChars="200" w:firstLine="640"/>
        <w:jc w:val="left"/>
        <w:rPr>
          <w:rFonts w:eastAsia="仿宋_GB2312"/>
          <w:color w:val="000000"/>
          <w:szCs w:val="32"/>
        </w:rPr>
      </w:pPr>
      <w:r>
        <w:rPr>
          <w:rFonts w:eastAsia="仿宋_GB2312"/>
          <w:color w:val="000000"/>
          <w:szCs w:val="32"/>
        </w:rPr>
        <w:t>4.1</w:t>
      </w:r>
      <w:r>
        <w:rPr>
          <w:rFonts w:eastAsia="仿宋_GB2312"/>
          <w:szCs w:val="32"/>
        </w:rPr>
        <w:t>产品性能研究</w:t>
      </w:r>
    </w:p>
    <w:p w:rsidR="000A5BAB" w:rsidRDefault="00335140">
      <w:pPr>
        <w:spacing w:line="520" w:lineRule="exact"/>
        <w:ind w:left="2" w:firstLineChars="200" w:firstLine="656"/>
        <w:rPr>
          <w:rFonts w:eastAsia="仿宋_GB2312"/>
          <w:szCs w:val="32"/>
        </w:rPr>
      </w:pPr>
      <w:r>
        <w:rPr>
          <w:rFonts w:eastAsia="仿宋_GB2312"/>
          <w:spacing w:val="4"/>
          <w:szCs w:val="32"/>
        </w:rPr>
        <w:t>注册申请人应根据产品的技术特征和临床使用情况来确定产品安全有效的性能指标和检验方法。</w:t>
      </w:r>
      <w:r>
        <w:rPr>
          <w:rFonts w:eastAsia="仿宋_GB2312"/>
          <w:color w:val="000000"/>
          <w:szCs w:val="32"/>
        </w:rPr>
        <w:t>对注册申请人宣称的产品的所有技术参数和功能，应在产品技术要求中予以规定。技术指标应不低于相关的国家标准或行业标准，产品技术要求中的试验方法均应为已验证的方法。</w:t>
      </w:r>
      <w:r>
        <w:rPr>
          <w:rFonts w:eastAsia="仿宋_GB2312" w:hint="eastAsia"/>
          <w:color w:val="000000"/>
          <w:szCs w:val="32"/>
        </w:rPr>
        <w:t>一次性使用无菌脐带剪</w:t>
      </w:r>
      <w:r>
        <w:rPr>
          <w:rFonts w:eastAsia="仿宋_GB2312"/>
          <w:szCs w:val="32"/>
        </w:rPr>
        <w:t>的性能指标及试验方法应参考引用</w:t>
      </w:r>
      <w:r>
        <w:rPr>
          <w:rFonts w:eastAsia="仿宋_GB2312"/>
          <w:szCs w:val="32"/>
        </w:rPr>
        <w:t xml:space="preserve">YY/T </w:t>
      </w:r>
      <w:r>
        <w:rPr>
          <w:rFonts w:eastAsia="仿宋_GB2312" w:hint="eastAsia"/>
          <w:szCs w:val="32"/>
        </w:rPr>
        <w:t>1470</w:t>
      </w:r>
      <w:r>
        <w:rPr>
          <w:rFonts w:eastAsia="仿宋_GB2312"/>
          <w:szCs w:val="32"/>
        </w:rPr>
        <w:t>《</w:t>
      </w:r>
      <w:r>
        <w:rPr>
          <w:rFonts w:eastAsia="仿宋_GB2312" w:hint="eastAsia"/>
          <w:szCs w:val="32"/>
        </w:rPr>
        <w:t>一次性使用脐带剪（切）断器</w:t>
      </w:r>
      <w:r>
        <w:rPr>
          <w:rFonts w:eastAsia="仿宋_GB2312"/>
          <w:szCs w:val="32"/>
        </w:rPr>
        <w:t>》</w:t>
      </w:r>
      <w:r>
        <w:rPr>
          <w:rFonts w:eastAsia="仿宋_GB2312" w:hint="eastAsia"/>
          <w:szCs w:val="32"/>
        </w:rPr>
        <w:t>，</w:t>
      </w:r>
      <w:r>
        <w:rPr>
          <w:rFonts w:eastAsia="仿宋_GB2312"/>
          <w:szCs w:val="32"/>
        </w:rPr>
        <w:t>如有不适用条款（包括国家标准、行业标准要求），注册申请人应在申报资料中说明理由。若未采用</w:t>
      </w:r>
      <w:r>
        <w:rPr>
          <w:rFonts w:eastAsia="仿宋_GB2312"/>
          <w:szCs w:val="32"/>
        </w:rPr>
        <w:t xml:space="preserve">YY/T </w:t>
      </w:r>
      <w:r>
        <w:rPr>
          <w:rFonts w:eastAsia="仿宋_GB2312" w:hint="eastAsia"/>
          <w:szCs w:val="32"/>
        </w:rPr>
        <w:t>1470</w:t>
      </w:r>
      <w:r>
        <w:rPr>
          <w:rFonts w:eastAsia="仿宋_GB2312"/>
          <w:szCs w:val="32"/>
        </w:rPr>
        <w:t>中给出的试验方法，应提供所使用的试验方法的来源依据或方法学验证资料。</w:t>
      </w:r>
    </w:p>
    <w:p w:rsidR="000A5BAB" w:rsidRDefault="00335140">
      <w:pPr>
        <w:adjustRightInd w:val="0"/>
        <w:snapToGrid w:val="0"/>
        <w:spacing w:line="520" w:lineRule="exact"/>
        <w:ind w:firstLineChars="200" w:firstLine="640"/>
        <w:outlineLvl w:val="3"/>
        <w:rPr>
          <w:rFonts w:eastAsia="仿宋_GB2312"/>
          <w:szCs w:val="32"/>
        </w:rPr>
      </w:pPr>
      <w:r>
        <w:rPr>
          <w:rFonts w:eastAsia="仿宋_GB2312"/>
          <w:color w:val="000000"/>
          <w:szCs w:val="32"/>
        </w:rPr>
        <w:t>4.</w:t>
      </w:r>
      <w:r>
        <w:rPr>
          <w:rFonts w:eastAsia="仿宋_GB2312" w:hint="eastAsia"/>
          <w:color w:val="000000"/>
          <w:szCs w:val="32"/>
        </w:rPr>
        <w:t>2</w:t>
      </w:r>
      <w:r>
        <w:rPr>
          <w:rFonts w:eastAsia="仿宋_GB2312"/>
          <w:szCs w:val="32"/>
        </w:rPr>
        <w:t>可用性研究</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医疗器械可用性工程是医疗器械设计开发的重要组成部分，注册申请人需在质量管理体系设计开发过程的框架下，参考指导原则相应内容或可用性相关标准，建立充分、适宜、有效的可用性工程过程。</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基于医疗器械使用风险级别区分监管要求：中、低使用风险医疗器械可基于风险管理过程开展可用性工程生命周期质控工作，提交使用错误评估报告。</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使用错误评估报告用于细化风险管理报告关于可用性的内容，包括基本信息、使用风险级别、核心要素、同类医疗器械上市后使用问题分析、使用风险管理、结论等内容。</w:t>
      </w:r>
    </w:p>
    <w:p w:rsidR="000A5BAB" w:rsidRDefault="00335140">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3</w:t>
      </w:r>
      <w:r>
        <w:rPr>
          <w:rFonts w:eastAsia="仿宋_GB2312"/>
          <w:color w:val="000000"/>
          <w:szCs w:val="32"/>
        </w:rPr>
        <w:t>生物学特性研究</w:t>
      </w:r>
    </w:p>
    <w:p w:rsidR="000A5BAB" w:rsidRDefault="00335140">
      <w:pPr>
        <w:spacing w:line="520" w:lineRule="exact"/>
        <w:ind w:firstLineChars="200" w:firstLine="640"/>
        <w:rPr>
          <w:rFonts w:ascii="仿宋_GB2312" w:eastAsia="仿宋_GB2312" w:cs="仿宋_GB2312"/>
          <w:szCs w:val="32"/>
          <w:lang w:val="zh-CN"/>
        </w:rPr>
      </w:pPr>
      <w:r>
        <w:rPr>
          <w:rFonts w:ascii="仿宋_GB2312" w:eastAsia="仿宋_GB2312" w:cs="仿宋_GB2312" w:hint="eastAsia"/>
          <w:szCs w:val="32"/>
          <w:lang w:val="zh-CN"/>
        </w:rPr>
        <w:t>应参照</w:t>
      </w:r>
      <w:r>
        <w:rPr>
          <w:rFonts w:eastAsia="仿宋_GB2312"/>
          <w:szCs w:val="32"/>
        </w:rPr>
        <w:t>GB/T 16886.1</w:t>
      </w:r>
      <w:r>
        <w:rPr>
          <w:rFonts w:ascii="仿宋_GB2312" w:eastAsia="仿宋_GB2312" w:cs="仿宋_GB2312" w:hint="eastAsia"/>
          <w:szCs w:val="32"/>
          <w:lang w:val="zh-CN"/>
        </w:rPr>
        <w:t>《医疗器械生物学评价</w:t>
      </w:r>
      <w:r>
        <w:rPr>
          <w:rFonts w:eastAsia="仿宋_GB2312"/>
          <w:szCs w:val="32"/>
        </w:rPr>
        <w:t xml:space="preserve"> </w:t>
      </w:r>
      <w:r>
        <w:rPr>
          <w:rFonts w:ascii="仿宋_GB2312" w:eastAsia="仿宋_GB2312" w:cs="仿宋_GB2312" w:hint="eastAsia"/>
          <w:szCs w:val="32"/>
          <w:lang w:val="zh-CN"/>
        </w:rPr>
        <w:t>第</w:t>
      </w:r>
      <w:r>
        <w:rPr>
          <w:rFonts w:eastAsia="仿宋_GB2312"/>
          <w:szCs w:val="32"/>
        </w:rPr>
        <w:t>1</w:t>
      </w:r>
      <w:r>
        <w:rPr>
          <w:rFonts w:ascii="仿宋_GB2312" w:eastAsia="仿宋_GB2312" w:cs="仿宋_GB2312" w:hint="eastAsia"/>
          <w:szCs w:val="32"/>
          <w:lang w:val="zh-CN"/>
        </w:rPr>
        <w:t>部分：风险管理过程中的评价与试验》进行生物相容性评价。</w:t>
      </w:r>
    </w:p>
    <w:p w:rsidR="000A5BAB" w:rsidRDefault="00335140">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4</w:t>
      </w:r>
      <w:r>
        <w:rPr>
          <w:rFonts w:eastAsia="仿宋_GB2312"/>
          <w:szCs w:val="32"/>
        </w:rPr>
        <w:t>灭菌工艺研究</w:t>
      </w:r>
    </w:p>
    <w:p w:rsidR="000A5BAB" w:rsidRDefault="00335140">
      <w:pPr>
        <w:spacing w:line="520" w:lineRule="exact"/>
        <w:ind w:firstLineChars="200" w:firstLine="640"/>
        <w:rPr>
          <w:rFonts w:eastAsia="仿宋_GB2312"/>
          <w:szCs w:val="32"/>
        </w:rPr>
      </w:pPr>
      <w:r>
        <w:rPr>
          <w:rFonts w:eastAsia="仿宋_GB2312"/>
          <w:color w:val="000000"/>
          <w:szCs w:val="32"/>
        </w:rPr>
        <w:t>描述用于保证产品无菌的质量保证体系，明确灭菌工艺（方法和参数）和无菌保证水平（</w:t>
      </w:r>
      <w:r>
        <w:rPr>
          <w:rFonts w:eastAsia="仿宋_GB2312"/>
          <w:color w:val="000000"/>
          <w:szCs w:val="32"/>
        </w:rPr>
        <w:t>SAL</w:t>
      </w:r>
      <w:r>
        <w:rPr>
          <w:rFonts w:eastAsia="仿宋_GB2312"/>
          <w:color w:val="000000"/>
          <w:szCs w:val="32"/>
        </w:rPr>
        <w:t>）。产品</w:t>
      </w:r>
      <w:r>
        <w:rPr>
          <w:rFonts w:eastAsia="仿宋_GB2312"/>
          <w:szCs w:val="32"/>
        </w:rPr>
        <w:t>无菌保证水平（</w:t>
      </w:r>
      <w:r>
        <w:rPr>
          <w:rFonts w:eastAsia="仿宋_GB2312"/>
          <w:szCs w:val="32"/>
        </w:rPr>
        <w:t>SAL</w:t>
      </w:r>
      <w:r>
        <w:rPr>
          <w:rFonts w:eastAsia="仿宋_GB2312"/>
          <w:szCs w:val="32"/>
        </w:rPr>
        <w:t>）需达到</w:t>
      </w:r>
      <w:r>
        <w:rPr>
          <w:rFonts w:eastAsia="仿宋_GB2312"/>
          <w:szCs w:val="32"/>
        </w:rPr>
        <w:t>10</w:t>
      </w:r>
      <w:r>
        <w:rPr>
          <w:rFonts w:eastAsia="仿宋_GB2312"/>
          <w:szCs w:val="32"/>
          <w:vertAlign w:val="superscript"/>
        </w:rPr>
        <w:t>-6</w:t>
      </w:r>
      <w:r>
        <w:rPr>
          <w:rFonts w:eastAsia="仿宋_GB2312"/>
          <w:szCs w:val="32"/>
        </w:rPr>
        <w:t>，提供灭菌验证或确认报告，报告内容应符合</w:t>
      </w:r>
      <w:r>
        <w:rPr>
          <w:rFonts w:eastAsia="仿宋_GB2312"/>
          <w:szCs w:val="32"/>
        </w:rPr>
        <w:t>GB 18279</w:t>
      </w:r>
      <w:r>
        <w:rPr>
          <w:rFonts w:eastAsia="仿宋_GB2312"/>
          <w:szCs w:val="32"/>
        </w:rPr>
        <w:t>《医疗保健产品灭菌</w:t>
      </w:r>
      <w:r>
        <w:rPr>
          <w:rFonts w:eastAsia="仿宋_GB2312"/>
          <w:szCs w:val="32"/>
        </w:rPr>
        <w:t xml:space="preserve"> </w:t>
      </w:r>
      <w:r>
        <w:rPr>
          <w:rFonts w:eastAsia="仿宋_GB2312"/>
          <w:szCs w:val="32"/>
        </w:rPr>
        <w:t>环氧乙烷》系列标准、</w:t>
      </w:r>
      <w:r>
        <w:rPr>
          <w:rFonts w:eastAsia="仿宋_GB2312"/>
          <w:szCs w:val="32"/>
        </w:rPr>
        <w:t>GB 18280</w:t>
      </w:r>
      <w:r>
        <w:rPr>
          <w:rFonts w:eastAsia="仿宋_GB2312"/>
          <w:szCs w:val="32"/>
        </w:rPr>
        <w:t>《医疗保健产品灭菌</w:t>
      </w:r>
      <w:r>
        <w:rPr>
          <w:rFonts w:eastAsia="仿宋_GB2312"/>
          <w:szCs w:val="32"/>
        </w:rPr>
        <w:t xml:space="preserve"> </w:t>
      </w:r>
      <w:r>
        <w:rPr>
          <w:rFonts w:eastAsia="仿宋_GB2312"/>
          <w:szCs w:val="32"/>
        </w:rPr>
        <w:t>辐射》系列标准等的规定。</w:t>
      </w:r>
      <w:r>
        <w:rPr>
          <w:rFonts w:eastAsia="仿宋_GB2312"/>
          <w:color w:val="000000"/>
          <w:szCs w:val="32"/>
        </w:rPr>
        <w:t>灭菌确认应考虑产品与灭菌过程的适应性、包装和标签与灭菌过程的适应性等内容。</w:t>
      </w:r>
    </w:p>
    <w:p w:rsidR="000A5BAB" w:rsidRDefault="00335140">
      <w:pPr>
        <w:spacing w:line="520" w:lineRule="exact"/>
        <w:ind w:firstLineChars="200" w:firstLine="640"/>
        <w:rPr>
          <w:rFonts w:eastAsia="仿宋_GB2312"/>
          <w:color w:val="000000"/>
          <w:szCs w:val="32"/>
        </w:rPr>
      </w:pPr>
      <w:r>
        <w:rPr>
          <w:rFonts w:eastAsia="仿宋_GB2312"/>
          <w:szCs w:val="32"/>
        </w:rPr>
        <w:t>残留毒性：</w:t>
      </w:r>
      <w:r>
        <w:rPr>
          <w:rFonts w:eastAsia="仿宋_GB2312"/>
          <w:bCs/>
          <w:kern w:val="0"/>
          <w:szCs w:val="32"/>
        </w:rPr>
        <w:t>若灭菌使用的方法容易出现残留</w:t>
      </w:r>
      <w:r>
        <w:rPr>
          <w:rFonts w:eastAsia="仿宋_GB2312"/>
          <w:bCs/>
          <w:kern w:val="0"/>
          <w:szCs w:val="32"/>
        </w:rPr>
        <w:t>,</w:t>
      </w:r>
      <w:r>
        <w:rPr>
          <w:rFonts w:eastAsia="仿宋_GB2312"/>
          <w:bCs/>
          <w:kern w:val="0"/>
          <w:szCs w:val="32"/>
        </w:rPr>
        <w:t>如环氧乙烷灭菌，应当参考</w:t>
      </w:r>
      <w:r>
        <w:rPr>
          <w:rFonts w:eastAsia="仿宋_GB2312"/>
          <w:bCs/>
          <w:kern w:val="0"/>
          <w:szCs w:val="32"/>
        </w:rPr>
        <w:t>GB/T 16886.7</w:t>
      </w:r>
      <w:r>
        <w:rPr>
          <w:rFonts w:eastAsia="仿宋_GB2312"/>
          <w:bCs/>
          <w:kern w:val="0"/>
          <w:szCs w:val="32"/>
        </w:rPr>
        <w:t>《医疗器械生物学评价第</w:t>
      </w:r>
      <w:r>
        <w:rPr>
          <w:rFonts w:eastAsia="仿宋_GB2312"/>
          <w:bCs/>
          <w:kern w:val="0"/>
          <w:szCs w:val="32"/>
        </w:rPr>
        <w:t>7</w:t>
      </w:r>
      <w:r>
        <w:rPr>
          <w:rFonts w:eastAsia="仿宋_GB2312"/>
          <w:bCs/>
          <w:kern w:val="0"/>
          <w:szCs w:val="32"/>
        </w:rPr>
        <w:t>部分：环氧乙烷灭菌残留量》等标准明确残留物信息</w:t>
      </w:r>
      <w:r>
        <w:rPr>
          <w:rFonts w:eastAsia="仿宋_GB2312"/>
          <w:color w:val="000000"/>
          <w:kern w:val="0"/>
          <w:szCs w:val="32"/>
        </w:rPr>
        <w:t>（如</w:t>
      </w:r>
      <w:r>
        <w:rPr>
          <w:rFonts w:eastAsia="仿宋_GB2312"/>
          <w:color w:val="000000"/>
          <w:kern w:val="0"/>
          <w:szCs w:val="32"/>
        </w:rPr>
        <w:t>EO</w:t>
      </w:r>
      <w:r>
        <w:rPr>
          <w:rFonts w:eastAsia="仿宋_GB2312"/>
          <w:color w:val="000000"/>
          <w:kern w:val="0"/>
          <w:szCs w:val="32"/>
        </w:rPr>
        <w:t>、</w:t>
      </w:r>
      <w:r>
        <w:rPr>
          <w:rFonts w:eastAsia="仿宋_GB2312"/>
          <w:color w:val="000000"/>
          <w:kern w:val="0"/>
          <w:szCs w:val="32"/>
        </w:rPr>
        <w:t>ECH</w:t>
      </w:r>
      <w:r>
        <w:rPr>
          <w:rFonts w:eastAsia="仿宋_GB2312"/>
          <w:color w:val="000000"/>
          <w:kern w:val="0"/>
          <w:szCs w:val="32"/>
        </w:rPr>
        <w:t>）</w:t>
      </w:r>
      <w:r>
        <w:rPr>
          <w:rFonts w:eastAsia="仿宋_GB2312"/>
          <w:bCs/>
          <w:kern w:val="0"/>
          <w:szCs w:val="32"/>
        </w:rPr>
        <w:t>及采取的</w:t>
      </w:r>
      <w:r>
        <w:rPr>
          <w:rFonts w:eastAsia="仿宋_GB2312"/>
          <w:color w:val="000000"/>
          <w:kern w:val="0"/>
          <w:szCs w:val="32"/>
        </w:rPr>
        <w:t>处理方法和条件</w:t>
      </w:r>
      <w:r>
        <w:rPr>
          <w:rFonts w:eastAsia="仿宋_GB2312"/>
          <w:bCs/>
          <w:kern w:val="0"/>
          <w:szCs w:val="32"/>
        </w:rPr>
        <w:t>，并提供研究资料。</w:t>
      </w:r>
    </w:p>
    <w:p w:rsidR="000A5BAB" w:rsidRDefault="00335140">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5</w:t>
      </w:r>
      <w:r>
        <w:rPr>
          <w:rFonts w:eastAsia="仿宋_GB2312"/>
          <w:color w:val="000000"/>
          <w:szCs w:val="32"/>
        </w:rPr>
        <w:t>稳定性研究</w:t>
      </w:r>
    </w:p>
    <w:p w:rsidR="000A5BAB" w:rsidRDefault="00335140">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5</w:t>
      </w:r>
      <w:r>
        <w:rPr>
          <w:rFonts w:eastAsia="仿宋_GB2312"/>
          <w:color w:val="000000"/>
          <w:szCs w:val="32"/>
        </w:rPr>
        <w:t>.1</w:t>
      </w:r>
      <w:r>
        <w:rPr>
          <w:rFonts w:eastAsia="仿宋_GB2312"/>
          <w:color w:val="000000"/>
          <w:szCs w:val="32"/>
        </w:rPr>
        <w:t>货架有效期</w:t>
      </w:r>
    </w:p>
    <w:p w:rsidR="000A5BAB" w:rsidRDefault="00335140">
      <w:pPr>
        <w:spacing w:line="520" w:lineRule="exact"/>
        <w:ind w:firstLineChars="200" w:firstLine="640"/>
        <w:rPr>
          <w:rFonts w:eastAsia="仿宋_GB2312"/>
          <w:bCs/>
          <w:kern w:val="0"/>
          <w:szCs w:val="32"/>
        </w:rPr>
      </w:pPr>
      <w:r>
        <w:rPr>
          <w:rFonts w:eastAsia="仿宋_GB2312" w:hint="eastAsia"/>
          <w:bCs/>
          <w:kern w:val="0"/>
          <w:szCs w:val="32"/>
        </w:rPr>
        <w:t>产品有效期的验证可采用实时老化或加速老化的研究。加速老化研究试验的具体要求可参照</w:t>
      </w:r>
      <w:r>
        <w:rPr>
          <w:rFonts w:eastAsia="仿宋_GB2312" w:hint="eastAsia"/>
          <w:bCs/>
          <w:kern w:val="0"/>
          <w:szCs w:val="32"/>
        </w:rPr>
        <w:t>YY/T 0681</w:t>
      </w:r>
      <w:r>
        <w:rPr>
          <w:rFonts w:eastAsia="仿宋_GB2312" w:hint="eastAsia"/>
          <w:bCs/>
          <w:kern w:val="0"/>
          <w:szCs w:val="32"/>
        </w:rPr>
        <w:t>系列标准。产品有效期验证试验宜采用与常规生产相同的终产品进行。验证项目需评估产品随时间老化的相关性能，包括产品自身性能验证和包装系统性能验证两方面。前者需选择与医疗器械有效期密切相关的物理、化学、微生物测试项目，涉及产品生物相容性可能发生改变的，需进行生物学评价。后者包括包装完整性、包装强度和微生物屏障性能等验证项目。其中，包装完整性验证项目可包括在设定的时间间隔点目力检测产品包装（是否污染、破损等）及标签（完整性、粘附牢固度、印刷内容清晰度等）、采用染色液穿透法测定透气包装的密封泄漏试验和气泡法测定软性包装泄漏试验等；包装强度测试项目包括软性屏障材料密封强度试验、无约束包装抗内压破坏试验等。</w:t>
      </w:r>
    </w:p>
    <w:p w:rsidR="000A5BAB" w:rsidRDefault="00335140">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5</w:t>
      </w:r>
      <w:r>
        <w:rPr>
          <w:rFonts w:eastAsia="仿宋_GB2312"/>
          <w:color w:val="000000"/>
          <w:szCs w:val="32"/>
        </w:rPr>
        <w:t>.2</w:t>
      </w:r>
      <w:r>
        <w:rPr>
          <w:rFonts w:eastAsia="仿宋_GB2312"/>
          <w:color w:val="000000"/>
          <w:szCs w:val="32"/>
        </w:rPr>
        <w:t>运输稳定性</w:t>
      </w:r>
    </w:p>
    <w:p w:rsidR="000A5BAB" w:rsidRDefault="00335140">
      <w:pPr>
        <w:spacing w:line="520" w:lineRule="exact"/>
        <w:ind w:firstLineChars="200" w:firstLine="640"/>
        <w:rPr>
          <w:rFonts w:eastAsia="仿宋_GB2312"/>
          <w:bCs/>
          <w:szCs w:val="32"/>
        </w:rPr>
      </w:pPr>
      <w:r>
        <w:rPr>
          <w:rFonts w:eastAsia="仿宋_GB2312"/>
          <w:color w:val="000000"/>
          <w:szCs w:val="32"/>
        </w:rPr>
        <w:t>需要提供运输稳定性研究资料，证明在宣称的有效期内，规定的运输条件下，运输过程中的环境条件不会对医疗器械造成不利影响。</w:t>
      </w:r>
      <w:r>
        <w:rPr>
          <w:rFonts w:eastAsia="仿宋_GB2312"/>
          <w:bCs/>
          <w:color w:val="000000"/>
          <w:kern w:val="0"/>
          <w:szCs w:val="32"/>
        </w:rPr>
        <w:t>根据适用情况</w:t>
      </w:r>
      <w:r>
        <w:rPr>
          <w:rFonts w:eastAsia="仿宋_GB2312"/>
          <w:bCs/>
          <w:kern w:val="0"/>
          <w:szCs w:val="32"/>
        </w:rPr>
        <w:t>可选择人工搬运、堆码、振动、低气压、集中冲击等模拟运输试验验证包装系统性能，</w:t>
      </w:r>
      <w:r>
        <w:rPr>
          <w:rFonts w:eastAsia="仿宋_GB2312"/>
          <w:bCs/>
          <w:szCs w:val="32"/>
        </w:rPr>
        <w:t>并提供研究资料。</w:t>
      </w:r>
    </w:p>
    <w:p w:rsidR="000A5BAB" w:rsidRDefault="00335140">
      <w:pPr>
        <w:spacing w:line="520" w:lineRule="exact"/>
        <w:ind w:firstLineChars="200" w:firstLine="640"/>
        <w:rPr>
          <w:rFonts w:eastAsia="仿宋_GB2312"/>
          <w:color w:val="000000"/>
          <w:szCs w:val="32"/>
        </w:rPr>
      </w:pPr>
      <w:r>
        <w:rPr>
          <w:rFonts w:eastAsia="仿宋_GB2312" w:hint="eastAsia"/>
          <w:color w:val="000000"/>
          <w:szCs w:val="32"/>
        </w:rPr>
        <w:t>5</w:t>
      </w:r>
      <w:r>
        <w:rPr>
          <w:rFonts w:eastAsia="仿宋_GB2312"/>
          <w:color w:val="000000"/>
          <w:szCs w:val="32"/>
        </w:rPr>
        <w:t>.</w:t>
      </w:r>
      <w:r>
        <w:rPr>
          <w:rFonts w:eastAsia="仿宋_GB2312" w:hint="eastAsia"/>
          <w:color w:val="000000"/>
          <w:szCs w:val="32"/>
        </w:rPr>
        <w:t>其他</w:t>
      </w:r>
      <w:r>
        <w:rPr>
          <w:rFonts w:eastAsia="仿宋_GB2312"/>
          <w:color w:val="000000"/>
          <w:szCs w:val="32"/>
        </w:rPr>
        <w:t>资料</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提交申报产品相关信息与《免于</w:t>
      </w:r>
      <w:r>
        <w:rPr>
          <w:rFonts w:eastAsia="仿宋_GB2312" w:hint="eastAsia"/>
          <w:szCs w:val="32"/>
        </w:rPr>
        <w:t>进行</w:t>
      </w:r>
      <w:r>
        <w:rPr>
          <w:rFonts w:eastAsia="仿宋_GB2312"/>
          <w:szCs w:val="32"/>
        </w:rPr>
        <w:t>临床评价医疗器械目录》（以下简称《目录》）所述内容的对比资料；提交申报产品与《目录》中已获准境内注册医疗器械的对比说明，对比说明应当包括《申报产品与目录中已获准境内注册医疗器械对比表》和相应支持性资料。若经对比，申报产品与对比产品存在差异，还应提交差异部分对安全有效性影响的分析研究资料。二者的差异不应引起不同的安全有效性问题，即申报产品未出现对比产品不存在的且可能引发重大风险和</w:t>
      </w:r>
      <w:r>
        <w:rPr>
          <w:rFonts w:eastAsia="仿宋_GB2312"/>
          <w:szCs w:val="32"/>
        </w:rPr>
        <w:t>/</w:t>
      </w:r>
      <w:r>
        <w:rPr>
          <w:rFonts w:eastAsia="仿宋_GB2312"/>
          <w:szCs w:val="32"/>
        </w:rPr>
        <w:t>或引起显著影响有效性的问题。提交的上述资料应能证明申报产品与《目录》所述的产品具有基本等同性。若无法证明申报产品与《目录》所述的产品具有基本等同性，则应开展临床评价。</w:t>
      </w:r>
    </w:p>
    <w:p w:rsidR="000A5BAB" w:rsidRDefault="00335140">
      <w:pPr>
        <w:spacing w:line="520" w:lineRule="exact"/>
        <w:ind w:firstLineChars="200" w:firstLine="640"/>
        <w:rPr>
          <w:rFonts w:eastAsia="楷体_GB2312"/>
          <w:color w:val="000000"/>
          <w:szCs w:val="32"/>
        </w:rPr>
      </w:pPr>
      <w:r>
        <w:rPr>
          <w:rFonts w:eastAsia="楷体_GB2312"/>
          <w:color w:val="000000"/>
          <w:szCs w:val="32"/>
        </w:rPr>
        <w:t>（四）临床评价资料</w:t>
      </w:r>
    </w:p>
    <w:p w:rsidR="000A5BAB" w:rsidRDefault="00335140">
      <w:pPr>
        <w:spacing w:line="520" w:lineRule="exact"/>
        <w:ind w:rightChars="-32" w:right="-102" w:firstLineChars="200" w:firstLine="636"/>
        <w:rPr>
          <w:rFonts w:eastAsia="仿宋_GB2312"/>
          <w:spacing w:val="-1"/>
          <w:szCs w:val="32"/>
        </w:rPr>
      </w:pPr>
      <w:r>
        <w:rPr>
          <w:rFonts w:eastAsia="仿宋_GB2312" w:hint="eastAsia"/>
          <w:spacing w:val="-1"/>
          <w:szCs w:val="32"/>
        </w:rPr>
        <w:t>该产品已列入《免于进行临床评价医疗器械目录》，申请人无需提交临床评价资料。</w:t>
      </w:r>
    </w:p>
    <w:p w:rsidR="000A5BAB" w:rsidRDefault="00335140">
      <w:pPr>
        <w:spacing w:line="520" w:lineRule="exact"/>
        <w:ind w:rightChars="-32" w:right="-102" w:firstLineChars="200" w:firstLine="636"/>
        <w:rPr>
          <w:rFonts w:eastAsia="仿宋_GB2312"/>
          <w:color w:val="000000"/>
          <w:szCs w:val="32"/>
        </w:rPr>
      </w:pPr>
      <w:r>
        <w:rPr>
          <w:rFonts w:eastAsia="仿宋_GB2312" w:hint="eastAsia"/>
          <w:spacing w:val="-1"/>
          <w:szCs w:val="32"/>
        </w:rPr>
        <w:t>应充分考虑豁免情况不包括新材料、新作用机理、新功能的产品。若无法证明申报产品与《目录》产品具有等同性，则应按照《医疗器械临床评价技术指导原则》等相关指导原则开展相应工作，提供符合要求的临床评价资料。</w:t>
      </w:r>
    </w:p>
    <w:p w:rsidR="000A5BAB" w:rsidRDefault="00335140">
      <w:pPr>
        <w:spacing w:line="520" w:lineRule="exact"/>
        <w:ind w:firstLineChars="200" w:firstLine="640"/>
        <w:rPr>
          <w:rFonts w:eastAsia="楷体_GB2312"/>
          <w:color w:val="000000"/>
          <w:szCs w:val="32"/>
        </w:rPr>
      </w:pPr>
      <w:r>
        <w:rPr>
          <w:rFonts w:eastAsia="楷体_GB2312"/>
          <w:color w:val="000000"/>
          <w:szCs w:val="32"/>
        </w:rPr>
        <w:t>（五）产品说明书和标签样稿</w:t>
      </w:r>
    </w:p>
    <w:p w:rsidR="000A5BAB" w:rsidRDefault="00335140">
      <w:pPr>
        <w:spacing w:line="520" w:lineRule="exact"/>
        <w:ind w:firstLineChars="200" w:firstLine="640"/>
        <w:rPr>
          <w:rFonts w:eastAsia="仿宋_GB2312"/>
          <w:color w:val="000000"/>
          <w:szCs w:val="32"/>
        </w:rPr>
      </w:pPr>
      <w:r>
        <w:rPr>
          <w:rFonts w:eastAsia="仿宋_GB2312" w:hint="eastAsia"/>
          <w:color w:val="000000"/>
          <w:szCs w:val="32"/>
        </w:rPr>
        <w:t>1.</w:t>
      </w:r>
      <w:r>
        <w:rPr>
          <w:rFonts w:eastAsia="仿宋_GB2312"/>
          <w:color w:val="000000"/>
          <w:szCs w:val="32"/>
        </w:rPr>
        <w:t>按照《医疗器械说明书和标签管理规定》</w:t>
      </w:r>
      <w:r>
        <w:rPr>
          <w:rFonts w:eastAsia="仿宋_GB2312" w:hint="eastAsia"/>
          <w:color w:val="000000"/>
          <w:szCs w:val="32"/>
        </w:rPr>
        <w:t>、</w:t>
      </w:r>
      <w:r>
        <w:rPr>
          <w:rFonts w:eastAsia="仿宋_GB2312"/>
          <w:szCs w:val="32"/>
        </w:rPr>
        <w:t>YY/T</w:t>
      </w:r>
      <w:r>
        <w:rPr>
          <w:rFonts w:eastAsia="仿宋_GB2312" w:hint="eastAsia"/>
          <w:szCs w:val="32"/>
        </w:rPr>
        <w:t xml:space="preserve"> 1470</w:t>
      </w:r>
      <w:r>
        <w:rPr>
          <w:rFonts w:eastAsia="仿宋_GB2312" w:hint="eastAsia"/>
          <w:szCs w:val="32"/>
        </w:rPr>
        <w:t>《</w:t>
      </w:r>
      <w:r>
        <w:rPr>
          <w:rFonts w:eastAsia="仿宋_GB2312"/>
          <w:szCs w:val="32"/>
        </w:rPr>
        <w:t>一次性使用脐带剪（切）断器</w:t>
      </w:r>
      <w:r>
        <w:rPr>
          <w:rFonts w:eastAsia="仿宋_GB2312" w:hint="eastAsia"/>
          <w:szCs w:val="32"/>
        </w:rPr>
        <w:t>》</w:t>
      </w:r>
      <w:r>
        <w:rPr>
          <w:rFonts w:eastAsia="仿宋_GB2312"/>
          <w:color w:val="000000"/>
          <w:szCs w:val="32"/>
        </w:rPr>
        <w:t>要求编制产品说明书和标签样稿。</w:t>
      </w:r>
    </w:p>
    <w:p w:rsidR="000A5BAB" w:rsidRDefault="00335140">
      <w:pPr>
        <w:spacing w:line="520" w:lineRule="exact"/>
        <w:ind w:firstLineChars="200" w:firstLine="640"/>
        <w:rPr>
          <w:rFonts w:eastAsia="仿宋_GB2312"/>
          <w:color w:val="000000"/>
          <w:szCs w:val="28"/>
        </w:rPr>
      </w:pPr>
      <w:r>
        <w:rPr>
          <w:rFonts w:eastAsia="仿宋_GB2312" w:hint="eastAsia"/>
          <w:color w:val="000000"/>
          <w:szCs w:val="28"/>
        </w:rPr>
        <w:t>2.</w:t>
      </w:r>
      <w:r>
        <w:rPr>
          <w:rFonts w:eastAsia="仿宋_GB2312" w:hint="eastAsia"/>
          <w:color w:val="000000"/>
          <w:szCs w:val="28"/>
        </w:rPr>
        <w:t>产品说明书应当包括以下内容：</w:t>
      </w:r>
    </w:p>
    <w:p w:rsidR="000A5BAB" w:rsidRDefault="00335140">
      <w:pPr>
        <w:spacing w:line="520" w:lineRule="exact"/>
        <w:ind w:firstLineChars="200" w:firstLine="640"/>
        <w:rPr>
          <w:rFonts w:eastAsia="仿宋_GB2312"/>
          <w:color w:val="000000"/>
          <w:szCs w:val="28"/>
        </w:rPr>
      </w:pPr>
      <w:r>
        <w:rPr>
          <w:rFonts w:eastAsia="仿宋_GB2312" w:hint="eastAsia"/>
          <w:color w:val="000000"/>
          <w:szCs w:val="32"/>
        </w:rPr>
        <w:t>2.1</w:t>
      </w:r>
      <w:r>
        <w:rPr>
          <w:rFonts w:eastAsia="仿宋_GB2312" w:hint="eastAsia"/>
          <w:color w:val="000000"/>
          <w:szCs w:val="28"/>
        </w:rPr>
        <w:t>注意事项：明确脐带夹使用后的注意事项：如产品使用导致新生儿皮肤红肿等如何处置、产品用后处置等。</w:t>
      </w:r>
    </w:p>
    <w:p w:rsidR="000A5BAB" w:rsidRDefault="00335140">
      <w:pPr>
        <w:spacing w:line="520" w:lineRule="exact"/>
        <w:ind w:firstLineChars="200" w:firstLine="640"/>
        <w:rPr>
          <w:rFonts w:eastAsia="仿宋_GB2312"/>
          <w:color w:val="000000"/>
          <w:szCs w:val="28"/>
        </w:rPr>
      </w:pPr>
      <w:r>
        <w:rPr>
          <w:rFonts w:eastAsia="仿宋_GB2312" w:hint="eastAsia"/>
          <w:color w:val="000000"/>
          <w:szCs w:val="28"/>
        </w:rPr>
        <w:t>2.2</w:t>
      </w:r>
      <w:r>
        <w:rPr>
          <w:rFonts w:eastAsia="仿宋_GB2312" w:hint="eastAsia"/>
          <w:color w:val="000000"/>
          <w:szCs w:val="28"/>
        </w:rPr>
        <w:t>警示以及提示的内容：应当注明“一次性使用”“包装破损不得使用”等字样或符号；应当注明灭菌方式、“无菌”“失效日期”等字样或者符号；</w:t>
      </w:r>
    </w:p>
    <w:p w:rsidR="000A5BAB" w:rsidRDefault="00335140">
      <w:pPr>
        <w:spacing w:line="520" w:lineRule="exact"/>
        <w:ind w:firstLineChars="200" w:firstLine="640"/>
        <w:rPr>
          <w:rFonts w:eastAsia="仿宋_GB2312"/>
          <w:color w:val="000000"/>
          <w:szCs w:val="28"/>
        </w:rPr>
      </w:pPr>
      <w:r>
        <w:rPr>
          <w:rFonts w:eastAsia="仿宋_GB2312" w:hint="eastAsia"/>
          <w:color w:val="000000"/>
          <w:szCs w:val="28"/>
        </w:rPr>
        <w:t>2.3</w:t>
      </w:r>
      <w:r>
        <w:rPr>
          <w:rFonts w:eastAsia="仿宋_GB2312" w:hint="eastAsia"/>
          <w:color w:val="000000"/>
          <w:szCs w:val="28"/>
        </w:rPr>
        <w:t>明确与人体直接或间接接触的材质信息；</w:t>
      </w:r>
    </w:p>
    <w:p w:rsidR="000A5BAB" w:rsidRDefault="000A5BAB">
      <w:pPr>
        <w:spacing w:line="520" w:lineRule="exact"/>
        <w:ind w:firstLineChars="200" w:firstLine="640"/>
        <w:rPr>
          <w:rFonts w:eastAsia="仿宋_GB2312"/>
          <w:color w:val="000000"/>
          <w:szCs w:val="28"/>
        </w:rPr>
      </w:pPr>
    </w:p>
    <w:p w:rsidR="000A5BAB" w:rsidRDefault="00335140">
      <w:pPr>
        <w:spacing w:line="520" w:lineRule="exact"/>
        <w:ind w:firstLineChars="200" w:firstLine="640"/>
        <w:rPr>
          <w:rFonts w:eastAsia="楷体_GB2312"/>
          <w:color w:val="000000"/>
          <w:szCs w:val="32"/>
        </w:rPr>
      </w:pPr>
      <w:r>
        <w:rPr>
          <w:rFonts w:eastAsia="楷体_GB2312"/>
          <w:color w:val="000000"/>
          <w:szCs w:val="32"/>
        </w:rPr>
        <w:t>（六）质量管理体系文件</w:t>
      </w:r>
    </w:p>
    <w:p w:rsidR="000A5BAB" w:rsidRDefault="00335140">
      <w:pPr>
        <w:spacing w:line="520" w:lineRule="exact"/>
        <w:ind w:firstLineChars="200" w:firstLine="640"/>
        <w:rPr>
          <w:rFonts w:eastAsia="仿宋_GB2312"/>
          <w:color w:val="000000"/>
          <w:szCs w:val="32"/>
        </w:rPr>
      </w:pPr>
      <w:r>
        <w:rPr>
          <w:rFonts w:eastAsia="仿宋_GB2312"/>
          <w:color w:val="000000"/>
          <w:szCs w:val="32"/>
        </w:rPr>
        <w:t>1.</w:t>
      </w:r>
      <w:r>
        <w:rPr>
          <w:rFonts w:eastAsia="仿宋_GB2312"/>
          <w:szCs w:val="32"/>
        </w:rPr>
        <w:t>产品生产制造相关要求</w:t>
      </w:r>
    </w:p>
    <w:p w:rsidR="000A5BAB" w:rsidRDefault="00335140">
      <w:pPr>
        <w:spacing w:line="520" w:lineRule="exact"/>
        <w:ind w:firstLineChars="200" w:firstLine="640"/>
        <w:rPr>
          <w:rFonts w:eastAsia="仿宋_GB2312"/>
          <w:color w:val="000000"/>
          <w:szCs w:val="32"/>
        </w:rPr>
      </w:pPr>
      <w:r>
        <w:rPr>
          <w:rFonts w:eastAsia="仿宋_GB2312"/>
          <w:szCs w:val="32"/>
        </w:rPr>
        <w:t>应当明确产品生产加工工艺，生产工艺可采用流程图的形式，且应结合产品实际生产过程细化产品生产工艺介绍，应能体现出外协加工部分（如有）、半成品加工过程。工艺流程图中应明示关键工序、特殊过程（如有）、过程控制点、各工序对环境的要求、使用的相关设备以及对设备精度的要求等，说明其每道工序的操作说明及接收和放行标准，并阐明其过程控制点及控制参数。对生产工艺的可控性、稳定性应进行确认。明确生产过程中加工助剂、粘合剂等添加物质的使用情况及对杂质（如残留单体、小分子残留物等）的控制情况，若对外购原材料进行改性，应提供工艺的详细过程和参数，以及相应的研究依据。</w:t>
      </w:r>
    </w:p>
    <w:p w:rsidR="000A5BAB" w:rsidRDefault="00335140">
      <w:pPr>
        <w:spacing w:line="520" w:lineRule="exact"/>
        <w:ind w:firstLineChars="200" w:firstLine="640"/>
        <w:rPr>
          <w:rFonts w:eastAsia="仿宋_GB2312"/>
          <w:color w:val="000000"/>
          <w:szCs w:val="32"/>
        </w:rPr>
      </w:pPr>
      <w:r>
        <w:rPr>
          <w:rFonts w:eastAsia="仿宋_GB2312"/>
          <w:color w:val="000000"/>
          <w:szCs w:val="32"/>
        </w:rPr>
        <w:t>2.</w:t>
      </w:r>
      <w:r>
        <w:rPr>
          <w:rFonts w:eastAsia="仿宋_GB2312"/>
          <w:szCs w:val="32"/>
        </w:rPr>
        <w:t>生产场地</w:t>
      </w:r>
    </w:p>
    <w:p w:rsidR="000A5BAB" w:rsidRDefault="00335140">
      <w:pPr>
        <w:adjustRightInd w:val="0"/>
        <w:snapToGrid w:val="0"/>
        <w:spacing w:line="520" w:lineRule="exact"/>
        <w:ind w:firstLineChars="200" w:firstLine="640"/>
        <w:rPr>
          <w:rFonts w:eastAsia="仿宋_GB2312"/>
          <w:color w:val="000000"/>
          <w:szCs w:val="32"/>
        </w:rPr>
      </w:pPr>
      <w:r>
        <w:rPr>
          <w:rFonts w:eastAsia="仿宋_GB2312"/>
          <w:szCs w:val="32"/>
        </w:rPr>
        <w:t>应详细说明产品研制场地、生产场地地址、生产工艺布局、生产环境要求及周边情况。有多个研制、生产场地，应当概述每个研制、生产场地的实际情况。</w:t>
      </w:r>
    </w:p>
    <w:p w:rsidR="000A5BAB" w:rsidRDefault="00335140">
      <w:pPr>
        <w:pStyle w:val="1"/>
        <w:spacing w:line="520" w:lineRule="exact"/>
        <w:ind w:firstLine="640"/>
        <w:jc w:val="left"/>
        <w:outlineLvl w:val="0"/>
        <w:rPr>
          <w:rFonts w:eastAsia="黑体"/>
        </w:rPr>
      </w:pPr>
      <w:bookmarkStart w:id="2" w:name="_Toc265839389"/>
      <w:r>
        <w:rPr>
          <w:rFonts w:eastAsia="黑体" w:hint="eastAsia"/>
        </w:rPr>
        <w:t>三、</w:t>
      </w:r>
      <w:r>
        <w:rPr>
          <w:rFonts w:eastAsia="黑体"/>
        </w:rPr>
        <w:t>参考文献</w:t>
      </w:r>
      <w:bookmarkEnd w:id="2"/>
    </w:p>
    <w:p w:rsidR="000A5BAB" w:rsidRDefault="00335140">
      <w:pPr>
        <w:spacing w:line="520" w:lineRule="exact"/>
        <w:ind w:rightChars="-32" w:right="-102" w:firstLineChars="200" w:firstLine="640"/>
        <w:rPr>
          <w:rFonts w:eastAsia="仿宋_GB2312"/>
          <w:color w:val="000000"/>
          <w:szCs w:val="32"/>
        </w:rPr>
      </w:pPr>
      <w:r>
        <w:rPr>
          <w:rFonts w:eastAsia="仿宋_GB2312"/>
          <w:color w:val="000000"/>
          <w:szCs w:val="32"/>
        </w:rPr>
        <w:t>[1]</w:t>
      </w:r>
      <w:r>
        <w:rPr>
          <w:rFonts w:eastAsia="仿宋_GB2312"/>
          <w:szCs w:val="32"/>
        </w:rPr>
        <w:t>中华人民共和国国务院</w:t>
      </w:r>
      <w:r>
        <w:rPr>
          <w:rFonts w:eastAsia="仿宋_GB2312" w:hint="eastAsia"/>
          <w:szCs w:val="32"/>
        </w:rPr>
        <w:t>.</w:t>
      </w:r>
      <w:r>
        <w:rPr>
          <w:rFonts w:eastAsia="仿宋_GB2312"/>
          <w:szCs w:val="32"/>
        </w:rPr>
        <w:t>医疗器械监督管理条例</w:t>
      </w:r>
      <w:r>
        <w:rPr>
          <w:rFonts w:eastAsia="仿宋_GB2312" w:hint="eastAsia"/>
          <w:szCs w:val="32"/>
        </w:rPr>
        <w:t>:</w:t>
      </w:r>
      <w:r>
        <w:rPr>
          <w:rFonts w:eastAsia="仿宋_GB2312"/>
          <w:szCs w:val="32"/>
        </w:rPr>
        <w:t>中华人民共和国国务院令第</w:t>
      </w:r>
      <w:r>
        <w:rPr>
          <w:rFonts w:eastAsia="仿宋_GB2312"/>
          <w:szCs w:val="32"/>
        </w:rPr>
        <w:t>739</w:t>
      </w:r>
      <w:r>
        <w:rPr>
          <w:rFonts w:eastAsia="仿宋_GB2312"/>
          <w:szCs w:val="32"/>
        </w:rPr>
        <w:t>号</w:t>
      </w:r>
      <w:r>
        <w:rPr>
          <w:rFonts w:eastAsia="仿宋_GB2312"/>
          <w:szCs w:val="32"/>
        </w:rPr>
        <w:t>[Z].</w:t>
      </w:r>
    </w:p>
    <w:p w:rsidR="000A5BAB" w:rsidRDefault="00335140">
      <w:pPr>
        <w:spacing w:line="520" w:lineRule="exact"/>
        <w:ind w:firstLineChars="200" w:firstLine="640"/>
        <w:rPr>
          <w:rFonts w:eastAsia="仿宋_GB2312"/>
          <w:szCs w:val="32"/>
        </w:rPr>
      </w:pPr>
      <w:r>
        <w:rPr>
          <w:rFonts w:eastAsia="仿宋_GB2312"/>
          <w:color w:val="000000"/>
          <w:szCs w:val="32"/>
        </w:rPr>
        <w:t>[2]</w:t>
      </w:r>
      <w:r>
        <w:rPr>
          <w:rFonts w:eastAsia="仿宋_GB2312"/>
          <w:szCs w:val="32"/>
        </w:rPr>
        <w:t>国家市场监督管理总局</w:t>
      </w:r>
      <w:r>
        <w:rPr>
          <w:rFonts w:eastAsia="仿宋_GB2312" w:hint="eastAsia"/>
          <w:szCs w:val="32"/>
        </w:rPr>
        <w:t>.</w:t>
      </w:r>
      <w:r>
        <w:rPr>
          <w:rFonts w:eastAsia="仿宋_GB2312"/>
          <w:szCs w:val="32"/>
        </w:rPr>
        <w:t>医疗器械注册与备案管理办法</w:t>
      </w:r>
      <w:r>
        <w:rPr>
          <w:rFonts w:eastAsia="仿宋_GB2312"/>
          <w:szCs w:val="32"/>
        </w:rPr>
        <w:t>:</w:t>
      </w:r>
      <w:r>
        <w:rPr>
          <w:rFonts w:eastAsia="仿宋_GB2312"/>
          <w:szCs w:val="32"/>
        </w:rPr>
        <w:t>国家市场监督管理总局令第</w:t>
      </w:r>
      <w:r>
        <w:rPr>
          <w:rFonts w:eastAsia="仿宋_GB2312"/>
          <w:szCs w:val="32"/>
        </w:rPr>
        <w:t>47</w:t>
      </w:r>
      <w:r>
        <w:rPr>
          <w:rFonts w:eastAsia="仿宋_GB2312"/>
          <w:szCs w:val="32"/>
        </w:rPr>
        <w:t>号</w:t>
      </w:r>
      <w:r>
        <w:rPr>
          <w:rFonts w:eastAsia="仿宋_GB2312"/>
          <w:szCs w:val="32"/>
        </w:rPr>
        <w:t>[Z].</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[3]</w:t>
      </w:r>
      <w:r>
        <w:rPr>
          <w:rFonts w:eastAsia="仿宋_GB2312"/>
          <w:szCs w:val="32"/>
        </w:rPr>
        <w:t>国家食品药品监督管理局</w:t>
      </w:r>
      <w:r>
        <w:rPr>
          <w:rFonts w:eastAsia="仿宋_GB2312"/>
          <w:szCs w:val="32"/>
        </w:rPr>
        <w:t>.</w:t>
      </w:r>
      <w:r>
        <w:rPr>
          <w:rFonts w:eastAsia="仿宋_GB2312"/>
          <w:szCs w:val="32"/>
        </w:rPr>
        <w:t>医疗器械说明书和标签管理规定</w:t>
      </w:r>
      <w:r>
        <w:rPr>
          <w:rFonts w:eastAsia="仿宋_GB2312"/>
          <w:szCs w:val="32"/>
        </w:rPr>
        <w:t>:</w:t>
      </w:r>
      <w:r>
        <w:rPr>
          <w:rFonts w:eastAsia="仿宋_GB2312"/>
          <w:szCs w:val="32"/>
        </w:rPr>
        <w:t>国家食品药品监督管理总局令第</w:t>
      </w:r>
      <w:r>
        <w:rPr>
          <w:rFonts w:eastAsia="仿宋_GB2312"/>
          <w:szCs w:val="32"/>
        </w:rPr>
        <w:t>6</w:t>
      </w:r>
      <w:r>
        <w:rPr>
          <w:rFonts w:eastAsia="仿宋_GB2312"/>
          <w:szCs w:val="32"/>
        </w:rPr>
        <w:t>号</w:t>
      </w:r>
      <w:r>
        <w:rPr>
          <w:rFonts w:eastAsia="仿宋_GB2312"/>
          <w:szCs w:val="32"/>
        </w:rPr>
        <w:t>[Z].</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[4]</w:t>
      </w:r>
      <w:r>
        <w:rPr>
          <w:rFonts w:eastAsia="仿宋_GB2312"/>
          <w:szCs w:val="32"/>
        </w:rPr>
        <w:t>国家食品药品监督管理局</w:t>
      </w:r>
      <w:r>
        <w:rPr>
          <w:rFonts w:eastAsia="仿宋_GB2312"/>
          <w:szCs w:val="32"/>
        </w:rPr>
        <w:t>.</w:t>
      </w:r>
      <w:r>
        <w:rPr>
          <w:rFonts w:eastAsia="仿宋_GB2312"/>
          <w:szCs w:val="32"/>
        </w:rPr>
        <w:t>医疗器械分类规则</w:t>
      </w:r>
      <w:r>
        <w:rPr>
          <w:rFonts w:eastAsia="仿宋_GB2312"/>
          <w:szCs w:val="32"/>
        </w:rPr>
        <w:t>:</w:t>
      </w:r>
      <w:r>
        <w:rPr>
          <w:rFonts w:eastAsia="仿宋_GB2312"/>
          <w:szCs w:val="32"/>
        </w:rPr>
        <w:t>国家食品药品监督管理总局令第</w:t>
      </w:r>
      <w:r>
        <w:rPr>
          <w:rFonts w:eastAsia="仿宋_GB2312"/>
          <w:szCs w:val="32"/>
        </w:rPr>
        <w:t>15</w:t>
      </w:r>
      <w:r>
        <w:rPr>
          <w:rFonts w:eastAsia="仿宋_GB2312"/>
          <w:szCs w:val="32"/>
        </w:rPr>
        <w:t>号</w:t>
      </w:r>
      <w:r>
        <w:rPr>
          <w:rFonts w:eastAsia="仿宋_GB2312"/>
          <w:szCs w:val="32"/>
        </w:rPr>
        <w:t>[Z].</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[5]</w:t>
      </w:r>
      <w:r>
        <w:rPr>
          <w:rFonts w:eastAsia="仿宋_GB2312"/>
          <w:szCs w:val="32"/>
        </w:rPr>
        <w:t>国家食品药品监督管理局</w:t>
      </w:r>
      <w:r>
        <w:rPr>
          <w:rFonts w:eastAsia="仿宋_GB2312"/>
          <w:szCs w:val="32"/>
        </w:rPr>
        <w:t>.</w:t>
      </w:r>
      <w:r>
        <w:rPr>
          <w:rFonts w:eastAsia="仿宋_GB2312"/>
          <w:szCs w:val="32"/>
        </w:rPr>
        <w:t>医疗器械通用名称命名规则</w:t>
      </w:r>
      <w:r>
        <w:rPr>
          <w:rFonts w:eastAsia="仿宋_GB2312"/>
          <w:szCs w:val="32"/>
        </w:rPr>
        <w:t>:</w:t>
      </w:r>
      <w:r>
        <w:rPr>
          <w:rFonts w:eastAsia="仿宋_GB2312"/>
          <w:szCs w:val="32"/>
        </w:rPr>
        <w:t>国家食品药品监督管理总局令第</w:t>
      </w:r>
      <w:r>
        <w:rPr>
          <w:rFonts w:eastAsia="仿宋_GB2312"/>
          <w:szCs w:val="32"/>
        </w:rPr>
        <w:t>19</w:t>
      </w:r>
      <w:r>
        <w:rPr>
          <w:rFonts w:eastAsia="仿宋_GB2312"/>
          <w:szCs w:val="32"/>
        </w:rPr>
        <w:t>号</w:t>
      </w:r>
      <w:r>
        <w:rPr>
          <w:rFonts w:eastAsia="仿宋_GB2312"/>
          <w:szCs w:val="32"/>
        </w:rPr>
        <w:t>[Z].</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[6]</w:t>
      </w:r>
      <w:r>
        <w:rPr>
          <w:rFonts w:eastAsia="仿宋_GB2312"/>
          <w:szCs w:val="32"/>
        </w:rPr>
        <w:t>国家食品药品监督管理局</w:t>
      </w:r>
      <w:r>
        <w:rPr>
          <w:rFonts w:eastAsia="仿宋_GB2312"/>
          <w:szCs w:val="32"/>
        </w:rPr>
        <w:t>.</w:t>
      </w:r>
      <w:r>
        <w:rPr>
          <w:rFonts w:eastAsia="仿宋_GB2312"/>
          <w:szCs w:val="32"/>
        </w:rPr>
        <w:t>医疗器械分类目录</w:t>
      </w:r>
      <w:r>
        <w:rPr>
          <w:rFonts w:eastAsia="仿宋_GB2312"/>
          <w:szCs w:val="32"/>
        </w:rPr>
        <w:t>:</w:t>
      </w:r>
      <w:r>
        <w:rPr>
          <w:rFonts w:eastAsia="仿宋_GB2312"/>
          <w:szCs w:val="32"/>
        </w:rPr>
        <w:t>国家食品药品监督管理总局公告</w:t>
      </w:r>
      <w:r>
        <w:rPr>
          <w:rFonts w:eastAsia="仿宋_GB2312"/>
          <w:szCs w:val="32"/>
        </w:rPr>
        <w:t>2017</w:t>
      </w:r>
      <w:r>
        <w:rPr>
          <w:rFonts w:eastAsia="仿宋_GB2312"/>
          <w:szCs w:val="32"/>
        </w:rPr>
        <w:t>年第</w:t>
      </w:r>
      <w:r>
        <w:rPr>
          <w:rFonts w:eastAsia="仿宋_GB2312"/>
          <w:szCs w:val="32"/>
        </w:rPr>
        <w:t>104</w:t>
      </w:r>
      <w:r>
        <w:rPr>
          <w:rFonts w:eastAsia="仿宋_GB2312"/>
          <w:szCs w:val="32"/>
        </w:rPr>
        <w:t>号</w:t>
      </w:r>
      <w:r>
        <w:rPr>
          <w:rFonts w:eastAsia="仿宋_GB2312"/>
          <w:szCs w:val="32"/>
        </w:rPr>
        <w:t>[Z].</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[7]</w:t>
      </w:r>
      <w:r>
        <w:rPr>
          <w:rFonts w:eastAsia="仿宋_GB2312"/>
          <w:szCs w:val="32"/>
        </w:rPr>
        <w:t>国家食品药品监督管理局</w:t>
      </w:r>
      <w:r>
        <w:rPr>
          <w:rFonts w:eastAsia="仿宋_GB2312"/>
          <w:szCs w:val="32"/>
        </w:rPr>
        <w:t>.</w:t>
      </w:r>
      <w:r>
        <w:rPr>
          <w:rFonts w:eastAsia="仿宋_GB2312"/>
          <w:szCs w:val="32"/>
        </w:rPr>
        <w:t>医疗器械注册单元划分指导原则</w:t>
      </w:r>
      <w:r>
        <w:rPr>
          <w:rFonts w:eastAsia="仿宋_GB2312"/>
          <w:szCs w:val="32"/>
        </w:rPr>
        <w:t>:</w:t>
      </w:r>
      <w:r>
        <w:rPr>
          <w:rFonts w:eastAsia="仿宋_GB2312"/>
          <w:szCs w:val="32"/>
        </w:rPr>
        <w:t>总局通告</w:t>
      </w:r>
      <w:r>
        <w:rPr>
          <w:rFonts w:eastAsia="仿宋_GB2312"/>
          <w:szCs w:val="32"/>
        </w:rPr>
        <w:t>2017</w:t>
      </w:r>
      <w:r>
        <w:rPr>
          <w:rFonts w:eastAsia="仿宋_GB2312"/>
          <w:szCs w:val="32"/>
        </w:rPr>
        <w:t>年第</w:t>
      </w:r>
      <w:r>
        <w:rPr>
          <w:rFonts w:eastAsia="仿宋_GB2312"/>
          <w:szCs w:val="32"/>
        </w:rPr>
        <w:t>187</w:t>
      </w:r>
      <w:r>
        <w:rPr>
          <w:rFonts w:eastAsia="仿宋_GB2312"/>
          <w:szCs w:val="32"/>
        </w:rPr>
        <w:t>号</w:t>
      </w:r>
      <w:r>
        <w:rPr>
          <w:rFonts w:eastAsia="仿宋_GB2312"/>
          <w:szCs w:val="32"/>
        </w:rPr>
        <w:t>[Z].</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[8]</w:t>
      </w:r>
      <w:r>
        <w:rPr>
          <w:rFonts w:eastAsia="仿宋_GB2312"/>
          <w:szCs w:val="32"/>
        </w:rPr>
        <w:t>国家药品监督管理局</w:t>
      </w:r>
      <w:r>
        <w:rPr>
          <w:rFonts w:eastAsia="仿宋_GB2312"/>
          <w:szCs w:val="32"/>
        </w:rPr>
        <w:t>.</w:t>
      </w:r>
      <w:r>
        <w:rPr>
          <w:rFonts w:eastAsia="仿宋_GB2312"/>
          <w:szCs w:val="32"/>
        </w:rPr>
        <w:t>医疗器械临床评价技术指导原则</w:t>
      </w:r>
      <w:r>
        <w:rPr>
          <w:rFonts w:eastAsia="仿宋_GB2312"/>
          <w:szCs w:val="32"/>
        </w:rPr>
        <w:t>:</w:t>
      </w:r>
      <w:r>
        <w:rPr>
          <w:rFonts w:eastAsia="仿宋_GB2312"/>
          <w:szCs w:val="32"/>
        </w:rPr>
        <w:t>国家药监局关于发布医疗器械临床评价技术指导原则等</w:t>
      </w:r>
      <w:r>
        <w:rPr>
          <w:rFonts w:eastAsia="仿宋_GB2312"/>
          <w:szCs w:val="32"/>
        </w:rPr>
        <w:t>5</w:t>
      </w:r>
      <w:r>
        <w:rPr>
          <w:rFonts w:eastAsia="仿宋_GB2312"/>
          <w:szCs w:val="32"/>
        </w:rPr>
        <w:t>项技术指导原则的通告</w:t>
      </w:r>
      <w:r>
        <w:rPr>
          <w:rFonts w:eastAsia="仿宋_GB2312"/>
          <w:szCs w:val="32"/>
        </w:rPr>
        <w:t>2021</w:t>
      </w:r>
      <w:r>
        <w:rPr>
          <w:rFonts w:eastAsia="仿宋_GB2312"/>
          <w:szCs w:val="32"/>
        </w:rPr>
        <w:t>年第</w:t>
      </w:r>
      <w:r>
        <w:rPr>
          <w:rFonts w:eastAsia="仿宋_GB2312"/>
          <w:szCs w:val="32"/>
        </w:rPr>
        <w:t>73</w:t>
      </w:r>
      <w:r>
        <w:rPr>
          <w:rFonts w:eastAsia="仿宋_GB2312"/>
          <w:szCs w:val="32"/>
        </w:rPr>
        <w:t>号</w:t>
      </w:r>
      <w:r>
        <w:rPr>
          <w:rFonts w:eastAsia="仿宋_GB2312"/>
          <w:szCs w:val="32"/>
        </w:rPr>
        <w:t>[Z].</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[9]</w:t>
      </w:r>
      <w:r>
        <w:rPr>
          <w:rFonts w:eastAsia="仿宋_GB2312"/>
          <w:szCs w:val="32"/>
        </w:rPr>
        <w:t>国家药品监督管理局</w:t>
      </w:r>
      <w:r>
        <w:rPr>
          <w:rFonts w:eastAsia="仿宋_GB2312"/>
          <w:szCs w:val="32"/>
        </w:rPr>
        <w:t>.</w:t>
      </w:r>
      <w:r>
        <w:rPr>
          <w:rFonts w:eastAsia="仿宋_GB2312"/>
          <w:szCs w:val="32"/>
        </w:rPr>
        <w:t>医疗器械可用性工程注册审查指导原则</w:t>
      </w:r>
      <w:r>
        <w:rPr>
          <w:rFonts w:eastAsia="仿宋_GB2312"/>
          <w:szCs w:val="32"/>
        </w:rPr>
        <w:t>:</w:t>
      </w:r>
      <w:r>
        <w:rPr>
          <w:rFonts w:eastAsia="仿宋_GB2312"/>
          <w:szCs w:val="32"/>
        </w:rPr>
        <w:t>国家药监局器审中心关于发布医疗器械可用性工程注册审查指导原则的通告（</w:t>
      </w:r>
      <w:r>
        <w:rPr>
          <w:rFonts w:eastAsia="仿宋_GB2312"/>
          <w:szCs w:val="32"/>
        </w:rPr>
        <w:t>2024</w:t>
      </w:r>
      <w:r>
        <w:rPr>
          <w:rFonts w:eastAsia="仿宋_GB2312"/>
          <w:szCs w:val="32"/>
        </w:rPr>
        <w:t>年第</w:t>
      </w:r>
      <w:r>
        <w:rPr>
          <w:rFonts w:eastAsia="仿宋_GB2312"/>
          <w:szCs w:val="32"/>
        </w:rPr>
        <w:t>13</w:t>
      </w:r>
      <w:r>
        <w:rPr>
          <w:rFonts w:eastAsia="仿宋_GB2312"/>
          <w:szCs w:val="32"/>
        </w:rPr>
        <w:t>号）</w:t>
      </w:r>
      <w:r>
        <w:rPr>
          <w:rFonts w:eastAsia="仿宋_GB2312"/>
          <w:szCs w:val="32"/>
        </w:rPr>
        <w:t>[Z].</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[10]GB/T 16886.1,</w:t>
      </w:r>
      <w:r>
        <w:rPr>
          <w:rFonts w:eastAsia="仿宋_GB2312"/>
          <w:szCs w:val="32"/>
        </w:rPr>
        <w:t>医疗器械生物学评价第</w:t>
      </w:r>
      <w:r>
        <w:rPr>
          <w:rFonts w:eastAsia="仿宋_GB2312"/>
          <w:szCs w:val="32"/>
        </w:rPr>
        <w:t>1</w:t>
      </w:r>
      <w:r>
        <w:rPr>
          <w:rFonts w:eastAsia="仿宋_GB2312"/>
          <w:szCs w:val="32"/>
        </w:rPr>
        <w:t>部分：风险管理过程中的评价与试验</w:t>
      </w:r>
      <w:r>
        <w:rPr>
          <w:rFonts w:eastAsia="仿宋_GB2312"/>
          <w:szCs w:val="32"/>
        </w:rPr>
        <w:t>[S].</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[11]GB/T 42062,</w:t>
      </w:r>
      <w:r>
        <w:rPr>
          <w:rFonts w:eastAsia="仿宋_GB2312"/>
          <w:szCs w:val="32"/>
        </w:rPr>
        <w:t>医疗器械风险管理对医疗器械的应用</w:t>
      </w:r>
      <w:r>
        <w:rPr>
          <w:rFonts w:eastAsia="仿宋_GB2312"/>
          <w:szCs w:val="32"/>
        </w:rPr>
        <w:t>[S].</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[12]GB 18278.1,</w:t>
      </w:r>
      <w:r>
        <w:rPr>
          <w:rFonts w:eastAsia="仿宋_GB2312"/>
          <w:szCs w:val="32"/>
        </w:rPr>
        <w:t>医疗保健产品灭菌</w:t>
      </w:r>
      <w:r>
        <w:rPr>
          <w:rFonts w:eastAsia="仿宋_GB2312"/>
          <w:szCs w:val="32"/>
        </w:rPr>
        <w:t xml:space="preserve"> </w:t>
      </w:r>
      <w:r>
        <w:rPr>
          <w:rFonts w:eastAsia="仿宋_GB2312"/>
          <w:szCs w:val="32"/>
        </w:rPr>
        <w:t>湿热</w:t>
      </w:r>
      <w:r>
        <w:rPr>
          <w:rFonts w:eastAsia="仿宋_GB2312"/>
          <w:szCs w:val="32"/>
        </w:rPr>
        <w:t xml:space="preserve"> </w:t>
      </w:r>
      <w:r>
        <w:rPr>
          <w:rFonts w:eastAsia="仿宋_GB2312"/>
          <w:szCs w:val="32"/>
        </w:rPr>
        <w:t>第</w:t>
      </w:r>
      <w:r>
        <w:rPr>
          <w:rFonts w:eastAsia="仿宋_GB2312"/>
          <w:szCs w:val="32"/>
        </w:rPr>
        <w:t>1</w:t>
      </w:r>
      <w:r>
        <w:rPr>
          <w:rFonts w:eastAsia="仿宋_GB2312"/>
          <w:szCs w:val="32"/>
        </w:rPr>
        <w:t>部分：医疗器械灭菌过程的开发、确认和常规控制要求</w:t>
      </w:r>
      <w:r>
        <w:rPr>
          <w:rFonts w:eastAsia="仿宋_GB2312"/>
          <w:szCs w:val="32"/>
        </w:rPr>
        <w:t>[S].</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[13]GB 18279.1,</w:t>
      </w:r>
      <w:r>
        <w:rPr>
          <w:rFonts w:eastAsia="仿宋_GB2312"/>
          <w:szCs w:val="32"/>
        </w:rPr>
        <w:t>医疗保健产品灭菌</w:t>
      </w:r>
      <w:r>
        <w:rPr>
          <w:rFonts w:eastAsia="仿宋_GB2312"/>
          <w:szCs w:val="32"/>
        </w:rPr>
        <w:t xml:space="preserve"> </w:t>
      </w:r>
      <w:r>
        <w:rPr>
          <w:rFonts w:eastAsia="仿宋_GB2312"/>
          <w:szCs w:val="32"/>
        </w:rPr>
        <w:t>环氧乙烷</w:t>
      </w:r>
      <w:r>
        <w:rPr>
          <w:rFonts w:eastAsia="仿宋_GB2312"/>
          <w:szCs w:val="32"/>
        </w:rPr>
        <w:t xml:space="preserve"> </w:t>
      </w:r>
      <w:r>
        <w:rPr>
          <w:rFonts w:eastAsia="仿宋_GB2312"/>
          <w:szCs w:val="32"/>
        </w:rPr>
        <w:t>第</w:t>
      </w:r>
      <w:r>
        <w:rPr>
          <w:rFonts w:eastAsia="仿宋_GB2312"/>
          <w:szCs w:val="32"/>
        </w:rPr>
        <w:t>1</w:t>
      </w:r>
      <w:r>
        <w:rPr>
          <w:rFonts w:eastAsia="仿宋_GB2312"/>
          <w:szCs w:val="32"/>
        </w:rPr>
        <w:t>部分：医疗器械灭菌过程的开发、确认和常规控制的要求</w:t>
      </w:r>
      <w:r>
        <w:rPr>
          <w:rFonts w:eastAsia="仿宋_GB2312"/>
          <w:szCs w:val="32"/>
        </w:rPr>
        <w:t>[S].</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[14]GB/T 18279.2,</w:t>
      </w:r>
      <w:r>
        <w:rPr>
          <w:rFonts w:eastAsia="仿宋_GB2312"/>
          <w:szCs w:val="32"/>
        </w:rPr>
        <w:t>医疗保健产品的灭菌</w:t>
      </w:r>
      <w:r>
        <w:rPr>
          <w:rFonts w:eastAsia="仿宋_GB2312"/>
          <w:szCs w:val="32"/>
        </w:rPr>
        <w:t xml:space="preserve"> </w:t>
      </w:r>
      <w:r>
        <w:rPr>
          <w:rFonts w:eastAsia="仿宋_GB2312"/>
          <w:szCs w:val="32"/>
        </w:rPr>
        <w:t>环氧乙烷</w:t>
      </w:r>
      <w:r>
        <w:rPr>
          <w:rFonts w:eastAsia="仿宋_GB2312"/>
          <w:szCs w:val="32"/>
        </w:rPr>
        <w:t xml:space="preserve"> </w:t>
      </w:r>
      <w:r>
        <w:rPr>
          <w:rFonts w:eastAsia="仿宋_GB2312"/>
          <w:szCs w:val="32"/>
        </w:rPr>
        <w:t>第</w:t>
      </w:r>
      <w:r>
        <w:rPr>
          <w:rFonts w:eastAsia="仿宋_GB2312"/>
          <w:szCs w:val="32"/>
        </w:rPr>
        <w:t>2</w:t>
      </w:r>
      <w:r>
        <w:rPr>
          <w:rFonts w:eastAsia="仿宋_GB2312"/>
          <w:szCs w:val="32"/>
        </w:rPr>
        <w:t>部分：</w:t>
      </w:r>
      <w:r>
        <w:rPr>
          <w:rFonts w:eastAsia="仿宋_GB2312"/>
          <w:szCs w:val="32"/>
        </w:rPr>
        <w:t>GB 18279.1</w:t>
      </w:r>
      <w:r>
        <w:rPr>
          <w:rFonts w:eastAsia="仿宋_GB2312"/>
          <w:szCs w:val="32"/>
        </w:rPr>
        <w:t>应用指南</w:t>
      </w:r>
      <w:r>
        <w:rPr>
          <w:rFonts w:eastAsia="仿宋_GB2312"/>
          <w:szCs w:val="32"/>
        </w:rPr>
        <w:t>[S].</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[15]GB 18280.1,</w:t>
      </w:r>
      <w:r>
        <w:rPr>
          <w:rFonts w:eastAsia="仿宋_GB2312"/>
          <w:szCs w:val="32"/>
        </w:rPr>
        <w:t>医疗保健产品灭菌</w:t>
      </w:r>
      <w:r>
        <w:rPr>
          <w:rFonts w:eastAsia="仿宋_GB2312"/>
          <w:szCs w:val="32"/>
        </w:rPr>
        <w:t xml:space="preserve"> </w:t>
      </w:r>
      <w:r>
        <w:rPr>
          <w:rFonts w:eastAsia="仿宋_GB2312"/>
          <w:szCs w:val="32"/>
        </w:rPr>
        <w:t>辐射</w:t>
      </w:r>
      <w:r>
        <w:rPr>
          <w:rFonts w:eastAsia="仿宋_GB2312"/>
          <w:szCs w:val="32"/>
        </w:rPr>
        <w:t xml:space="preserve"> </w:t>
      </w:r>
      <w:r>
        <w:rPr>
          <w:rFonts w:eastAsia="仿宋_GB2312"/>
          <w:szCs w:val="32"/>
        </w:rPr>
        <w:t>第</w:t>
      </w:r>
      <w:r>
        <w:rPr>
          <w:rFonts w:eastAsia="仿宋_GB2312"/>
          <w:szCs w:val="32"/>
        </w:rPr>
        <w:t>1</w:t>
      </w:r>
      <w:r>
        <w:rPr>
          <w:rFonts w:eastAsia="仿宋_GB2312"/>
          <w:szCs w:val="32"/>
        </w:rPr>
        <w:t>部分：医疗器械灭菌过程的开发、确认和常规控制要求</w:t>
      </w:r>
      <w:r>
        <w:rPr>
          <w:rFonts w:eastAsia="仿宋_GB2312"/>
          <w:szCs w:val="32"/>
        </w:rPr>
        <w:t>[S].</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[16]GB 18280.2,</w:t>
      </w:r>
      <w:r>
        <w:rPr>
          <w:rFonts w:eastAsia="仿宋_GB2312"/>
          <w:szCs w:val="32"/>
        </w:rPr>
        <w:t>医疗保健产品灭菌</w:t>
      </w:r>
      <w:r>
        <w:rPr>
          <w:rFonts w:eastAsia="仿宋_GB2312"/>
          <w:szCs w:val="32"/>
        </w:rPr>
        <w:t xml:space="preserve"> </w:t>
      </w:r>
      <w:r>
        <w:rPr>
          <w:rFonts w:eastAsia="仿宋_GB2312"/>
          <w:szCs w:val="32"/>
        </w:rPr>
        <w:t>辐射</w:t>
      </w:r>
      <w:r>
        <w:rPr>
          <w:rFonts w:eastAsia="仿宋_GB2312"/>
          <w:szCs w:val="32"/>
        </w:rPr>
        <w:t xml:space="preserve"> </w:t>
      </w:r>
      <w:r>
        <w:rPr>
          <w:rFonts w:eastAsia="仿宋_GB2312"/>
          <w:szCs w:val="32"/>
        </w:rPr>
        <w:t>第</w:t>
      </w:r>
      <w:r>
        <w:rPr>
          <w:rFonts w:eastAsia="仿宋_GB2312"/>
          <w:szCs w:val="32"/>
        </w:rPr>
        <w:t>2</w:t>
      </w:r>
      <w:r>
        <w:rPr>
          <w:rFonts w:eastAsia="仿宋_GB2312"/>
          <w:szCs w:val="32"/>
        </w:rPr>
        <w:t>部分：建立灭菌剂量</w:t>
      </w:r>
      <w:r>
        <w:rPr>
          <w:rFonts w:eastAsia="仿宋_GB2312"/>
          <w:szCs w:val="32"/>
        </w:rPr>
        <w:t>[S].</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[17]GB</w:t>
      </w:r>
      <w:r>
        <w:rPr>
          <w:rFonts w:eastAsia="仿宋_GB2312" w:hint="eastAsia"/>
          <w:szCs w:val="32"/>
        </w:rPr>
        <w:t>/T</w:t>
      </w:r>
      <w:r>
        <w:rPr>
          <w:rFonts w:eastAsia="仿宋_GB2312"/>
          <w:szCs w:val="32"/>
        </w:rPr>
        <w:t xml:space="preserve"> 18280.3,</w:t>
      </w:r>
      <w:r>
        <w:rPr>
          <w:rFonts w:eastAsia="仿宋_GB2312"/>
          <w:szCs w:val="32"/>
        </w:rPr>
        <w:t>医疗保健产品灭菌</w:t>
      </w:r>
      <w:r>
        <w:rPr>
          <w:rFonts w:eastAsia="仿宋_GB2312"/>
          <w:szCs w:val="32"/>
        </w:rPr>
        <w:t xml:space="preserve"> </w:t>
      </w:r>
      <w:r>
        <w:rPr>
          <w:rFonts w:eastAsia="仿宋_GB2312"/>
          <w:szCs w:val="32"/>
        </w:rPr>
        <w:t>辐射</w:t>
      </w:r>
      <w:r>
        <w:rPr>
          <w:rFonts w:eastAsia="仿宋_GB2312"/>
          <w:szCs w:val="32"/>
        </w:rPr>
        <w:t xml:space="preserve"> </w:t>
      </w:r>
      <w:r>
        <w:rPr>
          <w:rFonts w:eastAsia="仿宋_GB2312"/>
          <w:szCs w:val="32"/>
        </w:rPr>
        <w:t>第</w:t>
      </w:r>
      <w:r>
        <w:rPr>
          <w:rFonts w:eastAsia="仿宋_GB2312"/>
          <w:szCs w:val="32"/>
        </w:rPr>
        <w:t>3</w:t>
      </w:r>
      <w:r>
        <w:rPr>
          <w:rFonts w:eastAsia="仿宋_GB2312"/>
          <w:szCs w:val="32"/>
        </w:rPr>
        <w:t>部分：剂量测量指南</w:t>
      </w:r>
      <w:r>
        <w:rPr>
          <w:rFonts w:eastAsia="仿宋_GB2312"/>
          <w:szCs w:val="32"/>
        </w:rPr>
        <w:t>[S].</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[18]GB/T 19633,</w:t>
      </w:r>
      <w:r>
        <w:rPr>
          <w:rFonts w:eastAsia="仿宋_GB2312"/>
          <w:szCs w:val="32"/>
        </w:rPr>
        <w:t>最终灭菌医疗器械的包装</w:t>
      </w:r>
      <w:r>
        <w:rPr>
          <w:rFonts w:eastAsia="仿宋_GB2312"/>
          <w:szCs w:val="32"/>
        </w:rPr>
        <w:t>[S].</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 xml:space="preserve">[19]YY/T 0681, </w:t>
      </w:r>
      <w:r>
        <w:rPr>
          <w:rFonts w:eastAsia="仿宋_GB2312"/>
          <w:szCs w:val="32"/>
        </w:rPr>
        <w:t>无菌医疗器械包装试验方法</w:t>
      </w:r>
      <w:r>
        <w:rPr>
          <w:rFonts w:eastAsia="仿宋_GB2312"/>
          <w:szCs w:val="32"/>
        </w:rPr>
        <w:t>[S].</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[20]YY/T 0466.1,</w:t>
      </w:r>
      <w:r>
        <w:rPr>
          <w:rFonts w:eastAsia="仿宋_GB2312"/>
          <w:szCs w:val="32"/>
        </w:rPr>
        <w:t>医疗器械用于医疗器械标签、标记和提供信息的符号第</w:t>
      </w:r>
      <w:r>
        <w:rPr>
          <w:rFonts w:eastAsia="仿宋_GB2312"/>
          <w:szCs w:val="32"/>
        </w:rPr>
        <w:t>1</w:t>
      </w:r>
      <w:r>
        <w:rPr>
          <w:rFonts w:eastAsia="仿宋_GB2312"/>
          <w:szCs w:val="32"/>
        </w:rPr>
        <w:t>部分：通用要求</w:t>
      </w:r>
      <w:r>
        <w:rPr>
          <w:rFonts w:eastAsia="仿宋_GB2312"/>
          <w:szCs w:val="32"/>
        </w:rPr>
        <w:t>[S].</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[21]YY/T 0466.2,</w:t>
      </w:r>
      <w:r>
        <w:rPr>
          <w:rFonts w:eastAsia="仿宋_GB2312"/>
          <w:szCs w:val="32"/>
        </w:rPr>
        <w:t>医疗器械用于医疗器械标签、标记和提供信息的符号第</w:t>
      </w:r>
      <w:r>
        <w:rPr>
          <w:rFonts w:eastAsia="仿宋_GB2312"/>
          <w:szCs w:val="32"/>
        </w:rPr>
        <w:t>2</w:t>
      </w:r>
      <w:r>
        <w:rPr>
          <w:rFonts w:eastAsia="仿宋_GB2312"/>
          <w:szCs w:val="32"/>
        </w:rPr>
        <w:t>部分：符号的制订、选择和确认</w:t>
      </w:r>
      <w:r>
        <w:rPr>
          <w:rFonts w:eastAsia="仿宋_GB2312"/>
          <w:szCs w:val="32"/>
        </w:rPr>
        <w:t>[S].</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[22]ASTM F1980,</w:t>
      </w:r>
      <w:r>
        <w:rPr>
          <w:rFonts w:eastAsia="仿宋_GB2312"/>
          <w:szCs w:val="32"/>
        </w:rPr>
        <w:t>医疗器械无菌屏障系统加速老化的标准指南</w:t>
      </w:r>
      <w:r>
        <w:rPr>
          <w:rFonts w:eastAsia="仿宋_GB2312"/>
          <w:szCs w:val="32"/>
        </w:rPr>
        <w:t>[S].</w:t>
      </w:r>
    </w:p>
    <w:p w:rsidR="000A5BAB" w:rsidRDefault="00335140">
      <w:pPr>
        <w:adjustRightInd w:val="0"/>
        <w:snapToGrid w:val="0"/>
        <w:spacing w:line="520" w:lineRule="exact"/>
        <w:ind w:firstLineChars="200" w:firstLine="640"/>
        <w:rPr>
          <w:rFonts w:eastAsia="仿宋_GB2312"/>
          <w:szCs w:val="32"/>
        </w:rPr>
      </w:pPr>
      <w:r>
        <w:rPr>
          <w:rFonts w:eastAsia="仿宋_GB2312"/>
          <w:szCs w:val="32"/>
        </w:rPr>
        <w:t>[23]ISO 11607</w:t>
      </w:r>
      <w:r>
        <w:rPr>
          <w:rFonts w:eastAsia="仿宋_GB2312"/>
          <w:szCs w:val="32"/>
        </w:rPr>
        <w:t>，最终灭菌医疗器械的包装</w:t>
      </w:r>
      <w:r>
        <w:rPr>
          <w:rFonts w:eastAsia="仿宋_GB2312"/>
          <w:szCs w:val="32"/>
        </w:rPr>
        <w:t>[S].</w:t>
      </w:r>
    </w:p>
    <w:p w:rsidR="000A5BAB" w:rsidRDefault="00335140">
      <w:pPr>
        <w:adjustRightInd w:val="0"/>
        <w:snapToGrid w:val="0"/>
        <w:spacing w:line="520" w:lineRule="exact"/>
        <w:ind w:firstLineChars="200" w:firstLine="640"/>
        <w:rPr>
          <w:rFonts w:eastAsia="仿宋_GB2312"/>
          <w:color w:val="000000"/>
          <w:szCs w:val="32"/>
        </w:rPr>
      </w:pPr>
      <w:r>
        <w:rPr>
          <w:rFonts w:eastAsia="仿宋_GB2312"/>
          <w:szCs w:val="32"/>
        </w:rPr>
        <w:t>[24] ASTM D4169</w:t>
      </w:r>
      <w:r>
        <w:rPr>
          <w:rFonts w:eastAsia="仿宋_GB2312"/>
          <w:szCs w:val="32"/>
        </w:rPr>
        <w:t>，包装检测</w:t>
      </w:r>
      <w:r>
        <w:rPr>
          <w:rFonts w:eastAsia="仿宋_GB2312"/>
          <w:szCs w:val="32"/>
        </w:rPr>
        <w:t>[S].</w:t>
      </w:r>
    </w:p>
    <w:p w:rsidR="000A5BAB" w:rsidRDefault="00335140">
      <w:pPr>
        <w:adjustRightInd w:val="0"/>
        <w:snapToGrid w:val="0"/>
        <w:spacing w:line="520" w:lineRule="exact"/>
        <w:ind w:firstLineChars="200" w:firstLine="640"/>
        <w:rPr>
          <w:rFonts w:eastAsia="仿宋_GB2312"/>
          <w:szCs w:val="32"/>
        </w:rPr>
      </w:pPr>
      <w:r>
        <w:rPr>
          <w:rFonts w:eastAsia="仿宋_GB2312"/>
          <w:color w:val="000000"/>
          <w:szCs w:val="32"/>
        </w:rPr>
        <w:t>[</w:t>
      </w:r>
      <w:r>
        <w:rPr>
          <w:rFonts w:eastAsia="仿宋_GB2312" w:hint="eastAsia"/>
          <w:color w:val="000000"/>
          <w:szCs w:val="32"/>
        </w:rPr>
        <w:t>25</w:t>
      </w:r>
      <w:r>
        <w:rPr>
          <w:rFonts w:eastAsia="仿宋_GB2312"/>
          <w:color w:val="000000"/>
          <w:szCs w:val="32"/>
        </w:rPr>
        <w:t>]</w:t>
      </w:r>
      <w:r>
        <w:rPr>
          <w:rFonts w:eastAsia="仿宋_GB2312"/>
          <w:szCs w:val="32"/>
        </w:rPr>
        <w:t>YY/T</w:t>
      </w:r>
      <w:r>
        <w:rPr>
          <w:rFonts w:eastAsia="仿宋_GB2312" w:hint="eastAsia"/>
          <w:szCs w:val="32"/>
        </w:rPr>
        <w:t xml:space="preserve"> 1470</w:t>
      </w:r>
      <w:r>
        <w:rPr>
          <w:rFonts w:eastAsia="仿宋_GB2312"/>
          <w:szCs w:val="32"/>
        </w:rPr>
        <w:t>-20</w:t>
      </w:r>
      <w:r>
        <w:rPr>
          <w:rFonts w:eastAsia="仿宋_GB2312" w:hint="eastAsia"/>
          <w:szCs w:val="32"/>
        </w:rPr>
        <w:t>16</w:t>
      </w:r>
      <w:r>
        <w:rPr>
          <w:rFonts w:eastAsia="仿宋_GB2312"/>
          <w:szCs w:val="32"/>
        </w:rPr>
        <w:t>一次性使用脐带剪（切）断器</w:t>
      </w:r>
      <w:r>
        <w:rPr>
          <w:rFonts w:eastAsia="仿宋_GB2312"/>
          <w:szCs w:val="32"/>
        </w:rPr>
        <w:t>[S].</w:t>
      </w:r>
    </w:p>
    <w:p w:rsidR="000A5BAB" w:rsidRDefault="000A5BAB">
      <w:pPr>
        <w:adjustRightInd w:val="0"/>
        <w:snapToGrid w:val="0"/>
        <w:spacing w:line="520" w:lineRule="exact"/>
        <w:ind w:firstLineChars="200" w:firstLine="640"/>
        <w:rPr>
          <w:rFonts w:eastAsia="仿宋_GB2312"/>
          <w:color w:val="000000"/>
          <w:szCs w:val="32"/>
        </w:rPr>
      </w:pPr>
    </w:p>
    <w:p w:rsidR="000A5BAB" w:rsidRDefault="000A5BAB">
      <w:pPr>
        <w:spacing w:line="520" w:lineRule="exact"/>
        <w:ind w:firstLine="200"/>
        <w:rPr>
          <w:rFonts w:eastAsia="仿宋_GB2312"/>
          <w:color w:val="000000"/>
          <w:szCs w:val="32"/>
        </w:rPr>
      </w:pPr>
    </w:p>
    <w:p w:rsidR="000A5BAB" w:rsidRDefault="00335140">
      <w:pPr>
        <w:spacing w:line="520" w:lineRule="exact"/>
        <w:ind w:firstLineChars="200" w:firstLine="640"/>
        <w:rPr>
          <w:rFonts w:eastAsia="黑体"/>
          <w:bCs/>
          <w:szCs w:val="32"/>
        </w:rPr>
      </w:pPr>
      <w:r>
        <w:rPr>
          <w:rFonts w:eastAsia="黑体"/>
          <w:bCs/>
          <w:szCs w:val="32"/>
        </w:rPr>
        <w:br w:type="page"/>
      </w:r>
    </w:p>
    <w:p w:rsidR="000A5BAB" w:rsidRDefault="00335140">
      <w:pPr>
        <w:widowControl/>
        <w:spacing w:line="520" w:lineRule="exact"/>
        <w:rPr>
          <w:rFonts w:eastAsia="黑体"/>
          <w:bCs/>
          <w:szCs w:val="32"/>
        </w:rPr>
      </w:pPr>
      <w:r>
        <w:rPr>
          <w:rFonts w:eastAsia="黑体"/>
          <w:bCs/>
          <w:szCs w:val="32"/>
        </w:rPr>
        <w:t>附</w:t>
      </w:r>
      <w:r>
        <w:rPr>
          <w:rFonts w:eastAsia="黑体" w:hint="eastAsia"/>
          <w:bCs/>
          <w:szCs w:val="32"/>
        </w:rPr>
        <w:t>件</w:t>
      </w:r>
    </w:p>
    <w:p w:rsidR="000A5BAB" w:rsidRDefault="000A5BAB">
      <w:pPr>
        <w:widowControl/>
        <w:spacing w:line="520" w:lineRule="exact"/>
        <w:rPr>
          <w:rFonts w:eastAsia="黑体"/>
          <w:b/>
          <w:szCs w:val="32"/>
        </w:rPr>
      </w:pPr>
    </w:p>
    <w:p w:rsidR="000A5BAB" w:rsidRDefault="00335140">
      <w:pPr>
        <w:spacing w:line="520" w:lineRule="exact"/>
        <w:ind w:rightChars="-32" w:right="-102"/>
        <w:jc w:val="center"/>
        <w:rPr>
          <w:rFonts w:ascii="黑体" w:eastAsia="黑体" w:hAnsi="黑体" w:cs="黑体"/>
          <w:color w:val="000000"/>
          <w:sz w:val="28"/>
          <w:szCs w:val="28"/>
        </w:rPr>
      </w:pPr>
      <w:r>
        <w:rPr>
          <w:rFonts w:ascii="黑体" w:eastAsia="黑体" w:hAnsi="黑体" w:cs="黑体" w:hint="eastAsia"/>
          <w:color w:val="000000"/>
          <w:sz w:val="28"/>
          <w:szCs w:val="28"/>
        </w:rPr>
        <w:t>产品的主要危险（举例）</w:t>
      </w:r>
    </w:p>
    <w:p w:rsidR="000A5BAB" w:rsidRDefault="000A5BAB">
      <w:pPr>
        <w:spacing w:line="520" w:lineRule="exact"/>
        <w:ind w:rightChars="-32" w:right="-102"/>
        <w:jc w:val="center"/>
        <w:rPr>
          <w:rFonts w:eastAsia="微软雅黑"/>
          <w:color w:val="000000"/>
          <w:sz w:val="44"/>
        </w:rPr>
      </w:pPr>
    </w:p>
    <w:tbl>
      <w:tblPr>
        <w:tblW w:w="8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693"/>
        <w:gridCol w:w="3242"/>
        <w:gridCol w:w="3132"/>
      </w:tblGrid>
      <w:tr w:rsidR="000A5BAB">
        <w:trPr>
          <w:cantSplit/>
          <w:trHeight w:val="648"/>
          <w:tblHeader/>
        </w:trPr>
        <w:tc>
          <w:tcPr>
            <w:tcW w:w="2505" w:type="dxa"/>
            <w:gridSpan w:val="2"/>
            <w:noWrap/>
            <w:vAlign w:val="center"/>
          </w:tcPr>
          <w:p w:rsidR="000A5BAB" w:rsidRDefault="00335140">
            <w:pPr>
              <w:spacing w:line="400" w:lineRule="exact"/>
              <w:jc w:val="center"/>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危险的分类</w:t>
            </w:r>
          </w:p>
        </w:tc>
        <w:tc>
          <w:tcPr>
            <w:tcW w:w="3242" w:type="dxa"/>
            <w:noWrap/>
            <w:vAlign w:val="center"/>
          </w:tcPr>
          <w:p w:rsidR="000A5BAB" w:rsidRDefault="00335140">
            <w:pPr>
              <w:spacing w:line="400" w:lineRule="exact"/>
              <w:jc w:val="center"/>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危险的形成因素</w:t>
            </w:r>
          </w:p>
        </w:tc>
        <w:tc>
          <w:tcPr>
            <w:tcW w:w="3132" w:type="dxa"/>
            <w:noWrap/>
            <w:vAlign w:val="center"/>
          </w:tcPr>
          <w:p w:rsidR="000A5BAB" w:rsidRDefault="00335140">
            <w:pPr>
              <w:spacing w:line="400" w:lineRule="exact"/>
              <w:jc w:val="center"/>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可能的后果</w:t>
            </w:r>
          </w:p>
        </w:tc>
      </w:tr>
      <w:tr w:rsidR="000A5BAB">
        <w:trPr>
          <w:cantSplit/>
          <w:trHeight w:val="5278"/>
        </w:trPr>
        <w:tc>
          <w:tcPr>
            <w:tcW w:w="812" w:type="dxa"/>
            <w:vMerge w:val="restart"/>
            <w:noWrap/>
            <w:vAlign w:val="center"/>
          </w:tcPr>
          <w:p w:rsidR="000A5BAB" w:rsidRDefault="00335140">
            <w:pPr>
              <w:spacing w:line="400" w:lineRule="exact"/>
              <w:jc w:val="center"/>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生物和化学危险</w:t>
            </w:r>
          </w:p>
          <w:p w:rsidR="000A5BAB" w:rsidRDefault="000A5BAB">
            <w:pPr>
              <w:spacing w:line="400" w:lineRule="exact"/>
              <w:rPr>
                <w:rFonts w:ascii="方正仿宋_GB2312" w:eastAsia="方正仿宋_GB2312" w:hAnsi="方正仿宋_GB2312" w:cs="方正仿宋_GB2312"/>
                <w:sz w:val="28"/>
                <w:szCs w:val="28"/>
              </w:rPr>
            </w:pPr>
          </w:p>
        </w:tc>
        <w:tc>
          <w:tcPr>
            <w:tcW w:w="1693" w:type="dxa"/>
            <w:noWrap/>
            <w:vAlign w:val="center"/>
          </w:tcPr>
          <w:p w:rsidR="000A5BAB" w:rsidRDefault="00335140">
            <w:pPr>
              <w:spacing w:line="400" w:lineRule="exact"/>
              <w:jc w:val="lef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生物污染</w:t>
            </w:r>
          </w:p>
        </w:tc>
        <w:tc>
          <w:tcPr>
            <w:tcW w:w="324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生产环境控制不好；</w:t>
            </w:r>
          </w:p>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灭菌未确认或灭菌操作不严格；</w:t>
            </w:r>
          </w:p>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超过有效期使用；</w:t>
            </w:r>
          </w:p>
          <w:p w:rsidR="000A5BAB" w:rsidRDefault="00335140">
            <w:pPr>
              <w:adjustRightInd w:val="0"/>
              <w:snapToGrid w:val="0"/>
              <w:spacing w:line="52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零部件未按要求清洗；</w:t>
            </w:r>
          </w:p>
          <w:p w:rsidR="000A5BAB" w:rsidRDefault="00335140">
            <w:pPr>
              <w:adjustRightInd w:val="0"/>
              <w:snapToGrid w:val="0"/>
              <w:spacing w:line="52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清洗用水不符合要求；</w:t>
            </w:r>
          </w:p>
          <w:p w:rsidR="000A5BAB" w:rsidRDefault="00335140">
            <w:pPr>
              <w:adjustRightInd w:val="0"/>
              <w:snapToGrid w:val="0"/>
              <w:spacing w:line="52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包装不符合要求或包装破损；</w:t>
            </w:r>
          </w:p>
          <w:p w:rsidR="000A5BAB" w:rsidRDefault="00335140">
            <w:pPr>
              <w:adjustRightInd w:val="0"/>
              <w:snapToGrid w:val="0"/>
              <w:spacing w:line="52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产品重复使用；</w:t>
            </w:r>
          </w:p>
          <w:p w:rsidR="000A5BAB" w:rsidRDefault="000A5BAB">
            <w:pPr>
              <w:adjustRightInd w:val="0"/>
              <w:snapToGrid w:val="0"/>
              <w:spacing w:line="520" w:lineRule="exact"/>
              <w:rPr>
                <w:rFonts w:ascii="方正仿宋_GB2312" w:eastAsia="方正仿宋_GB2312" w:hAnsi="方正仿宋_GB2312" w:cs="方正仿宋_GB2312"/>
                <w:sz w:val="28"/>
                <w:szCs w:val="28"/>
              </w:rPr>
            </w:pPr>
          </w:p>
          <w:p w:rsidR="000A5BAB" w:rsidRDefault="000A5BAB">
            <w:pPr>
              <w:spacing w:line="400" w:lineRule="exact"/>
              <w:rPr>
                <w:rFonts w:ascii="方正仿宋_GB2312" w:eastAsia="方正仿宋_GB2312" w:hAnsi="方正仿宋_GB2312" w:cs="方正仿宋_GB2312"/>
                <w:sz w:val="28"/>
                <w:szCs w:val="28"/>
              </w:rPr>
            </w:pPr>
          </w:p>
          <w:p w:rsidR="000A5BAB" w:rsidRDefault="000A5BAB">
            <w:pPr>
              <w:spacing w:line="400" w:lineRule="exact"/>
              <w:rPr>
                <w:rFonts w:ascii="方正仿宋_GB2312" w:eastAsia="方正仿宋_GB2312" w:hAnsi="方正仿宋_GB2312" w:cs="方正仿宋_GB2312"/>
                <w:sz w:val="28"/>
                <w:szCs w:val="28"/>
              </w:rPr>
            </w:pPr>
          </w:p>
        </w:tc>
        <w:tc>
          <w:tcPr>
            <w:tcW w:w="313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产品带菌，引起患者感染</w:t>
            </w:r>
          </w:p>
        </w:tc>
      </w:tr>
      <w:tr w:rsidR="000A5BAB">
        <w:trPr>
          <w:cantSplit/>
          <w:trHeight w:val="2377"/>
        </w:trPr>
        <w:tc>
          <w:tcPr>
            <w:tcW w:w="812" w:type="dxa"/>
            <w:vMerge/>
            <w:noWrap/>
            <w:vAlign w:val="center"/>
          </w:tcPr>
          <w:p w:rsidR="000A5BAB" w:rsidRDefault="000A5BAB">
            <w:pPr>
              <w:spacing w:line="400" w:lineRule="exact"/>
              <w:rPr>
                <w:rFonts w:ascii="方正仿宋_GB2312" w:eastAsia="方正仿宋_GB2312" w:hAnsi="方正仿宋_GB2312" w:cs="方正仿宋_GB2312"/>
                <w:sz w:val="28"/>
                <w:szCs w:val="28"/>
              </w:rPr>
            </w:pPr>
          </w:p>
        </w:tc>
        <w:tc>
          <w:tcPr>
            <w:tcW w:w="1693" w:type="dxa"/>
            <w:noWrap/>
            <w:vAlign w:val="center"/>
          </w:tcPr>
          <w:p w:rsidR="000A5BAB" w:rsidRDefault="00335140">
            <w:pPr>
              <w:spacing w:line="400" w:lineRule="exact"/>
              <w:jc w:val="lef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生物不相容性</w:t>
            </w:r>
          </w:p>
        </w:tc>
        <w:tc>
          <w:tcPr>
            <w:tcW w:w="3242" w:type="dxa"/>
            <w:noWrap/>
            <w:vAlign w:val="center"/>
          </w:tcPr>
          <w:p w:rsidR="000A5BAB" w:rsidRDefault="00335140">
            <w:pPr>
              <w:adjustRightInd w:val="0"/>
              <w:snapToGrid w:val="0"/>
              <w:spacing w:line="52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选用不适当的材料；</w:t>
            </w:r>
          </w:p>
          <w:p w:rsidR="000A5BAB" w:rsidRDefault="00335140">
            <w:pPr>
              <w:adjustRightInd w:val="0"/>
              <w:snapToGrid w:val="0"/>
              <w:spacing w:line="52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灭菌残留超标；</w:t>
            </w:r>
          </w:p>
          <w:p w:rsidR="000A5BAB" w:rsidRDefault="000A5BAB">
            <w:pPr>
              <w:adjustRightInd w:val="0"/>
              <w:snapToGrid w:val="0"/>
              <w:spacing w:line="520" w:lineRule="exact"/>
              <w:rPr>
                <w:rFonts w:ascii="方正仿宋_GB2312" w:eastAsia="方正仿宋_GB2312" w:hAnsi="方正仿宋_GB2312" w:cs="方正仿宋_GB2312"/>
                <w:sz w:val="28"/>
                <w:szCs w:val="28"/>
              </w:rPr>
            </w:pPr>
          </w:p>
          <w:p w:rsidR="000A5BAB" w:rsidRDefault="000A5BAB">
            <w:pPr>
              <w:adjustRightInd w:val="0"/>
              <w:snapToGrid w:val="0"/>
              <w:spacing w:line="520" w:lineRule="exact"/>
              <w:rPr>
                <w:rFonts w:ascii="方正仿宋_GB2312" w:eastAsia="方正仿宋_GB2312" w:hAnsi="方正仿宋_GB2312" w:cs="方正仿宋_GB2312"/>
                <w:sz w:val="28"/>
                <w:szCs w:val="28"/>
              </w:rPr>
            </w:pPr>
          </w:p>
          <w:p w:rsidR="000A5BAB" w:rsidRDefault="000A5BAB">
            <w:pPr>
              <w:spacing w:line="400" w:lineRule="exact"/>
              <w:rPr>
                <w:rFonts w:ascii="方正仿宋_GB2312" w:eastAsia="方正仿宋_GB2312" w:hAnsi="方正仿宋_GB2312" w:cs="方正仿宋_GB2312"/>
                <w:sz w:val="28"/>
                <w:szCs w:val="28"/>
              </w:rPr>
            </w:pPr>
          </w:p>
        </w:tc>
        <w:tc>
          <w:tcPr>
            <w:tcW w:w="313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产生细胞毒性、致敏、刺激反应，引起不良反应</w:t>
            </w:r>
          </w:p>
        </w:tc>
      </w:tr>
      <w:tr w:rsidR="000A5BAB">
        <w:trPr>
          <w:cantSplit/>
          <w:trHeight w:val="773"/>
        </w:trPr>
        <w:tc>
          <w:tcPr>
            <w:tcW w:w="812" w:type="dxa"/>
            <w:vMerge/>
            <w:noWrap/>
            <w:vAlign w:val="center"/>
          </w:tcPr>
          <w:p w:rsidR="000A5BAB" w:rsidRDefault="000A5BAB">
            <w:pPr>
              <w:spacing w:line="400" w:lineRule="exact"/>
              <w:rPr>
                <w:rFonts w:ascii="方正仿宋_GB2312" w:eastAsia="方正仿宋_GB2312" w:hAnsi="方正仿宋_GB2312" w:cs="方正仿宋_GB2312"/>
                <w:sz w:val="28"/>
                <w:szCs w:val="28"/>
              </w:rPr>
            </w:pPr>
          </w:p>
        </w:tc>
        <w:tc>
          <w:tcPr>
            <w:tcW w:w="1693" w:type="dxa"/>
            <w:noWrap/>
            <w:vAlign w:val="center"/>
          </w:tcPr>
          <w:p w:rsidR="000A5BAB" w:rsidRDefault="00335140">
            <w:pPr>
              <w:spacing w:line="400" w:lineRule="exact"/>
              <w:jc w:val="lef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再感染和/或交叉感染</w:t>
            </w:r>
          </w:p>
        </w:tc>
        <w:tc>
          <w:tcPr>
            <w:tcW w:w="324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使用不当、标识不清</w:t>
            </w:r>
          </w:p>
        </w:tc>
        <w:tc>
          <w:tcPr>
            <w:tcW w:w="313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引起感染、交叉感染</w:t>
            </w:r>
          </w:p>
        </w:tc>
      </w:tr>
      <w:tr w:rsidR="000A5BAB">
        <w:trPr>
          <w:cantSplit/>
          <w:trHeight w:val="1155"/>
        </w:trPr>
        <w:tc>
          <w:tcPr>
            <w:tcW w:w="812" w:type="dxa"/>
            <w:vMerge w:val="restart"/>
            <w:noWrap/>
            <w:vAlign w:val="center"/>
          </w:tcPr>
          <w:p w:rsidR="000A5BAB" w:rsidRDefault="00335140">
            <w:pPr>
              <w:spacing w:line="400" w:lineRule="exact"/>
              <w:jc w:val="righ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环境</w:t>
            </w:r>
          </w:p>
          <w:p w:rsidR="000A5BAB" w:rsidRDefault="00335140">
            <w:pPr>
              <w:spacing w:line="400" w:lineRule="exact"/>
              <w:jc w:val="center"/>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因素</w:t>
            </w:r>
          </w:p>
        </w:tc>
        <w:tc>
          <w:tcPr>
            <w:tcW w:w="1693" w:type="dxa"/>
            <w:noWrap/>
            <w:vAlign w:val="center"/>
          </w:tcPr>
          <w:p w:rsidR="000A5BAB" w:rsidRDefault="00335140">
            <w:pPr>
              <w:spacing w:line="400" w:lineRule="exact"/>
              <w:jc w:val="lef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储存或运行偏离预订的环境条件</w:t>
            </w:r>
          </w:p>
        </w:tc>
        <w:tc>
          <w:tcPr>
            <w:tcW w:w="324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储运条件（如温度、湿度）不符合要求</w:t>
            </w:r>
          </w:p>
        </w:tc>
        <w:tc>
          <w:tcPr>
            <w:tcW w:w="313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产品老化、</w:t>
            </w:r>
          </w:p>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无菌有效期缩短、</w:t>
            </w:r>
          </w:p>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产品零件生锈</w:t>
            </w:r>
          </w:p>
        </w:tc>
      </w:tr>
      <w:tr w:rsidR="000A5BAB">
        <w:trPr>
          <w:cantSplit/>
          <w:trHeight w:val="773"/>
        </w:trPr>
        <w:tc>
          <w:tcPr>
            <w:tcW w:w="812" w:type="dxa"/>
            <w:vMerge/>
            <w:noWrap/>
            <w:vAlign w:val="center"/>
          </w:tcPr>
          <w:p w:rsidR="000A5BAB" w:rsidRDefault="000A5BAB">
            <w:pPr>
              <w:spacing w:line="400" w:lineRule="exact"/>
              <w:rPr>
                <w:rFonts w:ascii="方正仿宋_GB2312" w:eastAsia="方正仿宋_GB2312" w:hAnsi="方正仿宋_GB2312" w:cs="方正仿宋_GB2312"/>
                <w:sz w:val="28"/>
                <w:szCs w:val="28"/>
              </w:rPr>
            </w:pPr>
          </w:p>
        </w:tc>
        <w:tc>
          <w:tcPr>
            <w:tcW w:w="1693"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意外的机械破坏</w:t>
            </w:r>
          </w:p>
        </w:tc>
        <w:tc>
          <w:tcPr>
            <w:tcW w:w="324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储运、使用过程中发生意外的机械性破坏</w:t>
            </w:r>
          </w:p>
        </w:tc>
        <w:tc>
          <w:tcPr>
            <w:tcW w:w="313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产品使用性能无法得到保证</w:t>
            </w:r>
          </w:p>
        </w:tc>
      </w:tr>
      <w:tr w:rsidR="000A5BAB">
        <w:trPr>
          <w:cantSplit/>
          <w:trHeight w:val="1537"/>
        </w:trPr>
        <w:tc>
          <w:tcPr>
            <w:tcW w:w="812" w:type="dxa"/>
            <w:vMerge/>
            <w:noWrap/>
            <w:vAlign w:val="center"/>
          </w:tcPr>
          <w:p w:rsidR="000A5BAB" w:rsidRDefault="000A5BAB">
            <w:pPr>
              <w:spacing w:line="400" w:lineRule="exact"/>
              <w:rPr>
                <w:rFonts w:ascii="方正仿宋_GB2312" w:eastAsia="方正仿宋_GB2312" w:hAnsi="方正仿宋_GB2312" w:cs="方正仿宋_GB2312"/>
                <w:sz w:val="28"/>
                <w:szCs w:val="28"/>
              </w:rPr>
            </w:pPr>
          </w:p>
        </w:tc>
        <w:tc>
          <w:tcPr>
            <w:tcW w:w="1693"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由于废物和（或）医疗器械处置的污染</w:t>
            </w:r>
          </w:p>
        </w:tc>
        <w:tc>
          <w:tcPr>
            <w:tcW w:w="324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使用后的产品没有按照要求集中销毁</w:t>
            </w:r>
          </w:p>
        </w:tc>
        <w:tc>
          <w:tcPr>
            <w:tcW w:w="313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造成环境污染或者细菌的交叉感染</w:t>
            </w:r>
          </w:p>
        </w:tc>
      </w:tr>
      <w:tr w:rsidR="000A5BAB">
        <w:trPr>
          <w:cantSplit/>
          <w:trHeight w:val="1182"/>
        </w:trPr>
        <w:tc>
          <w:tcPr>
            <w:tcW w:w="812" w:type="dxa"/>
            <w:vMerge w:val="restart"/>
            <w:noWrap/>
            <w:vAlign w:val="center"/>
          </w:tcPr>
          <w:p w:rsidR="000A5BAB" w:rsidRDefault="00335140">
            <w:pPr>
              <w:spacing w:line="400" w:lineRule="exact"/>
              <w:jc w:val="center"/>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可用性</w:t>
            </w:r>
          </w:p>
        </w:tc>
        <w:tc>
          <w:tcPr>
            <w:tcW w:w="1693"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不适当的标记</w:t>
            </w:r>
          </w:p>
        </w:tc>
        <w:tc>
          <w:tcPr>
            <w:tcW w:w="324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标记不清晰、错误、</w:t>
            </w:r>
          </w:p>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没有按照要求进行标记</w:t>
            </w:r>
          </w:p>
        </w:tc>
        <w:tc>
          <w:tcPr>
            <w:tcW w:w="313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错误使用</w:t>
            </w:r>
          </w:p>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储存错误</w:t>
            </w:r>
          </w:p>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产品辨别错误</w:t>
            </w:r>
          </w:p>
        </w:tc>
      </w:tr>
      <w:tr w:rsidR="000A5BAB">
        <w:trPr>
          <w:cantSplit/>
          <w:trHeight w:val="3495"/>
        </w:trPr>
        <w:tc>
          <w:tcPr>
            <w:tcW w:w="812" w:type="dxa"/>
            <w:vMerge/>
            <w:noWrap/>
            <w:vAlign w:val="center"/>
          </w:tcPr>
          <w:p w:rsidR="000A5BAB" w:rsidRDefault="000A5BAB">
            <w:pPr>
              <w:spacing w:line="400" w:lineRule="exact"/>
              <w:rPr>
                <w:rFonts w:ascii="方正仿宋_GB2312" w:eastAsia="方正仿宋_GB2312" w:hAnsi="方正仿宋_GB2312" w:cs="方正仿宋_GB2312"/>
                <w:sz w:val="28"/>
                <w:szCs w:val="28"/>
              </w:rPr>
            </w:pPr>
          </w:p>
        </w:tc>
        <w:tc>
          <w:tcPr>
            <w:tcW w:w="1693"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不适当的操作说明，如：</w:t>
            </w:r>
          </w:p>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操作说明书不准确、清晰；</w:t>
            </w:r>
          </w:p>
        </w:tc>
        <w:tc>
          <w:tcPr>
            <w:tcW w:w="324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包装破损无法识别</w:t>
            </w:r>
          </w:p>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操作要点不突出</w:t>
            </w:r>
          </w:p>
          <w:p w:rsidR="000A5BAB" w:rsidRDefault="000A5BAB">
            <w:pPr>
              <w:spacing w:line="400" w:lineRule="exact"/>
              <w:rPr>
                <w:rFonts w:ascii="方正仿宋_GB2312" w:eastAsia="方正仿宋_GB2312" w:hAnsi="方正仿宋_GB2312" w:cs="方正仿宋_GB2312"/>
                <w:sz w:val="28"/>
                <w:szCs w:val="28"/>
              </w:rPr>
            </w:pPr>
          </w:p>
        </w:tc>
        <w:tc>
          <w:tcPr>
            <w:tcW w:w="313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无法保证使用安全性</w:t>
            </w:r>
          </w:p>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导致操作失误</w:t>
            </w:r>
          </w:p>
          <w:p w:rsidR="000A5BAB" w:rsidRDefault="000A5BAB">
            <w:pPr>
              <w:spacing w:line="400" w:lineRule="exact"/>
              <w:rPr>
                <w:rFonts w:ascii="方正仿宋_GB2312" w:eastAsia="方正仿宋_GB2312" w:hAnsi="方正仿宋_GB2312" w:cs="方正仿宋_GB2312"/>
                <w:sz w:val="28"/>
                <w:szCs w:val="28"/>
              </w:rPr>
            </w:pPr>
          </w:p>
        </w:tc>
      </w:tr>
      <w:tr w:rsidR="000A5BAB">
        <w:trPr>
          <w:cantSplit/>
          <w:trHeight w:val="1969"/>
        </w:trPr>
        <w:tc>
          <w:tcPr>
            <w:tcW w:w="812" w:type="dxa"/>
            <w:vMerge/>
            <w:noWrap/>
            <w:vAlign w:val="center"/>
          </w:tcPr>
          <w:p w:rsidR="000A5BAB" w:rsidRDefault="000A5BAB">
            <w:pPr>
              <w:spacing w:line="400" w:lineRule="exact"/>
              <w:rPr>
                <w:rFonts w:ascii="方正仿宋_GB2312" w:eastAsia="方正仿宋_GB2312" w:hAnsi="方正仿宋_GB2312" w:cs="方正仿宋_GB2312"/>
                <w:sz w:val="28"/>
                <w:szCs w:val="28"/>
              </w:rPr>
            </w:pPr>
          </w:p>
        </w:tc>
        <w:tc>
          <w:tcPr>
            <w:tcW w:w="1693"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由不熟练/未经培训的人员使用</w:t>
            </w:r>
          </w:p>
        </w:tc>
        <w:tc>
          <w:tcPr>
            <w:tcW w:w="324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操作不熟练、操作失误</w:t>
            </w:r>
          </w:p>
          <w:p w:rsidR="000A5BAB" w:rsidRDefault="000A5BAB">
            <w:pPr>
              <w:spacing w:line="400" w:lineRule="exact"/>
              <w:ind w:left="280" w:hangingChars="100" w:hanging="280"/>
              <w:rPr>
                <w:rFonts w:ascii="方正仿宋_GB2312" w:eastAsia="方正仿宋_GB2312" w:hAnsi="方正仿宋_GB2312" w:cs="方正仿宋_GB2312"/>
                <w:sz w:val="28"/>
                <w:szCs w:val="28"/>
              </w:rPr>
            </w:pPr>
          </w:p>
        </w:tc>
        <w:tc>
          <w:tcPr>
            <w:tcW w:w="313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无法保证使用安全性</w:t>
            </w:r>
          </w:p>
        </w:tc>
      </w:tr>
      <w:tr w:rsidR="000A5BAB">
        <w:trPr>
          <w:cantSplit/>
          <w:trHeight w:val="1230"/>
        </w:trPr>
        <w:tc>
          <w:tcPr>
            <w:tcW w:w="812" w:type="dxa"/>
            <w:vMerge/>
            <w:noWrap/>
            <w:vAlign w:val="center"/>
          </w:tcPr>
          <w:p w:rsidR="000A5BAB" w:rsidRDefault="000A5BAB">
            <w:pPr>
              <w:spacing w:line="400" w:lineRule="exact"/>
              <w:jc w:val="center"/>
              <w:rPr>
                <w:rFonts w:ascii="方正仿宋_GB2312" w:eastAsia="方正仿宋_GB2312" w:hAnsi="方正仿宋_GB2312" w:cs="方正仿宋_GB2312"/>
                <w:sz w:val="28"/>
                <w:szCs w:val="28"/>
              </w:rPr>
            </w:pPr>
          </w:p>
        </w:tc>
        <w:tc>
          <w:tcPr>
            <w:tcW w:w="1693"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对副作用的警告不充分</w:t>
            </w:r>
          </w:p>
        </w:tc>
        <w:tc>
          <w:tcPr>
            <w:tcW w:w="324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对操作人员警示不足</w:t>
            </w:r>
          </w:p>
        </w:tc>
        <w:tc>
          <w:tcPr>
            <w:tcW w:w="313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重复使用</w:t>
            </w:r>
          </w:p>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二次灭菌</w:t>
            </w:r>
          </w:p>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包装破损的产品被使用</w:t>
            </w:r>
          </w:p>
        </w:tc>
      </w:tr>
      <w:tr w:rsidR="000A5BAB">
        <w:trPr>
          <w:cantSplit/>
          <w:trHeight w:val="1919"/>
        </w:trPr>
        <w:tc>
          <w:tcPr>
            <w:tcW w:w="812" w:type="dxa"/>
            <w:vMerge/>
            <w:noWrap/>
            <w:vAlign w:val="center"/>
          </w:tcPr>
          <w:p w:rsidR="000A5BAB" w:rsidRDefault="000A5BAB">
            <w:pPr>
              <w:spacing w:line="400" w:lineRule="exact"/>
              <w:rPr>
                <w:rFonts w:ascii="方正仿宋_GB2312" w:eastAsia="方正仿宋_GB2312" w:hAnsi="方正仿宋_GB2312" w:cs="方正仿宋_GB2312"/>
                <w:sz w:val="28"/>
                <w:szCs w:val="28"/>
              </w:rPr>
            </w:pPr>
          </w:p>
        </w:tc>
        <w:tc>
          <w:tcPr>
            <w:tcW w:w="1693"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对一次性使用医疗器械很可能再次使用的危害警告不适当</w:t>
            </w:r>
          </w:p>
        </w:tc>
        <w:tc>
          <w:tcPr>
            <w:tcW w:w="324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造成重复使用</w:t>
            </w:r>
          </w:p>
          <w:p w:rsidR="000A5BAB" w:rsidRDefault="000A5BAB">
            <w:pPr>
              <w:spacing w:line="400" w:lineRule="exact"/>
              <w:rPr>
                <w:rFonts w:ascii="方正仿宋_GB2312" w:eastAsia="方正仿宋_GB2312" w:hAnsi="方正仿宋_GB2312" w:cs="方正仿宋_GB2312"/>
                <w:sz w:val="28"/>
                <w:szCs w:val="28"/>
              </w:rPr>
            </w:pPr>
          </w:p>
        </w:tc>
        <w:tc>
          <w:tcPr>
            <w:tcW w:w="313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交叉感染</w:t>
            </w:r>
          </w:p>
          <w:p w:rsidR="000A5BAB" w:rsidRDefault="000A5BAB">
            <w:pPr>
              <w:spacing w:line="400" w:lineRule="exact"/>
              <w:rPr>
                <w:rFonts w:ascii="方正仿宋_GB2312" w:eastAsia="方正仿宋_GB2312" w:hAnsi="方正仿宋_GB2312" w:cs="方正仿宋_GB2312"/>
                <w:sz w:val="28"/>
                <w:szCs w:val="28"/>
              </w:rPr>
            </w:pPr>
          </w:p>
        </w:tc>
      </w:tr>
      <w:tr w:rsidR="000A5BAB">
        <w:trPr>
          <w:cantSplit/>
          <w:trHeight w:val="2296"/>
        </w:trPr>
        <w:tc>
          <w:tcPr>
            <w:tcW w:w="812" w:type="dxa"/>
            <w:vMerge/>
            <w:noWrap/>
            <w:vAlign w:val="center"/>
          </w:tcPr>
          <w:p w:rsidR="000A5BAB" w:rsidRDefault="000A5BAB">
            <w:pPr>
              <w:spacing w:line="400" w:lineRule="exact"/>
              <w:rPr>
                <w:rFonts w:ascii="方正仿宋_GB2312" w:eastAsia="方正仿宋_GB2312" w:hAnsi="方正仿宋_GB2312" w:cs="方正仿宋_GB2312"/>
                <w:spacing w:val="-6"/>
                <w:kern w:val="24"/>
                <w:sz w:val="28"/>
                <w:szCs w:val="28"/>
              </w:rPr>
            </w:pPr>
          </w:p>
        </w:tc>
        <w:tc>
          <w:tcPr>
            <w:tcW w:w="1693" w:type="dxa"/>
            <w:tcBorders>
              <w:top w:val="nil"/>
            </w:tcBorders>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违反或缩减说明书、程序等</w:t>
            </w:r>
          </w:p>
        </w:tc>
        <w:tc>
          <w:tcPr>
            <w:tcW w:w="324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操作方法、注意事项、储存方法、警示事项等表述不清</w:t>
            </w:r>
          </w:p>
        </w:tc>
        <w:tc>
          <w:tcPr>
            <w:tcW w:w="313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重复使用引起感染、没有集中销毁造成环境危害等</w:t>
            </w:r>
          </w:p>
        </w:tc>
      </w:tr>
      <w:tr w:rsidR="000A5BAB">
        <w:trPr>
          <w:cantSplit/>
          <w:trHeight w:val="1537"/>
        </w:trPr>
        <w:tc>
          <w:tcPr>
            <w:tcW w:w="812" w:type="dxa"/>
            <w:vMerge/>
            <w:noWrap/>
            <w:vAlign w:val="center"/>
          </w:tcPr>
          <w:p w:rsidR="000A5BAB" w:rsidRDefault="000A5BAB">
            <w:pPr>
              <w:spacing w:line="400" w:lineRule="exact"/>
              <w:rPr>
                <w:rFonts w:ascii="方正仿宋_GB2312" w:eastAsia="方正仿宋_GB2312" w:hAnsi="方正仿宋_GB2312" w:cs="方正仿宋_GB2312"/>
                <w:spacing w:val="-6"/>
                <w:kern w:val="24"/>
                <w:sz w:val="28"/>
                <w:szCs w:val="28"/>
              </w:rPr>
            </w:pPr>
          </w:p>
        </w:tc>
        <w:tc>
          <w:tcPr>
            <w:tcW w:w="1693"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对医疗器械寿命终止缺少适当的决定</w:t>
            </w:r>
          </w:p>
        </w:tc>
        <w:tc>
          <w:tcPr>
            <w:tcW w:w="324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没有标识产品有效期</w:t>
            </w:r>
          </w:p>
        </w:tc>
        <w:tc>
          <w:tcPr>
            <w:tcW w:w="313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超出有效期的产品被使用，造成细菌感染或因材料老化产生而导致产品性能不符合要求</w:t>
            </w:r>
          </w:p>
        </w:tc>
      </w:tr>
      <w:tr w:rsidR="000A5BAB">
        <w:trPr>
          <w:cantSplit/>
          <w:trHeight w:val="1537"/>
        </w:trPr>
        <w:tc>
          <w:tcPr>
            <w:tcW w:w="812" w:type="dxa"/>
            <w:vMerge/>
            <w:noWrap/>
            <w:vAlign w:val="center"/>
          </w:tcPr>
          <w:p w:rsidR="000A5BAB" w:rsidRDefault="000A5BAB">
            <w:pPr>
              <w:spacing w:line="400" w:lineRule="exact"/>
              <w:rPr>
                <w:rFonts w:ascii="方正仿宋_GB2312" w:eastAsia="方正仿宋_GB2312" w:hAnsi="方正仿宋_GB2312" w:cs="方正仿宋_GB2312"/>
                <w:sz w:val="28"/>
                <w:szCs w:val="28"/>
              </w:rPr>
            </w:pPr>
          </w:p>
        </w:tc>
        <w:tc>
          <w:tcPr>
            <w:tcW w:w="1693"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不适当的包装（医疗器械的污染和/或变质）</w:t>
            </w:r>
          </w:p>
        </w:tc>
        <w:tc>
          <w:tcPr>
            <w:tcW w:w="324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没有进行包装确认</w:t>
            </w:r>
          </w:p>
        </w:tc>
        <w:tc>
          <w:tcPr>
            <w:tcW w:w="313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不能确保产品无菌，从而导致出现细菌感染</w:t>
            </w:r>
          </w:p>
        </w:tc>
      </w:tr>
      <w:tr w:rsidR="000A5BAB">
        <w:trPr>
          <w:cantSplit/>
          <w:trHeight w:val="1165"/>
        </w:trPr>
        <w:tc>
          <w:tcPr>
            <w:tcW w:w="812" w:type="dxa"/>
            <w:vMerge/>
            <w:noWrap/>
            <w:vAlign w:val="center"/>
          </w:tcPr>
          <w:p w:rsidR="000A5BAB" w:rsidRDefault="000A5BAB">
            <w:pPr>
              <w:spacing w:line="400" w:lineRule="exact"/>
              <w:rPr>
                <w:rFonts w:ascii="方正仿宋_GB2312" w:eastAsia="方正仿宋_GB2312" w:hAnsi="方正仿宋_GB2312" w:cs="方正仿宋_GB2312"/>
                <w:sz w:val="28"/>
                <w:szCs w:val="28"/>
              </w:rPr>
            </w:pPr>
          </w:p>
        </w:tc>
        <w:tc>
          <w:tcPr>
            <w:tcW w:w="1693"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再次使用和/或不适当的再次使用</w:t>
            </w:r>
          </w:p>
        </w:tc>
        <w:tc>
          <w:tcPr>
            <w:tcW w:w="324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产品标识没有明确</w:t>
            </w:r>
          </w:p>
        </w:tc>
        <w:tc>
          <w:tcPr>
            <w:tcW w:w="3132" w:type="dxa"/>
            <w:noWrap/>
            <w:vAlign w:val="center"/>
          </w:tcPr>
          <w:p w:rsidR="000A5BAB" w:rsidRDefault="00335140">
            <w:pPr>
              <w:spacing w:line="400" w:lineRule="exact"/>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出现细菌感染、交叉感染</w:t>
            </w:r>
          </w:p>
        </w:tc>
      </w:tr>
    </w:tbl>
    <w:p w:rsidR="000A5BAB" w:rsidRDefault="000A5BAB">
      <w:pPr>
        <w:spacing w:line="520" w:lineRule="exact"/>
        <w:ind w:firstLineChars="200" w:firstLine="640"/>
        <w:rPr>
          <w:rFonts w:eastAsia="仿宋_GB2312"/>
          <w:color w:val="000000"/>
          <w:szCs w:val="32"/>
        </w:rPr>
      </w:pPr>
    </w:p>
    <w:sectPr w:rsidR="000A5BAB" w:rsidSect="00D173E6">
      <w:footerReference w:type="default" r:id="rId11"/>
      <w:pgSz w:w="11906" w:h="16838"/>
      <w:pgMar w:top="1440" w:right="1800" w:bottom="1440" w:left="1800" w:header="851" w:footer="992" w:gutter="0"/>
      <w:lnNumType w:countBy="1" w:restart="continuous"/>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140" w:rsidRDefault="00335140">
      <w:r>
        <w:separator/>
      </w:r>
    </w:p>
  </w:endnote>
  <w:endnote w:type="continuationSeparator" w:id="0">
    <w:p w:rsidR="00335140" w:rsidRDefault="0033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dobe 仿宋 Std R">
    <w:altName w:val="仿宋"/>
    <w:charset w:val="86"/>
    <w:family w:val="roman"/>
    <w:pitch w:val="default"/>
    <w:sig w:usb0="00000000" w:usb1="00000000" w:usb2="00000016" w:usb3="00000000" w:csb0="00060007" w:csb1="00000000"/>
  </w:font>
  <w:font w:name="Courier New">
    <w:panose1 w:val="02070309020205020404"/>
    <w:charset w:val="00"/>
    <w:family w:val="modern"/>
    <w:pitch w:val="fixed"/>
    <w:sig w:usb0="E0002EFF" w:usb1="C0007843" w:usb2="00000009" w:usb3="00000000" w:csb0="000001FF" w:csb1="00000000"/>
  </w:font>
  <w:font w:name="DejaVu Sans">
    <w:altName w:val="Arial"/>
    <w:charset w:val="00"/>
    <w:family w:val="roman"/>
    <w:pitch w:val="default"/>
    <w:sig w:usb0="00000000" w:usb1="0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embedRegular r:id="rId1" w:subsetted="1" w:fontKey="{1F38B0CD-DCA7-49F5-9BB2-BC586C82E149}"/>
  </w:font>
  <w:font w:name="Microsoft YaHei UI">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embedRegular r:id="rId2" w:subsetted="1" w:fontKey="{B313AAFF-53CA-4317-B6A8-4D4C97D18B10}"/>
  </w:font>
  <w:font w:name="黑体">
    <w:altName w:val="SimHei"/>
    <w:panose1 w:val="02010609060101010101"/>
    <w:charset w:val="86"/>
    <w:family w:val="modern"/>
    <w:pitch w:val="fixed"/>
    <w:sig w:usb0="800002BF" w:usb1="38CF7CFA" w:usb2="00000016" w:usb3="00000000" w:csb0="00040001" w:csb1="00000000"/>
    <w:embedRegular r:id="rId3" w:subsetted="1" w:fontKey="{0D421D4D-02A4-4F71-A39C-88D483CB13A9}"/>
  </w:font>
  <w:font w:name="楷体_GB2312">
    <w:altName w:val="楷体"/>
    <w:charset w:val="86"/>
    <w:family w:val="modern"/>
    <w:pitch w:val="fixed"/>
    <w:sig w:usb0="00000001" w:usb1="080E0000" w:usb2="00000010" w:usb3="00000000" w:csb0="00040000" w:csb1="00000000"/>
    <w:embedRegular r:id="rId4" w:subsetted="1" w:fontKey="{12BA5CA1-CB24-4595-9B57-DA84D75186FE}"/>
  </w:font>
  <w:font w:name="方正仿宋_GB2312">
    <w:charset w:val="86"/>
    <w:family w:val="auto"/>
    <w:pitch w:val="default"/>
    <w:sig w:usb0="A00002BF" w:usb1="184F6CFA" w:usb2="00000012" w:usb3="00000000" w:csb0="00040001" w:csb1="00000000"/>
    <w:embedRegular r:id="rId5" w:subsetted="1" w:fontKey="{A2226823-B917-426B-B1CA-D38632895E94}"/>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BAB" w:rsidRDefault="00335140">
    <w:pPr>
      <w:pStyle w:val="a8"/>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2B19FE" w:rsidRPr="002B19FE">
      <w:rPr>
        <w:noProof/>
        <w:sz w:val="28"/>
        <w:szCs w:val="28"/>
        <w:lang w:val="zh-CN"/>
      </w:rPr>
      <w:t>1</w:t>
    </w:r>
    <w:r>
      <w:rPr>
        <w:sz w:val="28"/>
        <w:szCs w:val="28"/>
      </w:rPr>
      <w:fldChar w:fldCharType="end"/>
    </w:r>
    <w:r>
      <w:rPr>
        <w:sz w:val="28"/>
        <w:szCs w:val="28"/>
      </w:rPr>
      <w:t xml:space="preserve"> —</w:t>
    </w:r>
  </w:p>
  <w:p w:rsidR="000A5BAB" w:rsidRDefault="002B19FE">
    <w:pPr>
      <w:pStyle w:val="a8"/>
    </w:pPr>
    <w:r>
      <w:pict>
        <v:shapetype id="_x0000_t202" coordsize="21600,21600" o:spt="202" path="m,l,21600r21600,l21600,xe">
          <v:stroke joinstyle="miter"/>
          <v:path gradientshapeok="t" o:connecttype="rect"/>
        </v:shapetype>
        <v:shape id="_x0000_s2050" type="#_x0000_t202" style="position:absolute;margin-left:205.95pt;margin-top:0;width:2in;height:2in;z-index:251659264;mso-wrap-style:none;mso-position-horizontal-relative:margin;mso-width-relative:page;mso-height-relative:page" o:gfxdata="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o3LCN9UAAAAIAQAADwAAAAAAAAABACAAAAA4AAAAZHJzL2Rvd25yZXYueG1sUEsBAhQAFAAAAAgA&#10;h07iQErbzf8SAgAAEwQAAA4AAAAAAAAAAQAgAAAAOgEAAGRycy9lMm9Eb2MueG1sUEsFBgAAAAAG&#10;AAYAWQEAAL4FAAAAAA==&#10;" filled="f" stroked="f" strokeweight=".5pt">
          <v:textbox style="mso-fit-shape-to-text:t" inset="0,0,0,0">
            <w:txbxContent>
              <w:p w:rsidR="000A5BAB" w:rsidRDefault="000A5BAB">
                <w:pPr>
                  <w:snapToGrid w:val="0"/>
                  <w:rPr>
                    <w:sz w:val="18"/>
                  </w:rPr>
                </w:pP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140" w:rsidRDefault="00335140">
      <w:r>
        <w:separator/>
      </w:r>
    </w:p>
  </w:footnote>
  <w:footnote w:type="continuationSeparator" w:id="0">
    <w:p w:rsidR="00335140" w:rsidRDefault="003351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defaultTabStop w:val="420"/>
  <w:drawingGridHorizontalSpacing w:val="160"/>
  <w:drawingGridVerticalSpacing w:val="435"/>
  <w:displayHorizontalDrawingGridEvery w:val="2"/>
  <w:noPunctuationKerning/>
  <w:characterSpacingControl w:val="compressPunctuation"/>
  <w:hdrShapeDefaults>
    <o:shapedefaults v:ext="edit" spidmax="2052"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zRiOGZiYmIwOTJkYzllNzQ4ZWU4MWNlNDg1MWUyZDIifQ=="/>
  </w:docVars>
  <w:rsids>
    <w:rsidRoot w:val="00787F7E"/>
    <w:rsid w:val="DEF70035"/>
    <w:rsid w:val="DFFFE17D"/>
    <w:rsid w:val="ED776AC6"/>
    <w:rsid w:val="EF9F915E"/>
    <w:rsid w:val="FBB7C68F"/>
    <w:rsid w:val="FDF752B8"/>
    <w:rsid w:val="FF7F9E8F"/>
    <w:rsid w:val="00042BC5"/>
    <w:rsid w:val="0007686E"/>
    <w:rsid w:val="00082B1A"/>
    <w:rsid w:val="00095370"/>
    <w:rsid w:val="000A5BAB"/>
    <w:rsid w:val="000C6CA4"/>
    <w:rsid w:val="000E5335"/>
    <w:rsid w:val="00133387"/>
    <w:rsid w:val="00135135"/>
    <w:rsid w:val="00145167"/>
    <w:rsid w:val="0015622E"/>
    <w:rsid w:val="00191250"/>
    <w:rsid w:val="001C3A87"/>
    <w:rsid w:val="001E0961"/>
    <w:rsid w:val="002071B7"/>
    <w:rsid w:val="00242375"/>
    <w:rsid w:val="00244DF7"/>
    <w:rsid w:val="002759D3"/>
    <w:rsid w:val="00277473"/>
    <w:rsid w:val="00291759"/>
    <w:rsid w:val="00294D2B"/>
    <w:rsid w:val="002B19FE"/>
    <w:rsid w:val="002B24A0"/>
    <w:rsid w:val="002F2978"/>
    <w:rsid w:val="0030368E"/>
    <w:rsid w:val="003137C1"/>
    <w:rsid w:val="00332DE8"/>
    <w:rsid w:val="00335140"/>
    <w:rsid w:val="003450A4"/>
    <w:rsid w:val="00355421"/>
    <w:rsid w:val="00365AB2"/>
    <w:rsid w:val="00410598"/>
    <w:rsid w:val="00435AC6"/>
    <w:rsid w:val="00440708"/>
    <w:rsid w:val="004410B9"/>
    <w:rsid w:val="004C0B0D"/>
    <w:rsid w:val="004C4DBC"/>
    <w:rsid w:val="004E39ED"/>
    <w:rsid w:val="005041BA"/>
    <w:rsid w:val="00534F4C"/>
    <w:rsid w:val="005A1410"/>
    <w:rsid w:val="005A204F"/>
    <w:rsid w:val="005D6D12"/>
    <w:rsid w:val="00611CED"/>
    <w:rsid w:val="006A1165"/>
    <w:rsid w:val="006C00CB"/>
    <w:rsid w:val="006E68A9"/>
    <w:rsid w:val="006E7148"/>
    <w:rsid w:val="00716619"/>
    <w:rsid w:val="00745098"/>
    <w:rsid w:val="007646FC"/>
    <w:rsid w:val="00787F7E"/>
    <w:rsid w:val="007904F6"/>
    <w:rsid w:val="007D341A"/>
    <w:rsid w:val="00815364"/>
    <w:rsid w:val="00821079"/>
    <w:rsid w:val="00845C30"/>
    <w:rsid w:val="00933041"/>
    <w:rsid w:val="00937F0E"/>
    <w:rsid w:val="00972E57"/>
    <w:rsid w:val="009E2514"/>
    <w:rsid w:val="009F209D"/>
    <w:rsid w:val="00A23EC2"/>
    <w:rsid w:val="00A25C1A"/>
    <w:rsid w:val="00A73BFE"/>
    <w:rsid w:val="00A84F6E"/>
    <w:rsid w:val="00AF4554"/>
    <w:rsid w:val="00B41578"/>
    <w:rsid w:val="00B66355"/>
    <w:rsid w:val="00B9118A"/>
    <w:rsid w:val="00BC2983"/>
    <w:rsid w:val="00BC7C84"/>
    <w:rsid w:val="00BD300F"/>
    <w:rsid w:val="00BE669C"/>
    <w:rsid w:val="00C0562D"/>
    <w:rsid w:val="00C25F69"/>
    <w:rsid w:val="00C40950"/>
    <w:rsid w:val="00C74CE1"/>
    <w:rsid w:val="00CB4CCD"/>
    <w:rsid w:val="00D173E6"/>
    <w:rsid w:val="00D32614"/>
    <w:rsid w:val="00D36F91"/>
    <w:rsid w:val="00D4450D"/>
    <w:rsid w:val="00DD740E"/>
    <w:rsid w:val="00DE7528"/>
    <w:rsid w:val="00E07E6A"/>
    <w:rsid w:val="00E11D78"/>
    <w:rsid w:val="00E555E7"/>
    <w:rsid w:val="00E72EF4"/>
    <w:rsid w:val="00EB1A04"/>
    <w:rsid w:val="00EC523A"/>
    <w:rsid w:val="00ED0226"/>
    <w:rsid w:val="00EE261B"/>
    <w:rsid w:val="00EE4EBB"/>
    <w:rsid w:val="00F31CB3"/>
    <w:rsid w:val="00F6537F"/>
    <w:rsid w:val="00F81D1A"/>
    <w:rsid w:val="00F84780"/>
    <w:rsid w:val="00F9586C"/>
    <w:rsid w:val="00FB46B2"/>
    <w:rsid w:val="00FF0F38"/>
    <w:rsid w:val="0167398B"/>
    <w:rsid w:val="0187402D"/>
    <w:rsid w:val="01A7022B"/>
    <w:rsid w:val="01D97F9C"/>
    <w:rsid w:val="02094A42"/>
    <w:rsid w:val="02533F0F"/>
    <w:rsid w:val="02881E0B"/>
    <w:rsid w:val="02F254D6"/>
    <w:rsid w:val="02F54FC6"/>
    <w:rsid w:val="02FF7BF3"/>
    <w:rsid w:val="03BE185C"/>
    <w:rsid w:val="0430275A"/>
    <w:rsid w:val="04706FFA"/>
    <w:rsid w:val="04B0389B"/>
    <w:rsid w:val="04D8694E"/>
    <w:rsid w:val="056A7175"/>
    <w:rsid w:val="057B7A05"/>
    <w:rsid w:val="072408B5"/>
    <w:rsid w:val="0794563D"/>
    <w:rsid w:val="07C136C9"/>
    <w:rsid w:val="07E01DA1"/>
    <w:rsid w:val="0817778D"/>
    <w:rsid w:val="08202AE5"/>
    <w:rsid w:val="082C148A"/>
    <w:rsid w:val="08346591"/>
    <w:rsid w:val="08422A5C"/>
    <w:rsid w:val="085751F0"/>
    <w:rsid w:val="085B3B1D"/>
    <w:rsid w:val="08752E31"/>
    <w:rsid w:val="08762705"/>
    <w:rsid w:val="08BD6586"/>
    <w:rsid w:val="08F36368"/>
    <w:rsid w:val="0ABD461B"/>
    <w:rsid w:val="0AD37255"/>
    <w:rsid w:val="0B0009AC"/>
    <w:rsid w:val="0B260413"/>
    <w:rsid w:val="0B3F6E6A"/>
    <w:rsid w:val="0B694A33"/>
    <w:rsid w:val="0C1069CD"/>
    <w:rsid w:val="0C48260B"/>
    <w:rsid w:val="0C6C00A7"/>
    <w:rsid w:val="0D020A0B"/>
    <w:rsid w:val="0D186481"/>
    <w:rsid w:val="0D4D2087"/>
    <w:rsid w:val="0D9378B6"/>
    <w:rsid w:val="0D961154"/>
    <w:rsid w:val="0D98668B"/>
    <w:rsid w:val="0DAD17DE"/>
    <w:rsid w:val="0DB60D60"/>
    <w:rsid w:val="0E146C48"/>
    <w:rsid w:val="0EB2020F"/>
    <w:rsid w:val="0F4672D5"/>
    <w:rsid w:val="0F933B9D"/>
    <w:rsid w:val="0FDD306A"/>
    <w:rsid w:val="10207B26"/>
    <w:rsid w:val="103536A3"/>
    <w:rsid w:val="10353E8B"/>
    <w:rsid w:val="10991687"/>
    <w:rsid w:val="10BE4C49"/>
    <w:rsid w:val="11205904"/>
    <w:rsid w:val="115E23ED"/>
    <w:rsid w:val="11621A79"/>
    <w:rsid w:val="117406B8"/>
    <w:rsid w:val="117D7C75"/>
    <w:rsid w:val="119D6F55"/>
    <w:rsid w:val="1218482D"/>
    <w:rsid w:val="12282CC2"/>
    <w:rsid w:val="126521DA"/>
    <w:rsid w:val="12843C71"/>
    <w:rsid w:val="130C25E4"/>
    <w:rsid w:val="13394A5B"/>
    <w:rsid w:val="13833F28"/>
    <w:rsid w:val="13907C5C"/>
    <w:rsid w:val="13FB325E"/>
    <w:rsid w:val="148937C0"/>
    <w:rsid w:val="14A16D5C"/>
    <w:rsid w:val="14CD18FF"/>
    <w:rsid w:val="14D07641"/>
    <w:rsid w:val="151412DC"/>
    <w:rsid w:val="152C0D1B"/>
    <w:rsid w:val="15634011"/>
    <w:rsid w:val="160C46A9"/>
    <w:rsid w:val="16753FFC"/>
    <w:rsid w:val="16D451C7"/>
    <w:rsid w:val="16E6314C"/>
    <w:rsid w:val="170535D2"/>
    <w:rsid w:val="1723362D"/>
    <w:rsid w:val="17514A69"/>
    <w:rsid w:val="175A4A98"/>
    <w:rsid w:val="188E3A9B"/>
    <w:rsid w:val="193D2506"/>
    <w:rsid w:val="198C7FDB"/>
    <w:rsid w:val="19AF3CC9"/>
    <w:rsid w:val="19C07C84"/>
    <w:rsid w:val="19D90D46"/>
    <w:rsid w:val="1A337AC4"/>
    <w:rsid w:val="1A5F2FF9"/>
    <w:rsid w:val="1A78055F"/>
    <w:rsid w:val="1AD25EC1"/>
    <w:rsid w:val="1B0911B7"/>
    <w:rsid w:val="1B481CDF"/>
    <w:rsid w:val="1B5763C6"/>
    <w:rsid w:val="1BD21EF1"/>
    <w:rsid w:val="1C0D11EB"/>
    <w:rsid w:val="1C413EA0"/>
    <w:rsid w:val="1C485D0F"/>
    <w:rsid w:val="1CD04682"/>
    <w:rsid w:val="1D4808A2"/>
    <w:rsid w:val="1D864D41"/>
    <w:rsid w:val="1D8C5A50"/>
    <w:rsid w:val="1DBC69B5"/>
    <w:rsid w:val="1E0A7720"/>
    <w:rsid w:val="1E2A1B70"/>
    <w:rsid w:val="1E4C7D38"/>
    <w:rsid w:val="1E6F3A27"/>
    <w:rsid w:val="1EDE25B8"/>
    <w:rsid w:val="1F0423C1"/>
    <w:rsid w:val="1F7D478D"/>
    <w:rsid w:val="1FD55B0C"/>
    <w:rsid w:val="20120B0E"/>
    <w:rsid w:val="20C52024"/>
    <w:rsid w:val="20FC0083"/>
    <w:rsid w:val="213D605E"/>
    <w:rsid w:val="216571D1"/>
    <w:rsid w:val="21A165ED"/>
    <w:rsid w:val="221F7512"/>
    <w:rsid w:val="223A341A"/>
    <w:rsid w:val="232B1A28"/>
    <w:rsid w:val="2335523F"/>
    <w:rsid w:val="23582CDC"/>
    <w:rsid w:val="23755EF4"/>
    <w:rsid w:val="2378337E"/>
    <w:rsid w:val="23AB5FDF"/>
    <w:rsid w:val="24044C11"/>
    <w:rsid w:val="24FD1D8D"/>
    <w:rsid w:val="251B66B7"/>
    <w:rsid w:val="257F27A2"/>
    <w:rsid w:val="25C40AFC"/>
    <w:rsid w:val="25D24E1E"/>
    <w:rsid w:val="26591245"/>
    <w:rsid w:val="266B0F78"/>
    <w:rsid w:val="26DE174A"/>
    <w:rsid w:val="28667C49"/>
    <w:rsid w:val="291C47AB"/>
    <w:rsid w:val="293D6BFB"/>
    <w:rsid w:val="29C15A7E"/>
    <w:rsid w:val="29D238DE"/>
    <w:rsid w:val="29DA08EE"/>
    <w:rsid w:val="2A337FFE"/>
    <w:rsid w:val="2A3514C9"/>
    <w:rsid w:val="2A3D2C2B"/>
    <w:rsid w:val="2A4144C9"/>
    <w:rsid w:val="2A443FBA"/>
    <w:rsid w:val="2A69384E"/>
    <w:rsid w:val="2A8B790F"/>
    <w:rsid w:val="2A972CFF"/>
    <w:rsid w:val="2ACB46DB"/>
    <w:rsid w:val="2AE72A57"/>
    <w:rsid w:val="2AEC6B2B"/>
    <w:rsid w:val="2B4F70BA"/>
    <w:rsid w:val="2C0734F1"/>
    <w:rsid w:val="2C1856FE"/>
    <w:rsid w:val="2C783E4C"/>
    <w:rsid w:val="2C970D19"/>
    <w:rsid w:val="2CA35449"/>
    <w:rsid w:val="2CDB35FB"/>
    <w:rsid w:val="2CEA709A"/>
    <w:rsid w:val="2D19172E"/>
    <w:rsid w:val="2D404F0C"/>
    <w:rsid w:val="2D412A32"/>
    <w:rsid w:val="2D46629B"/>
    <w:rsid w:val="2F4131BE"/>
    <w:rsid w:val="2F81180C"/>
    <w:rsid w:val="2F866E22"/>
    <w:rsid w:val="2F8F5CD7"/>
    <w:rsid w:val="30110DE2"/>
    <w:rsid w:val="30A75403"/>
    <w:rsid w:val="314E571E"/>
    <w:rsid w:val="317433D6"/>
    <w:rsid w:val="31864C7F"/>
    <w:rsid w:val="31F6175D"/>
    <w:rsid w:val="321921D0"/>
    <w:rsid w:val="32584AA6"/>
    <w:rsid w:val="325B00F2"/>
    <w:rsid w:val="32713DBA"/>
    <w:rsid w:val="32742A8E"/>
    <w:rsid w:val="329B2BE5"/>
    <w:rsid w:val="32B8213F"/>
    <w:rsid w:val="32CC6135"/>
    <w:rsid w:val="34592D57"/>
    <w:rsid w:val="348C0A37"/>
    <w:rsid w:val="34965E4D"/>
    <w:rsid w:val="34D04DC8"/>
    <w:rsid w:val="351D3D85"/>
    <w:rsid w:val="35215623"/>
    <w:rsid w:val="35A404E5"/>
    <w:rsid w:val="35BA7826"/>
    <w:rsid w:val="360A255B"/>
    <w:rsid w:val="363650FE"/>
    <w:rsid w:val="376B702A"/>
    <w:rsid w:val="378A6A48"/>
    <w:rsid w:val="379C5435"/>
    <w:rsid w:val="37A20571"/>
    <w:rsid w:val="38B16CBE"/>
    <w:rsid w:val="38C764E2"/>
    <w:rsid w:val="391536F1"/>
    <w:rsid w:val="39785A2E"/>
    <w:rsid w:val="39F257E0"/>
    <w:rsid w:val="3A2B6F44"/>
    <w:rsid w:val="3A865F28"/>
    <w:rsid w:val="3AA52853"/>
    <w:rsid w:val="3AE0388B"/>
    <w:rsid w:val="3AF235BE"/>
    <w:rsid w:val="3B1E43B3"/>
    <w:rsid w:val="3B820DE6"/>
    <w:rsid w:val="3D361E88"/>
    <w:rsid w:val="3D736C38"/>
    <w:rsid w:val="3D7604D6"/>
    <w:rsid w:val="3D99414E"/>
    <w:rsid w:val="3D9D3CB5"/>
    <w:rsid w:val="3DBC05DF"/>
    <w:rsid w:val="3E524A9F"/>
    <w:rsid w:val="3E6F38A3"/>
    <w:rsid w:val="3E9A691A"/>
    <w:rsid w:val="3E9C3F6D"/>
    <w:rsid w:val="3EE30952"/>
    <w:rsid w:val="3F1B4F1A"/>
    <w:rsid w:val="3F32667F"/>
    <w:rsid w:val="3F3348D1"/>
    <w:rsid w:val="3FB105E9"/>
    <w:rsid w:val="400E2C48"/>
    <w:rsid w:val="404D19C2"/>
    <w:rsid w:val="41016309"/>
    <w:rsid w:val="41395AA3"/>
    <w:rsid w:val="418C2076"/>
    <w:rsid w:val="41986C6D"/>
    <w:rsid w:val="42517E9B"/>
    <w:rsid w:val="42684A74"/>
    <w:rsid w:val="42AD6748"/>
    <w:rsid w:val="431A3AF1"/>
    <w:rsid w:val="4326474D"/>
    <w:rsid w:val="43657023"/>
    <w:rsid w:val="44254A04"/>
    <w:rsid w:val="443F7874"/>
    <w:rsid w:val="4554734F"/>
    <w:rsid w:val="455530C7"/>
    <w:rsid w:val="4565330A"/>
    <w:rsid w:val="459B31D0"/>
    <w:rsid w:val="46AB30D7"/>
    <w:rsid w:val="475459E0"/>
    <w:rsid w:val="47B76874"/>
    <w:rsid w:val="49635DB3"/>
    <w:rsid w:val="49677A88"/>
    <w:rsid w:val="498B355B"/>
    <w:rsid w:val="49973CAE"/>
    <w:rsid w:val="49DF46FF"/>
    <w:rsid w:val="4A963F66"/>
    <w:rsid w:val="4AC26B09"/>
    <w:rsid w:val="4ACB00B3"/>
    <w:rsid w:val="4BB072A9"/>
    <w:rsid w:val="4BBE3774"/>
    <w:rsid w:val="4BF52F0E"/>
    <w:rsid w:val="4C46376A"/>
    <w:rsid w:val="4C4A5008"/>
    <w:rsid w:val="4C6A56AA"/>
    <w:rsid w:val="4C716A38"/>
    <w:rsid w:val="4C9269AF"/>
    <w:rsid w:val="4CEF246E"/>
    <w:rsid w:val="4D491763"/>
    <w:rsid w:val="4D4E28D6"/>
    <w:rsid w:val="4E1753BE"/>
    <w:rsid w:val="4E4A7541"/>
    <w:rsid w:val="4ECA68D4"/>
    <w:rsid w:val="4F311DBE"/>
    <w:rsid w:val="4F624D5E"/>
    <w:rsid w:val="50323437"/>
    <w:rsid w:val="50A94F88"/>
    <w:rsid w:val="512E4EF8"/>
    <w:rsid w:val="51402E7D"/>
    <w:rsid w:val="518A5EA7"/>
    <w:rsid w:val="51B071AD"/>
    <w:rsid w:val="51C4760A"/>
    <w:rsid w:val="51D6733E"/>
    <w:rsid w:val="52173BDE"/>
    <w:rsid w:val="524644C3"/>
    <w:rsid w:val="525070F0"/>
    <w:rsid w:val="52911BE2"/>
    <w:rsid w:val="52F7756C"/>
    <w:rsid w:val="53130849"/>
    <w:rsid w:val="53512B21"/>
    <w:rsid w:val="53F341D7"/>
    <w:rsid w:val="54212AF2"/>
    <w:rsid w:val="548A6B63"/>
    <w:rsid w:val="549C05AB"/>
    <w:rsid w:val="54B35B5B"/>
    <w:rsid w:val="54BF40B9"/>
    <w:rsid w:val="54C33BA9"/>
    <w:rsid w:val="54E414AC"/>
    <w:rsid w:val="54F0520D"/>
    <w:rsid w:val="54FE1085"/>
    <w:rsid w:val="55540CA5"/>
    <w:rsid w:val="559612BE"/>
    <w:rsid w:val="55E22755"/>
    <w:rsid w:val="56384123"/>
    <w:rsid w:val="56811F6E"/>
    <w:rsid w:val="568A7075"/>
    <w:rsid w:val="570227A8"/>
    <w:rsid w:val="5753390A"/>
    <w:rsid w:val="57D63BF4"/>
    <w:rsid w:val="585316E8"/>
    <w:rsid w:val="58D72319"/>
    <w:rsid w:val="591C7D2C"/>
    <w:rsid w:val="59A20E7A"/>
    <w:rsid w:val="59CD1026"/>
    <w:rsid w:val="5A032C9A"/>
    <w:rsid w:val="5A93401E"/>
    <w:rsid w:val="5A9D30EE"/>
    <w:rsid w:val="5B746366"/>
    <w:rsid w:val="5BA1276A"/>
    <w:rsid w:val="5BC56459"/>
    <w:rsid w:val="5BE014E5"/>
    <w:rsid w:val="5CE943C9"/>
    <w:rsid w:val="5D5201C0"/>
    <w:rsid w:val="5D9E6F62"/>
    <w:rsid w:val="5DAD189A"/>
    <w:rsid w:val="5E420235"/>
    <w:rsid w:val="60397415"/>
    <w:rsid w:val="60BF3DBF"/>
    <w:rsid w:val="60DD4245"/>
    <w:rsid w:val="612E2CF2"/>
    <w:rsid w:val="61761FA3"/>
    <w:rsid w:val="61E31C0C"/>
    <w:rsid w:val="62BD432E"/>
    <w:rsid w:val="62FD0BCE"/>
    <w:rsid w:val="634C7460"/>
    <w:rsid w:val="63D05D79"/>
    <w:rsid w:val="63ED0C43"/>
    <w:rsid w:val="64177A6E"/>
    <w:rsid w:val="64C32B9E"/>
    <w:rsid w:val="657607C4"/>
    <w:rsid w:val="6582360D"/>
    <w:rsid w:val="6655487D"/>
    <w:rsid w:val="668D4017"/>
    <w:rsid w:val="669D1BD8"/>
    <w:rsid w:val="66B474D2"/>
    <w:rsid w:val="66BE02E8"/>
    <w:rsid w:val="66E16111"/>
    <w:rsid w:val="66F44096"/>
    <w:rsid w:val="66FD73EF"/>
    <w:rsid w:val="67380D15"/>
    <w:rsid w:val="679A4C3E"/>
    <w:rsid w:val="67D40C74"/>
    <w:rsid w:val="68386205"/>
    <w:rsid w:val="68CA50AF"/>
    <w:rsid w:val="68D20407"/>
    <w:rsid w:val="68E87C2B"/>
    <w:rsid w:val="690802CD"/>
    <w:rsid w:val="69E5416A"/>
    <w:rsid w:val="6A7C687C"/>
    <w:rsid w:val="6ABE0C43"/>
    <w:rsid w:val="6B3C7DBA"/>
    <w:rsid w:val="6B737129"/>
    <w:rsid w:val="6BCD2C20"/>
    <w:rsid w:val="6BDF70C3"/>
    <w:rsid w:val="6D15645B"/>
    <w:rsid w:val="6E096679"/>
    <w:rsid w:val="6E753D0F"/>
    <w:rsid w:val="6ECE341F"/>
    <w:rsid w:val="6F525DFE"/>
    <w:rsid w:val="6FC84721"/>
    <w:rsid w:val="6FCD1169"/>
    <w:rsid w:val="704E149C"/>
    <w:rsid w:val="706202C3"/>
    <w:rsid w:val="70761FC0"/>
    <w:rsid w:val="707C3028"/>
    <w:rsid w:val="70AE330D"/>
    <w:rsid w:val="70E1568B"/>
    <w:rsid w:val="718220C8"/>
    <w:rsid w:val="718B6ACC"/>
    <w:rsid w:val="71C905C1"/>
    <w:rsid w:val="71CD20B4"/>
    <w:rsid w:val="71F238C8"/>
    <w:rsid w:val="72141A90"/>
    <w:rsid w:val="72255A4C"/>
    <w:rsid w:val="722A2943"/>
    <w:rsid w:val="722B200E"/>
    <w:rsid w:val="72B901D7"/>
    <w:rsid w:val="734E333B"/>
    <w:rsid w:val="736D76AA"/>
    <w:rsid w:val="73F27BAF"/>
    <w:rsid w:val="742C1313"/>
    <w:rsid w:val="745919DD"/>
    <w:rsid w:val="751549D5"/>
    <w:rsid w:val="75A629FF"/>
    <w:rsid w:val="75C630A2"/>
    <w:rsid w:val="76464FFB"/>
    <w:rsid w:val="76592168"/>
    <w:rsid w:val="767D7C04"/>
    <w:rsid w:val="776727D7"/>
    <w:rsid w:val="776E0D36"/>
    <w:rsid w:val="77FE1C7A"/>
    <w:rsid w:val="78CF226D"/>
    <w:rsid w:val="799E0A07"/>
    <w:rsid w:val="79A47B9E"/>
    <w:rsid w:val="79D73ACF"/>
    <w:rsid w:val="79F76A84"/>
    <w:rsid w:val="7AC34054"/>
    <w:rsid w:val="7C393E9B"/>
    <w:rsid w:val="7D060D93"/>
    <w:rsid w:val="7ECD35DF"/>
    <w:rsid w:val="7EDE145C"/>
    <w:rsid w:val="7EF25F33"/>
    <w:rsid w:val="7F064B94"/>
    <w:rsid w:val="7F4A6AF1"/>
    <w:rsid w:val="7FB4040F"/>
    <w:rsid w:val="7FBB6380"/>
    <w:rsid w:val="7FD521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fillcolor="white">
      <v:fill color="white"/>
    </o:shapedefaults>
    <o:shapelayout v:ext="edit">
      <o:idmap v:ext="edit" data="1"/>
    </o:shapelayout>
  </w:shapeDefaults>
  <w:decimalSymbol w:val="."/>
  <w:listSeparator w:val=","/>
  <w14:docId w14:val="0FE062E1"/>
  <w15:docId w15:val="{2AC84658-3007-404F-84E1-91976FF2B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Adobe 仿宋 Std R"/>
      <w:kern w:val="2"/>
      <w:sz w:val="32"/>
      <w:szCs w:val="24"/>
    </w:rPr>
  </w:style>
  <w:style w:type="paragraph" w:styleId="3">
    <w:name w:val="heading 3"/>
    <w:basedOn w:val="a"/>
    <w:next w:val="a"/>
    <w:uiPriority w:val="9"/>
    <w:semiHidden/>
    <w:unhideWhenUsed/>
    <w:qFormat/>
    <w:pPr>
      <w:spacing w:beforeAutospacing="1" w:afterAutospacing="1"/>
      <w:jc w:val="left"/>
      <w:outlineLvl w:val="2"/>
    </w:pPr>
    <w:rPr>
      <w:rFonts w:ascii="宋体" w:eastAsia="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Plain Text"/>
    <w:basedOn w:val="a"/>
    <w:uiPriority w:val="99"/>
    <w:semiHidden/>
    <w:unhideWhenUsed/>
    <w:qFormat/>
    <w:rPr>
      <w:rFonts w:ascii="宋体" w:hAnsi="Courier New"/>
    </w:rPr>
  </w:style>
  <w:style w:type="paragraph" w:styleId="a6">
    <w:name w:val="Balloon Text"/>
    <w:basedOn w:val="a"/>
    <w:link w:val="a7"/>
    <w:uiPriority w:val="99"/>
    <w:semiHidden/>
    <w:unhideWhenUsed/>
    <w:qFormat/>
    <w:rPr>
      <w:sz w:val="18"/>
      <w:szCs w:val="18"/>
    </w:rPr>
  </w:style>
  <w:style w:type="paragraph" w:styleId="a8">
    <w:name w:val="footer"/>
    <w:basedOn w:val="a"/>
    <w:autoRedefine/>
    <w:uiPriority w:val="99"/>
    <w:unhideWhenUsed/>
    <w:qFormat/>
    <w:pPr>
      <w:tabs>
        <w:tab w:val="center" w:pos="4153"/>
        <w:tab w:val="right" w:pos="8306"/>
      </w:tabs>
      <w:snapToGrid w:val="0"/>
      <w:jc w:val="left"/>
    </w:pPr>
    <w:rPr>
      <w:sz w:val="18"/>
    </w:rPr>
  </w:style>
  <w:style w:type="paragraph" w:styleId="a9">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a">
    <w:name w:val="annotation subject"/>
    <w:basedOn w:val="a3"/>
    <w:next w:val="a3"/>
    <w:link w:val="ab"/>
    <w:autoRedefine/>
    <w:uiPriority w:val="99"/>
    <w:semiHidden/>
    <w:unhideWhenUsed/>
    <w:qFormat/>
    <w:rPr>
      <w:b/>
      <w:bCs/>
    </w:rPr>
  </w:style>
  <w:style w:type="table" w:styleId="ac">
    <w:name w:val="Table Grid"/>
    <w:basedOn w:val="a1"/>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annotation reference"/>
    <w:basedOn w:val="a0"/>
    <w:autoRedefine/>
    <w:uiPriority w:val="99"/>
    <w:semiHidden/>
    <w:unhideWhenUsed/>
    <w:qFormat/>
    <w:rPr>
      <w:sz w:val="21"/>
      <w:szCs w:val="21"/>
    </w:rPr>
  </w:style>
  <w:style w:type="paragraph" w:styleId="ae">
    <w:name w:val="No Spacing"/>
    <w:autoRedefine/>
    <w:qFormat/>
    <w:pPr>
      <w:adjustRightInd w:val="0"/>
      <w:snapToGrid w:val="0"/>
    </w:pPr>
    <w:rPr>
      <w:rFonts w:ascii="Tahoma" w:eastAsia="微软雅黑" w:hAnsi="Tahoma"/>
      <w:sz w:val="22"/>
      <w:szCs w:val="22"/>
    </w:rPr>
  </w:style>
  <w:style w:type="paragraph" w:customStyle="1" w:styleId="1">
    <w:name w:val="列出段落1"/>
    <w:basedOn w:val="a"/>
    <w:link w:val="Char"/>
    <w:autoRedefine/>
    <w:uiPriority w:val="34"/>
    <w:qFormat/>
    <w:pPr>
      <w:ind w:firstLineChars="200" w:firstLine="420"/>
    </w:pPr>
    <w:rPr>
      <w:rFonts w:eastAsia="仿宋_GB2312"/>
      <w:szCs w:val="32"/>
    </w:rPr>
  </w:style>
  <w:style w:type="character" w:customStyle="1" w:styleId="Char">
    <w:name w:val="列出段落 Char"/>
    <w:basedOn w:val="a0"/>
    <w:link w:val="1"/>
    <w:autoRedefine/>
    <w:uiPriority w:val="34"/>
    <w:qFormat/>
    <w:rPr>
      <w:rFonts w:ascii="Times New Roman" w:eastAsia="仿宋_GB2312" w:hAnsi="Times New Roman" w:cs="Times New Roman"/>
      <w:sz w:val="32"/>
      <w:szCs w:val="32"/>
    </w:rPr>
  </w:style>
  <w:style w:type="character" w:customStyle="1" w:styleId="a7">
    <w:name w:val="批注框文本 字符"/>
    <w:basedOn w:val="a0"/>
    <w:link w:val="a6"/>
    <w:autoRedefine/>
    <w:uiPriority w:val="99"/>
    <w:semiHidden/>
    <w:qFormat/>
    <w:rPr>
      <w:rFonts w:ascii="Times New Roman" w:eastAsia="Adobe 仿宋 Std R" w:hAnsi="Times New Roman" w:cs="Times New Roman"/>
      <w:kern w:val="2"/>
      <w:sz w:val="18"/>
      <w:szCs w:val="18"/>
    </w:rPr>
  </w:style>
  <w:style w:type="paragraph" w:styleId="af">
    <w:name w:val="List Paragraph"/>
    <w:basedOn w:val="a"/>
    <w:autoRedefine/>
    <w:uiPriority w:val="99"/>
    <w:unhideWhenUsed/>
    <w:qFormat/>
    <w:pPr>
      <w:ind w:firstLineChars="200" w:firstLine="420"/>
    </w:pPr>
  </w:style>
  <w:style w:type="character" w:customStyle="1" w:styleId="a4">
    <w:name w:val="批注文字 字符"/>
    <w:basedOn w:val="a0"/>
    <w:link w:val="a3"/>
    <w:uiPriority w:val="99"/>
    <w:semiHidden/>
    <w:qFormat/>
    <w:rPr>
      <w:rFonts w:ascii="Times New Roman" w:eastAsia="Adobe 仿宋 Std R" w:hAnsi="Times New Roman" w:cs="Times New Roman"/>
      <w:kern w:val="2"/>
      <w:sz w:val="32"/>
      <w:szCs w:val="24"/>
    </w:rPr>
  </w:style>
  <w:style w:type="character" w:customStyle="1" w:styleId="ab">
    <w:name w:val="批注主题 字符"/>
    <w:basedOn w:val="a4"/>
    <w:link w:val="aa"/>
    <w:autoRedefine/>
    <w:uiPriority w:val="99"/>
    <w:semiHidden/>
    <w:qFormat/>
    <w:rPr>
      <w:rFonts w:ascii="Times New Roman" w:eastAsia="Adobe 仿宋 Std R" w:hAnsi="Times New Roman" w:cs="Times New Roman"/>
      <w:b/>
      <w:bCs/>
      <w:kern w:val="2"/>
      <w:sz w:val="32"/>
      <w:szCs w:val="24"/>
    </w:rPr>
  </w:style>
  <w:style w:type="paragraph" w:customStyle="1" w:styleId="af0">
    <w:name w:val="段"/>
    <w:autoRedefine/>
    <w:qFormat/>
    <w:pPr>
      <w:autoSpaceDE w:val="0"/>
      <w:autoSpaceDN w:val="0"/>
      <w:ind w:firstLineChars="200" w:firstLine="200"/>
      <w:jc w:val="both"/>
    </w:pPr>
    <w:rPr>
      <w:rFonts w:ascii="宋体"/>
    </w:rPr>
  </w:style>
  <w:style w:type="character" w:customStyle="1" w:styleId="tit2">
    <w:name w:val="tit2"/>
    <w:autoRedefine/>
    <w:qFormat/>
    <w:rPr>
      <w:rFonts w:cs="Times New Roman"/>
      <w:b/>
      <w:bCs/>
      <w:sz w:val="48"/>
      <w:szCs w:val="48"/>
    </w:rPr>
  </w:style>
  <w:style w:type="character" w:customStyle="1" w:styleId="f101">
    <w:name w:val="f101"/>
    <w:autoRedefine/>
    <w:qFormat/>
    <w:rPr>
      <w:sz w:val="24"/>
      <w:szCs w:val="24"/>
    </w:rPr>
  </w:style>
  <w:style w:type="paragraph" w:customStyle="1" w:styleId="pf0">
    <w:name w:val="pf0"/>
    <w:basedOn w:val="a"/>
    <w:qFormat/>
    <w:pPr>
      <w:widowControl/>
      <w:spacing w:before="100" w:beforeAutospacing="1" w:after="100" w:afterAutospacing="1"/>
      <w:jc w:val="left"/>
    </w:pPr>
    <w:rPr>
      <w:rFonts w:ascii="宋体" w:eastAsia="宋体" w:hAnsi="宋体" w:cs="宋体"/>
      <w:kern w:val="0"/>
      <w:sz w:val="24"/>
    </w:rPr>
  </w:style>
  <w:style w:type="character" w:customStyle="1" w:styleId="cf01">
    <w:name w:val="cf01"/>
    <w:basedOn w:val="a0"/>
    <w:qFormat/>
    <w:rPr>
      <w:rFonts w:ascii="Microsoft YaHei UI" w:eastAsia="Microsoft YaHei UI" w:hAnsi="Microsoft YaHei UI" w:hint="eastAsia"/>
      <w:sz w:val="18"/>
      <w:szCs w:val="18"/>
    </w:rPr>
  </w:style>
  <w:style w:type="character" w:styleId="af1">
    <w:name w:val="line number"/>
    <w:basedOn w:val="a0"/>
    <w:uiPriority w:val="99"/>
    <w:semiHidden/>
    <w:unhideWhenUsed/>
    <w:rsid w:val="00D17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AA4EC3-E03A-43E8-97A1-C198124B3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1077</Words>
  <Characters>6140</Characters>
  <Application>Microsoft Office Word</Application>
  <DocSecurity>0</DocSecurity>
  <Lines>51</Lines>
  <Paragraphs>14</Paragraphs>
  <ScaleCrop>false</ScaleCrop>
  <Company>Microsoft</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董利华</dc:creator>
  <cp:lastModifiedBy>高田</cp:lastModifiedBy>
  <cp:revision>17</cp:revision>
  <dcterms:created xsi:type="dcterms:W3CDTF">2022-01-12T05:16:00Z</dcterms:created>
  <dcterms:modified xsi:type="dcterms:W3CDTF">2025-12-03T06:57:00Z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A946306B261143EAB8F75712E7010A65</vt:lpwstr>
  </property>
  <property fmtid="{D5CDD505-2E9C-101B-9397-08002B2CF9AE}" pid="4" name="KSOTemplateDocerSaveRecord">
    <vt:lpwstr>eyJoZGlkIjoiNzE0NWFmNDdkNzQwYWFkZmI5MWQ5MDNkNjcwZTdkYTMiLCJ1c2VySWQiOiI0MDA2NzI3NjMifQ==</vt:lpwstr>
  </property>
</Properties>
</file>