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C0" w:rsidRDefault="00081A49">
      <w:pPr>
        <w:spacing w:line="520" w:lineRule="exact"/>
        <w:jc w:val="center"/>
        <w:rPr>
          <w:rFonts w:eastAsia="方正小标宋简体"/>
          <w:color w:val="000000" w:themeColor="text1"/>
          <w:sz w:val="44"/>
          <w:szCs w:val="44"/>
        </w:rPr>
      </w:pPr>
      <w:r>
        <w:rPr>
          <w:rFonts w:eastAsia="方正小标宋简体" w:hint="eastAsia"/>
          <w:color w:val="000000" w:themeColor="text1"/>
          <w:sz w:val="44"/>
          <w:szCs w:val="44"/>
        </w:rPr>
        <w:t>一次性使用无菌尿道扩张器注册审查</w:t>
      </w:r>
    </w:p>
    <w:p w:rsidR="009675C0" w:rsidRDefault="00081A49">
      <w:pPr>
        <w:spacing w:line="520" w:lineRule="exact"/>
        <w:jc w:val="center"/>
        <w:rPr>
          <w:rFonts w:eastAsia="方正小标宋简体"/>
          <w:color w:val="000000" w:themeColor="text1"/>
          <w:sz w:val="44"/>
          <w:szCs w:val="44"/>
        </w:rPr>
      </w:pPr>
      <w:r>
        <w:rPr>
          <w:rFonts w:eastAsia="方正小标宋简体" w:hint="eastAsia"/>
          <w:color w:val="000000" w:themeColor="text1"/>
          <w:sz w:val="44"/>
          <w:szCs w:val="44"/>
        </w:rPr>
        <w:t>指导原则</w:t>
      </w:r>
      <w:bookmarkStart w:id="0" w:name="_GoBack"/>
      <w:bookmarkEnd w:id="0"/>
    </w:p>
    <w:p w:rsidR="009675C0" w:rsidRDefault="009675C0">
      <w:pPr>
        <w:spacing w:line="520" w:lineRule="exact"/>
        <w:ind w:firstLineChars="200" w:firstLine="640"/>
        <w:rPr>
          <w:rFonts w:eastAsia="仿宋_GB2312"/>
          <w:color w:val="000000" w:themeColor="text1"/>
          <w:kern w:val="0"/>
          <w:sz w:val="32"/>
          <w:szCs w:val="32"/>
        </w:rPr>
      </w:pPr>
    </w:p>
    <w:p w:rsidR="009675C0" w:rsidRDefault="00081A49">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本指导原则旨在</w:t>
      </w:r>
      <w:r>
        <w:rPr>
          <w:rFonts w:ascii="仿宋_GB2312" w:eastAsia="仿宋_GB2312" w:hAnsi="仿宋_GB2312" w:cs="仿宋_GB2312" w:hint="eastAsia"/>
          <w:color w:val="000000" w:themeColor="text1"/>
          <w:sz w:val="32"/>
          <w:szCs w:val="32"/>
        </w:rPr>
        <w:t>帮助和</w:t>
      </w:r>
      <w:r>
        <w:rPr>
          <w:rFonts w:ascii="仿宋_GB2312" w:eastAsia="仿宋_GB2312" w:hAnsi="仿宋_GB2312" w:cs="仿宋_GB2312" w:hint="eastAsia"/>
          <w:color w:val="000000" w:themeColor="text1"/>
          <w:kern w:val="0"/>
          <w:sz w:val="32"/>
          <w:szCs w:val="32"/>
        </w:rPr>
        <w:t>指导注册申请人对一次性使用无菌尿道扩张器注册申报资料的准备及撰写，同时也为技术审评部门审评注册申报资料提供参考。</w:t>
      </w:r>
    </w:p>
    <w:p w:rsidR="009675C0" w:rsidRDefault="00081A49">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指导原则是对一次性使用无菌尿道扩张器注册申报资料的一般要求，注册申请人需依据产品的具体特性确定其中内容是否适用。若不适用，需具体阐述理由及相应的科学依据，并依据产品的具体特性对注册申报资料的内容进行充实和细化。</w:t>
      </w:r>
    </w:p>
    <w:p w:rsidR="009675C0" w:rsidRDefault="00081A49">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指导原则是供注册申请人和技术审评人员参考使用的指导性文件，但不包括注册审批所涉及的行政事项，也不作为法规强制执行，应在遵循相关法规的前提下使用本指导原则。如有能够满足相关法规要求的其他方法，也可以采用，但应提供详细的研究资料和验证资料。</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本指导原则是在现行法规、标准体系及当前认知水平下制定的，随着法规、标准体系的不断完善和科学技术的不断发展，本指导原则相关内容也将适时进行调整。</w:t>
      </w:r>
    </w:p>
    <w:p w:rsidR="009675C0" w:rsidRDefault="00081A49">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一、适用范围</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本指导原则适用于《医疗器械分类目录》中管理类别为第二类，分类编码为</w:t>
      </w:r>
      <w:r>
        <w:rPr>
          <w:rFonts w:eastAsia="仿宋_GB2312"/>
          <w:color w:val="000000" w:themeColor="text1"/>
          <w:sz w:val="32"/>
          <w:szCs w:val="32"/>
        </w:rPr>
        <w:t>02-11-03</w:t>
      </w:r>
      <w:r>
        <w:rPr>
          <w:rFonts w:ascii="仿宋_GB2312" w:eastAsia="仿宋_GB2312" w:hAnsi="仿宋_GB2312" w:cs="仿宋_GB2312" w:hint="eastAsia"/>
          <w:color w:val="000000" w:themeColor="text1"/>
          <w:sz w:val="32"/>
          <w:szCs w:val="32"/>
        </w:rPr>
        <w:t>的一次性使用无菌尿道扩张器（以下简称“尿道扩张器”）。</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本指导原则不适用于不锈钢材料制成的重复使用的尿道扩张器。</w:t>
      </w:r>
    </w:p>
    <w:p w:rsidR="009675C0" w:rsidRDefault="00081A49">
      <w:pPr>
        <w:spacing w:line="520" w:lineRule="exact"/>
        <w:ind w:firstLineChars="200" w:firstLine="640"/>
        <w:rPr>
          <w:rStyle w:val="NormalCharacte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本指导原则未对导丝相关内容进行阐述，</w:t>
      </w:r>
      <w:r>
        <w:rPr>
          <w:rFonts w:ascii="仿宋_GB2312" w:eastAsia="仿宋_GB2312" w:hAnsi="仿宋_GB2312" w:cs="仿宋_GB2312" w:hint="eastAsia"/>
          <w:color w:val="000000" w:themeColor="text1"/>
          <w:spacing w:val="-4"/>
          <w:sz w:val="32"/>
          <w:szCs w:val="32"/>
        </w:rPr>
        <w:t>若含导丝组件可参</w:t>
      </w:r>
      <w:r>
        <w:rPr>
          <w:rFonts w:ascii="仿宋_GB2312" w:eastAsia="仿宋_GB2312" w:hAnsi="仿宋_GB2312" w:cs="仿宋_GB2312" w:hint="eastAsia"/>
          <w:color w:val="000000" w:themeColor="text1"/>
          <w:spacing w:val="-4"/>
          <w:sz w:val="32"/>
          <w:szCs w:val="32"/>
        </w:rPr>
        <w:lastRenderedPageBreak/>
        <w:t>考非血管腔道导丝相关注册审查指导原则</w:t>
      </w:r>
      <w:r>
        <w:rPr>
          <w:rFonts w:ascii="仿宋_GB2312" w:eastAsia="仿宋_GB2312" w:hAnsi="仿宋_GB2312" w:cs="仿宋_GB2312" w:hint="eastAsia"/>
          <w:color w:val="000000" w:themeColor="text1"/>
          <w:sz w:val="32"/>
          <w:szCs w:val="32"/>
        </w:rPr>
        <w:t>。</w:t>
      </w:r>
    </w:p>
    <w:p w:rsidR="009675C0" w:rsidRDefault="00081A49">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二、注册审查要点</w:t>
      </w:r>
    </w:p>
    <w:p w:rsidR="009675C0" w:rsidRDefault="00081A49">
      <w:pPr>
        <w:spacing w:line="52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（一）产品设计开发</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尿道扩张器产品设计开发应以临床为导向，应能保证其用于临床扩张尿道的安全和有效。产品设计开发和生产过程应保证产生的析出物</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加工残留物等降低到可接受水平，为患者提供最大程度的安全保障。产品设计开发应考虑医疗器械可用性工程的要求，以降低与正确使用或错误使用有关的，由可用性问题产生的风险。</w:t>
      </w:r>
    </w:p>
    <w:p w:rsidR="009675C0" w:rsidRDefault="00081A49">
      <w:pPr>
        <w:spacing w:line="520" w:lineRule="exact"/>
        <w:ind w:firstLineChars="200" w:firstLine="640"/>
        <w:rPr>
          <w:rFonts w:ascii="楷体_GB2312" w:eastAsia="楷体_GB2312" w:hAnsi="楷体_GB2312" w:cs="楷体_GB2312"/>
          <w:bCs/>
          <w:color w:val="000000" w:themeColor="text1"/>
          <w:sz w:val="32"/>
          <w:szCs w:val="32"/>
        </w:rPr>
      </w:pPr>
      <w:r>
        <w:rPr>
          <w:rFonts w:ascii="楷体_GB2312" w:eastAsia="楷体_GB2312" w:hAnsi="楷体_GB2312" w:cs="楷体_GB2312" w:hint="eastAsia"/>
          <w:color w:val="000000" w:themeColor="text1"/>
          <w:sz w:val="32"/>
          <w:szCs w:val="32"/>
        </w:rPr>
        <w:t>（二）监管信息</w:t>
      </w:r>
    </w:p>
    <w:p w:rsidR="009675C0" w:rsidRDefault="00081A49">
      <w:pPr>
        <w:overflowPunct w:val="0"/>
        <w:adjustRightInd w:val="0"/>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eastAsia="仿宋_GB2312"/>
          <w:snapToGrid w:val="0"/>
          <w:color w:val="000000" w:themeColor="text1"/>
          <w:kern w:val="0"/>
          <w:sz w:val="32"/>
          <w:szCs w:val="32"/>
        </w:rPr>
        <w:t>1</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产品名称</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产品名称应符合《医疗器械通用名称命名规则》</w:t>
      </w:r>
      <w:r>
        <w:rPr>
          <w:rFonts w:ascii="仿宋_GB2312" w:eastAsia="仿宋_GB2312" w:hAnsi="仿宋_GB2312" w:cs="仿宋_GB2312" w:hint="eastAsia"/>
          <w:color w:val="000000" w:themeColor="text1"/>
          <w:spacing w:val="-4"/>
          <w:sz w:val="32"/>
          <w:szCs w:val="32"/>
        </w:rPr>
        <w:t>《医疗器械通用名称命名指导原则》</w:t>
      </w:r>
      <w:r>
        <w:rPr>
          <w:rFonts w:ascii="仿宋_GB2312" w:eastAsia="仿宋_GB2312" w:hAnsi="仿宋_GB2312" w:cs="仿宋_GB2312" w:hint="eastAsia"/>
          <w:color w:val="000000" w:themeColor="text1"/>
          <w:sz w:val="32"/>
          <w:szCs w:val="32"/>
        </w:rPr>
        <w:t>《无源手术器械通用名称命名指导原则》的要求。一般采用“</w:t>
      </w:r>
      <w:r>
        <w:rPr>
          <w:rFonts w:ascii="仿宋_GB2312" w:eastAsia="仿宋_GB2312" w:hAnsi="仿宋_GB2312" w:cs="仿宋_GB2312" w:hint="eastAsia"/>
          <w:color w:val="000000" w:themeColor="text1"/>
          <w:spacing w:val="-4"/>
          <w:sz w:val="32"/>
          <w:szCs w:val="32"/>
        </w:rPr>
        <w:t>特征词</w:t>
      </w:r>
      <w:r>
        <w:rPr>
          <w:rFonts w:ascii="仿宋_GB2312" w:eastAsia="仿宋_GB2312" w:hAnsi="仿宋_GB2312" w:cs="仿宋_GB2312" w:hint="eastAsia"/>
          <w:color w:val="000000" w:themeColor="text1"/>
          <w:spacing w:val="-4"/>
          <w:sz w:val="32"/>
          <w:szCs w:val="32"/>
        </w:rPr>
        <w:t>1</w:t>
      </w:r>
      <w:r>
        <w:rPr>
          <w:rFonts w:ascii="仿宋_GB2312" w:eastAsia="仿宋_GB2312" w:hAnsi="仿宋_GB2312" w:cs="仿宋_GB2312" w:hint="eastAsia"/>
          <w:color w:val="000000" w:themeColor="text1"/>
          <w:spacing w:val="-4"/>
          <w:sz w:val="32"/>
          <w:szCs w:val="32"/>
        </w:rPr>
        <w:t>（如有）</w:t>
      </w:r>
      <w:r>
        <w:rPr>
          <w:rFonts w:ascii="仿宋_GB2312" w:eastAsia="仿宋_GB2312" w:hAnsi="仿宋_GB2312" w:cs="仿宋_GB2312" w:hint="eastAsia"/>
          <w:color w:val="000000" w:themeColor="text1"/>
          <w:spacing w:val="-4"/>
          <w:sz w:val="32"/>
          <w:szCs w:val="32"/>
        </w:rPr>
        <w:t>+</w:t>
      </w:r>
      <w:r>
        <w:rPr>
          <w:rFonts w:ascii="仿宋_GB2312" w:eastAsia="仿宋_GB2312" w:hAnsi="仿宋_GB2312" w:cs="仿宋_GB2312" w:hint="eastAsia"/>
          <w:color w:val="000000" w:themeColor="text1"/>
          <w:spacing w:val="-4"/>
          <w:sz w:val="32"/>
          <w:szCs w:val="32"/>
        </w:rPr>
        <w:t>特征词</w:t>
      </w:r>
      <w:r>
        <w:rPr>
          <w:rFonts w:eastAsia="仿宋_GB2312"/>
          <w:color w:val="000000" w:themeColor="text1"/>
          <w:spacing w:val="-4"/>
          <w:sz w:val="32"/>
          <w:szCs w:val="32"/>
        </w:rPr>
        <w:t>2</w:t>
      </w:r>
      <w:r>
        <w:rPr>
          <w:rFonts w:ascii="仿宋_GB2312" w:eastAsia="仿宋_GB2312" w:hAnsi="仿宋_GB2312" w:cs="仿宋_GB2312" w:hint="eastAsia"/>
          <w:color w:val="000000" w:themeColor="text1"/>
          <w:spacing w:val="-4"/>
          <w:sz w:val="32"/>
          <w:szCs w:val="32"/>
        </w:rPr>
        <w:t>（如有）</w:t>
      </w:r>
      <w:r>
        <w:rPr>
          <w:rFonts w:ascii="仿宋_GB2312" w:eastAsia="仿宋_GB2312" w:hAnsi="仿宋_GB2312" w:cs="仿宋_GB2312" w:hint="eastAsia"/>
          <w:color w:val="000000" w:themeColor="text1"/>
          <w:spacing w:val="-4"/>
          <w:sz w:val="32"/>
          <w:szCs w:val="32"/>
        </w:rPr>
        <w:t>+</w:t>
      </w:r>
      <w:r>
        <w:rPr>
          <w:rFonts w:ascii="仿宋_GB2312" w:eastAsia="仿宋_GB2312" w:hAnsi="仿宋_GB2312" w:cs="仿宋_GB2312" w:hint="eastAsia"/>
          <w:color w:val="000000" w:themeColor="text1"/>
          <w:spacing w:val="-4"/>
          <w:sz w:val="32"/>
          <w:szCs w:val="32"/>
        </w:rPr>
        <w:t>特征词</w:t>
      </w:r>
      <w:r>
        <w:rPr>
          <w:rFonts w:eastAsia="仿宋_GB2312"/>
          <w:color w:val="000000" w:themeColor="text1"/>
          <w:spacing w:val="-4"/>
          <w:sz w:val="32"/>
          <w:szCs w:val="32"/>
        </w:rPr>
        <w:t>3</w:t>
      </w:r>
      <w:r>
        <w:rPr>
          <w:rFonts w:ascii="仿宋_GB2312" w:eastAsia="仿宋_GB2312" w:hAnsi="仿宋_GB2312" w:cs="仿宋_GB2312" w:hint="eastAsia"/>
          <w:color w:val="000000" w:themeColor="text1"/>
          <w:spacing w:val="-4"/>
          <w:sz w:val="32"/>
          <w:szCs w:val="32"/>
        </w:rPr>
        <w:t>（如有）</w:t>
      </w:r>
      <w:r>
        <w:rPr>
          <w:rFonts w:ascii="仿宋_GB2312" w:eastAsia="仿宋_GB2312" w:hAnsi="仿宋_GB2312" w:cs="仿宋_GB2312" w:hint="eastAsia"/>
          <w:color w:val="000000" w:themeColor="text1"/>
          <w:spacing w:val="-4"/>
          <w:sz w:val="32"/>
          <w:szCs w:val="32"/>
        </w:rPr>
        <w:t>+</w:t>
      </w:r>
      <w:r>
        <w:rPr>
          <w:rFonts w:ascii="仿宋_GB2312" w:eastAsia="仿宋_GB2312" w:hAnsi="仿宋_GB2312" w:cs="仿宋_GB2312" w:hint="eastAsia"/>
          <w:color w:val="000000" w:themeColor="text1"/>
          <w:spacing w:val="-4"/>
          <w:sz w:val="32"/>
          <w:szCs w:val="32"/>
        </w:rPr>
        <w:t>核心词”的命名方式，</w:t>
      </w:r>
      <w:r>
        <w:rPr>
          <w:rFonts w:ascii="仿宋_GB2312" w:eastAsia="仿宋_GB2312" w:hAnsi="仿宋_GB2312" w:cs="仿宋_GB2312" w:hint="eastAsia"/>
          <w:color w:val="000000" w:themeColor="text1"/>
          <w:sz w:val="32"/>
          <w:szCs w:val="32"/>
        </w:rPr>
        <w:t>特征词一般不超过</w:t>
      </w:r>
      <w:r>
        <w:rPr>
          <w:rFonts w:eastAsia="仿宋_GB2312"/>
          <w:color w:val="000000" w:themeColor="text1"/>
          <w:sz w:val="32"/>
          <w:szCs w:val="32"/>
        </w:rPr>
        <w:t>3</w:t>
      </w:r>
      <w:r>
        <w:rPr>
          <w:rFonts w:ascii="仿宋_GB2312" w:eastAsia="仿宋_GB2312" w:hAnsi="仿宋_GB2312" w:cs="仿宋_GB2312" w:hint="eastAsia"/>
          <w:color w:val="000000" w:themeColor="text1"/>
          <w:sz w:val="32"/>
          <w:szCs w:val="32"/>
        </w:rPr>
        <w:t>个。</w:t>
      </w:r>
      <w:r>
        <w:rPr>
          <w:rFonts w:ascii="仿宋_GB2312" w:eastAsia="仿宋_GB2312" w:hAnsi="仿宋_GB2312" w:cs="仿宋_GB2312" w:hint="eastAsia"/>
          <w:color w:val="000000" w:themeColor="text1"/>
          <w:spacing w:val="-4"/>
          <w:sz w:val="32"/>
          <w:szCs w:val="32"/>
        </w:rPr>
        <w:t>主要涉及使用形式、使用部位、结构特征等方面。命名举例：一次性使用无菌尿道扩张器。</w:t>
      </w:r>
    </w:p>
    <w:p w:rsidR="009675C0" w:rsidRDefault="00081A49">
      <w:pPr>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eastAsia="仿宋_GB2312"/>
          <w:snapToGrid w:val="0"/>
          <w:color w:val="000000" w:themeColor="text1"/>
          <w:kern w:val="0"/>
          <w:sz w:val="32"/>
          <w:szCs w:val="32"/>
        </w:rPr>
        <w:t>2</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注册单元划分</w:t>
      </w:r>
    </w:p>
    <w:p w:rsidR="009675C0" w:rsidRDefault="00081A49">
      <w:pPr>
        <w:spacing w:line="520" w:lineRule="exact"/>
        <w:ind w:rightChars="-32" w:right="-67"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产品注册单元划分依据《医疗器械注册单元划分指导原则》进行，并着重考虑产品的工作原理、结构组成、性能指标、适用范围等因素。主要制造材料有差异导致性能指标不同的，原则上划分为不同的注册单元。</w:t>
      </w:r>
    </w:p>
    <w:p w:rsidR="009675C0" w:rsidRDefault="00081A49">
      <w:pPr>
        <w:spacing w:line="52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（三）综述资料</w:t>
      </w:r>
    </w:p>
    <w:p w:rsidR="009675C0" w:rsidRDefault="00081A49">
      <w:pPr>
        <w:spacing w:line="520" w:lineRule="exact"/>
        <w:ind w:firstLineChars="200" w:firstLine="640"/>
        <w:rPr>
          <w:rFonts w:ascii="仿宋_GB2312" w:eastAsia="仿宋_GB2312" w:hAnsi="仿宋_GB2312" w:cs="仿宋_GB2312"/>
          <w:bCs/>
          <w:color w:val="000000" w:themeColor="text1"/>
          <w:sz w:val="32"/>
          <w:szCs w:val="32"/>
        </w:rPr>
      </w:pPr>
      <w:r>
        <w:rPr>
          <w:rFonts w:eastAsia="仿宋_GB2312"/>
          <w:snapToGrid w:val="0"/>
          <w:color w:val="000000" w:themeColor="text1"/>
          <w:kern w:val="0"/>
          <w:sz w:val="32"/>
          <w:szCs w:val="32"/>
        </w:rPr>
        <w:t>1</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结构及组成</w:t>
      </w:r>
    </w:p>
    <w:p w:rsidR="009675C0" w:rsidRDefault="00081A49">
      <w:pPr>
        <w:spacing w:line="520" w:lineRule="exact"/>
        <w:ind w:firstLineChars="200" w:firstLine="640"/>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color w:val="000000" w:themeColor="text1"/>
          <w:sz w:val="32"/>
          <w:szCs w:val="32"/>
        </w:rPr>
        <w:t>产品通常由硬质导丝和软质导管组成，为细长结构。导管</w:t>
      </w:r>
      <w:r>
        <w:rPr>
          <w:rFonts w:ascii="仿宋_GB2312" w:eastAsia="仿宋_GB2312" w:hAnsi="仿宋_GB2312" w:cs="仿宋_GB2312" w:hint="eastAsia"/>
          <w:color w:val="000000" w:themeColor="text1"/>
          <w:spacing w:val="-4"/>
          <w:sz w:val="32"/>
          <w:szCs w:val="32"/>
        </w:rPr>
        <w:t>表</w:t>
      </w:r>
      <w:r>
        <w:rPr>
          <w:rFonts w:ascii="仿宋_GB2312" w:eastAsia="仿宋_GB2312" w:hAnsi="仿宋_GB2312" w:cs="仿宋_GB2312" w:hint="eastAsia"/>
          <w:color w:val="000000" w:themeColor="text1"/>
          <w:spacing w:val="-4"/>
          <w:sz w:val="32"/>
          <w:szCs w:val="32"/>
        </w:rPr>
        <w:lastRenderedPageBreak/>
        <w:t>面可有涂层，</w:t>
      </w:r>
      <w:r>
        <w:rPr>
          <w:rFonts w:ascii="仿宋_GB2312" w:eastAsia="仿宋_GB2312" w:hAnsi="仿宋_GB2312" w:cs="仿宋_GB2312" w:hint="eastAsia"/>
          <w:color w:val="000000" w:themeColor="text1"/>
          <w:sz w:val="32"/>
          <w:szCs w:val="32"/>
        </w:rPr>
        <w:t>亦</w:t>
      </w:r>
      <w:r>
        <w:rPr>
          <w:rFonts w:ascii="仿宋_GB2312" w:eastAsia="仿宋_GB2312" w:hAnsi="仿宋_GB2312" w:cs="仿宋_GB2312" w:hint="eastAsia"/>
          <w:color w:val="000000" w:themeColor="text1"/>
          <w:spacing w:val="-4"/>
          <w:sz w:val="32"/>
          <w:szCs w:val="32"/>
        </w:rPr>
        <w:t>可有显影标记。无菌提供，一次性使用。</w:t>
      </w:r>
    </w:p>
    <w:p w:rsidR="009675C0" w:rsidRDefault="00081A49">
      <w:pPr>
        <w:spacing w:line="520" w:lineRule="exact"/>
        <w:ind w:firstLineChars="200" w:firstLine="624"/>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pacing w:val="-4"/>
          <w:sz w:val="32"/>
          <w:szCs w:val="32"/>
        </w:rPr>
        <w:t>注册申请人应明确产品的结构和组成，并提供相应的</w:t>
      </w:r>
      <w:r>
        <w:rPr>
          <w:rFonts w:ascii="仿宋_GB2312" w:eastAsia="仿宋_GB2312" w:hAnsi="仿宋_GB2312" w:cs="仿宋_GB2312" w:hint="eastAsia"/>
          <w:color w:val="000000" w:themeColor="text1"/>
          <w:spacing w:val="-4"/>
          <w:sz w:val="32"/>
          <w:szCs w:val="32"/>
        </w:rPr>
        <w:t>结构图示。</w:t>
      </w:r>
      <w:r>
        <w:rPr>
          <w:rFonts w:ascii="仿宋_GB2312" w:eastAsia="仿宋_GB2312" w:hAnsi="仿宋_GB2312" w:cs="仿宋_GB2312" w:hint="eastAsia"/>
          <w:bCs/>
          <w:color w:val="000000" w:themeColor="text1"/>
          <w:spacing w:val="-4"/>
          <w:sz w:val="32"/>
          <w:szCs w:val="32"/>
        </w:rPr>
        <w:t>在图示中标识产品各组成部件的名称、重要尺寸信息及测量位置（导管有效长度、外径、最小内径、尖端锥度或尖端长度等）。</w:t>
      </w:r>
      <w:r>
        <w:rPr>
          <w:rFonts w:ascii="仿宋_GB2312" w:eastAsia="仿宋_GB2312" w:hAnsi="仿宋_GB2312" w:cs="仿宋_GB2312" w:hint="eastAsia"/>
          <w:color w:val="000000" w:themeColor="text1"/>
          <w:kern w:val="0"/>
          <w:sz w:val="32"/>
          <w:szCs w:val="32"/>
        </w:rPr>
        <w:t>对于表面有涂层的导管，需明确涂层成分、涂层特征、涂覆范围及涂覆方式。</w:t>
      </w:r>
      <w:r>
        <w:rPr>
          <w:rFonts w:ascii="仿宋_GB2312" w:eastAsia="仿宋_GB2312" w:hAnsi="仿宋_GB2312" w:cs="仿宋_GB2312" w:hint="eastAsia"/>
          <w:color w:val="000000" w:themeColor="text1"/>
          <w:sz w:val="32"/>
          <w:szCs w:val="32"/>
        </w:rPr>
        <w:t>常见产品</w:t>
      </w:r>
      <w:r>
        <w:rPr>
          <w:rFonts w:ascii="仿宋_GB2312" w:eastAsia="仿宋_GB2312" w:hAnsi="仿宋_GB2312" w:cs="仿宋_GB2312" w:hint="eastAsia"/>
          <w:color w:val="000000" w:themeColor="text1"/>
          <w:spacing w:val="-4"/>
          <w:sz w:val="32"/>
          <w:szCs w:val="32"/>
        </w:rPr>
        <w:t>外形结构如图</w:t>
      </w:r>
      <w:r>
        <w:rPr>
          <w:rFonts w:eastAsia="仿宋_GB2312"/>
          <w:color w:val="000000" w:themeColor="text1"/>
          <w:spacing w:val="-4"/>
          <w:sz w:val="32"/>
          <w:szCs w:val="32"/>
        </w:rPr>
        <w:t>1</w:t>
      </w:r>
      <w:r>
        <w:rPr>
          <w:rFonts w:eastAsia="仿宋_GB2312"/>
          <w:color w:val="000000" w:themeColor="text1"/>
          <w:spacing w:val="-4"/>
          <w:sz w:val="32"/>
          <w:szCs w:val="32"/>
        </w:rPr>
        <w:t>、图</w:t>
      </w:r>
      <w:r>
        <w:rPr>
          <w:rFonts w:eastAsia="仿宋_GB2312"/>
          <w:color w:val="000000" w:themeColor="text1"/>
          <w:spacing w:val="-4"/>
          <w:sz w:val="32"/>
          <w:szCs w:val="32"/>
        </w:rPr>
        <w:t>2</w:t>
      </w:r>
      <w:r>
        <w:rPr>
          <w:rFonts w:ascii="仿宋_GB2312" w:eastAsia="仿宋_GB2312" w:hAnsi="仿宋_GB2312" w:cs="仿宋_GB2312" w:hint="eastAsia"/>
          <w:color w:val="000000" w:themeColor="text1"/>
          <w:spacing w:val="-4"/>
          <w:sz w:val="32"/>
          <w:szCs w:val="32"/>
        </w:rPr>
        <w:t>所示</w:t>
      </w:r>
      <w:r>
        <w:rPr>
          <w:rFonts w:ascii="仿宋_GB2312" w:eastAsia="仿宋_GB2312" w:hAnsi="仿宋_GB2312" w:cs="仿宋_GB2312" w:hint="eastAsia"/>
          <w:color w:val="000000" w:themeColor="text1"/>
          <w:sz w:val="32"/>
          <w:szCs w:val="32"/>
        </w:rPr>
        <w:t>，其中直型结构更适用于女性，弯型结构更适用于男性。</w:t>
      </w:r>
    </w:p>
    <w:p w:rsidR="009675C0" w:rsidRDefault="009675C0">
      <w:pPr>
        <w:spacing w:line="480" w:lineRule="exact"/>
        <w:ind w:firstLineChars="200" w:firstLine="624"/>
        <w:rPr>
          <w:rFonts w:eastAsia="仿宋_GB2312"/>
          <w:color w:val="000000" w:themeColor="text1"/>
          <w:spacing w:val="-4"/>
          <w:sz w:val="32"/>
          <w:szCs w:val="28"/>
        </w:rPr>
      </w:pPr>
    </w:p>
    <w:p w:rsidR="009675C0" w:rsidRDefault="00081A49">
      <w:pPr>
        <w:jc w:val="center"/>
        <w:rPr>
          <w:color w:val="000000" w:themeColor="text1"/>
        </w:rPr>
      </w:pPr>
      <w:r>
        <w:rPr>
          <w:noProof/>
          <w:color w:val="000000" w:themeColor="text1"/>
        </w:rPr>
        <w:drawing>
          <wp:inline distT="0" distB="0" distL="114300" distR="114300">
            <wp:extent cx="5562600" cy="49530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8"/>
                    <a:stretch>
                      <a:fillRect/>
                    </a:stretch>
                  </pic:blipFill>
                  <pic:spPr>
                    <a:xfrm>
                      <a:off x="0" y="0"/>
                      <a:ext cx="5562600" cy="495300"/>
                    </a:xfrm>
                    <a:prstGeom prst="rect">
                      <a:avLst/>
                    </a:prstGeom>
                    <a:noFill/>
                    <a:ln>
                      <a:noFill/>
                    </a:ln>
                  </pic:spPr>
                </pic:pic>
              </a:graphicData>
            </a:graphic>
          </wp:inline>
        </w:drawing>
      </w:r>
    </w:p>
    <w:p w:rsidR="009675C0" w:rsidRDefault="00081A49">
      <w:pPr>
        <w:spacing w:line="520" w:lineRule="exact"/>
        <w:jc w:val="center"/>
        <w:rPr>
          <w:rFonts w:eastAsia="仿宋_GB2312"/>
          <w:bCs/>
          <w:color w:val="000000" w:themeColor="text1"/>
          <w:spacing w:val="-4"/>
          <w:sz w:val="32"/>
          <w:szCs w:val="32"/>
        </w:rPr>
      </w:pPr>
      <w:r>
        <w:rPr>
          <w:rFonts w:eastAsia="黑体" w:hint="eastAsia"/>
          <w:color w:val="000000" w:themeColor="text1"/>
          <w:spacing w:val="-4"/>
          <w:sz w:val="28"/>
          <w:szCs w:val="28"/>
        </w:rPr>
        <w:t>图</w:t>
      </w:r>
      <w:r>
        <w:rPr>
          <w:rFonts w:eastAsia="黑体" w:hint="eastAsia"/>
          <w:color w:val="000000" w:themeColor="text1"/>
          <w:spacing w:val="-4"/>
          <w:sz w:val="28"/>
          <w:szCs w:val="28"/>
        </w:rPr>
        <w:t xml:space="preserve">1  </w:t>
      </w:r>
      <w:r>
        <w:rPr>
          <w:rFonts w:eastAsia="黑体" w:hint="eastAsia"/>
          <w:color w:val="000000" w:themeColor="text1"/>
          <w:spacing w:val="-4"/>
          <w:sz w:val="28"/>
          <w:szCs w:val="28"/>
        </w:rPr>
        <w:t>直型一次性使用无菌尿道扩张器示意图</w:t>
      </w:r>
    </w:p>
    <w:p w:rsidR="009675C0" w:rsidRDefault="009675C0">
      <w:pPr>
        <w:spacing w:line="480" w:lineRule="exact"/>
        <w:jc w:val="center"/>
        <w:rPr>
          <w:rFonts w:eastAsia="仿宋_GB2312"/>
          <w:bCs/>
          <w:color w:val="000000" w:themeColor="text1"/>
          <w:spacing w:val="-4"/>
          <w:sz w:val="32"/>
          <w:szCs w:val="32"/>
        </w:rPr>
      </w:pPr>
    </w:p>
    <w:p w:rsidR="009675C0" w:rsidRDefault="00081A49">
      <w:pPr>
        <w:jc w:val="center"/>
        <w:rPr>
          <w:color w:val="000000" w:themeColor="text1"/>
        </w:rPr>
      </w:pPr>
      <w:r>
        <w:rPr>
          <w:noProof/>
          <w:color w:val="000000" w:themeColor="text1"/>
        </w:rPr>
        <w:drawing>
          <wp:inline distT="0" distB="0" distL="114300" distR="114300">
            <wp:extent cx="5019675" cy="1257300"/>
            <wp:effectExtent l="0" t="0" r="9525"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a:stretch>
                      <a:fillRect/>
                    </a:stretch>
                  </pic:blipFill>
                  <pic:spPr>
                    <a:xfrm>
                      <a:off x="0" y="0"/>
                      <a:ext cx="5019675" cy="1257300"/>
                    </a:xfrm>
                    <a:prstGeom prst="rect">
                      <a:avLst/>
                    </a:prstGeom>
                    <a:noFill/>
                    <a:ln>
                      <a:noFill/>
                    </a:ln>
                  </pic:spPr>
                </pic:pic>
              </a:graphicData>
            </a:graphic>
          </wp:inline>
        </w:drawing>
      </w:r>
    </w:p>
    <w:p w:rsidR="009675C0" w:rsidRDefault="00081A49">
      <w:pPr>
        <w:spacing w:line="520" w:lineRule="exact"/>
        <w:jc w:val="center"/>
        <w:rPr>
          <w:rFonts w:eastAsia="仿宋_GB2312"/>
          <w:bCs/>
          <w:color w:val="000000" w:themeColor="text1"/>
          <w:spacing w:val="-4"/>
          <w:sz w:val="32"/>
          <w:szCs w:val="32"/>
        </w:rPr>
      </w:pPr>
      <w:r>
        <w:rPr>
          <w:rFonts w:eastAsia="黑体" w:hint="eastAsia"/>
          <w:color w:val="000000" w:themeColor="text1"/>
          <w:spacing w:val="-4"/>
          <w:sz w:val="28"/>
          <w:szCs w:val="28"/>
        </w:rPr>
        <w:t>图</w:t>
      </w:r>
      <w:r>
        <w:rPr>
          <w:rFonts w:eastAsia="黑体" w:hint="eastAsia"/>
          <w:color w:val="000000" w:themeColor="text1"/>
          <w:spacing w:val="-4"/>
          <w:sz w:val="28"/>
          <w:szCs w:val="28"/>
        </w:rPr>
        <w:t xml:space="preserve">2  </w:t>
      </w:r>
      <w:r>
        <w:rPr>
          <w:rFonts w:eastAsia="黑体" w:hint="eastAsia"/>
          <w:color w:val="000000" w:themeColor="text1"/>
          <w:spacing w:val="-4"/>
          <w:sz w:val="28"/>
          <w:szCs w:val="28"/>
        </w:rPr>
        <w:t>弯型一次性使用无菌尿道扩张器示意图</w:t>
      </w:r>
    </w:p>
    <w:p w:rsidR="009675C0" w:rsidRDefault="009675C0">
      <w:pPr>
        <w:spacing w:line="520" w:lineRule="exact"/>
        <w:ind w:firstLineChars="200" w:firstLine="640"/>
        <w:rPr>
          <w:rFonts w:eastAsia="仿宋_GB2312"/>
          <w:bCs/>
          <w:color w:val="000000" w:themeColor="text1"/>
          <w:sz w:val="32"/>
          <w:szCs w:val="32"/>
        </w:rPr>
      </w:pPr>
    </w:p>
    <w:p w:rsidR="009675C0" w:rsidRDefault="00081A49">
      <w:pPr>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eastAsia="仿宋_GB2312"/>
          <w:snapToGrid w:val="0"/>
          <w:color w:val="000000" w:themeColor="text1"/>
          <w:kern w:val="0"/>
          <w:sz w:val="32"/>
          <w:szCs w:val="32"/>
        </w:rPr>
        <w:t>2</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color w:val="000000" w:themeColor="text1"/>
          <w:sz w:val="32"/>
          <w:szCs w:val="32"/>
        </w:rPr>
        <w:t>工作原理</w:t>
      </w:r>
    </w:p>
    <w:p w:rsidR="009675C0" w:rsidRDefault="00081A49">
      <w:pPr>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用于扩张尿道，通常与膀胱镜配合使用。置入导丝至尿道狭窄部位，沿导丝推送尿道扩张器，推送的尿道扩张器直径从小到大，逐级扩张，直至完成尿道扩张，达到</w:t>
      </w:r>
      <w:r>
        <w:rPr>
          <w:rFonts w:ascii="仿宋_GB2312" w:eastAsia="仿宋_GB2312" w:hAnsi="仿宋_GB2312" w:cs="仿宋_GB2312" w:hint="eastAsia"/>
          <w:color w:val="000000" w:themeColor="text1"/>
          <w:sz w:val="32"/>
          <w:szCs w:val="32"/>
        </w:rPr>
        <w:t>减轻或消除尿道狭窄的目的</w:t>
      </w:r>
      <w:r>
        <w:rPr>
          <w:rFonts w:ascii="仿宋_GB2312" w:eastAsia="仿宋_GB2312" w:hAnsi="仿宋_GB2312" w:cs="仿宋_GB2312" w:hint="eastAsia"/>
          <w:snapToGrid w:val="0"/>
          <w:color w:val="000000" w:themeColor="text1"/>
          <w:kern w:val="0"/>
          <w:sz w:val="32"/>
          <w:szCs w:val="32"/>
        </w:rPr>
        <w:t>。</w:t>
      </w:r>
    </w:p>
    <w:p w:rsidR="009675C0" w:rsidRDefault="00081A49">
      <w:pPr>
        <w:spacing w:line="520" w:lineRule="exact"/>
        <w:ind w:firstLineChars="200" w:firstLine="640"/>
        <w:rPr>
          <w:rFonts w:ascii="仿宋_GB2312" w:eastAsia="仿宋_GB2312" w:hAnsi="仿宋_GB2312" w:cs="仿宋_GB2312"/>
          <w:bCs/>
          <w:color w:val="000000" w:themeColor="text1"/>
          <w:spacing w:val="-4"/>
          <w:sz w:val="32"/>
          <w:szCs w:val="32"/>
        </w:rPr>
      </w:pPr>
      <w:r>
        <w:rPr>
          <w:rFonts w:ascii="仿宋_GB2312" w:eastAsia="仿宋_GB2312" w:hAnsi="仿宋_GB2312" w:cs="仿宋_GB2312" w:hint="eastAsia"/>
          <w:snapToGrid w:val="0"/>
          <w:color w:val="000000" w:themeColor="text1"/>
          <w:kern w:val="0"/>
          <w:sz w:val="32"/>
          <w:szCs w:val="32"/>
        </w:rPr>
        <w:t>对于采用特殊结构设计</w:t>
      </w:r>
      <w:r>
        <w:rPr>
          <w:rFonts w:ascii="仿宋_GB2312" w:eastAsia="仿宋_GB2312" w:hAnsi="仿宋_GB2312" w:cs="仿宋_GB2312" w:hint="eastAsia"/>
          <w:bCs/>
          <w:color w:val="000000" w:themeColor="text1"/>
          <w:spacing w:val="-4"/>
          <w:sz w:val="32"/>
          <w:szCs w:val="32"/>
        </w:rPr>
        <w:t>、宣称具有特定功能的一次性使用无菌尿道扩张器，注册申请人应详细说明其工作原理和作用。</w:t>
      </w:r>
    </w:p>
    <w:p w:rsidR="009675C0" w:rsidRDefault="00081A49">
      <w:pPr>
        <w:spacing w:line="520" w:lineRule="exact"/>
        <w:ind w:firstLineChars="200" w:firstLine="640"/>
        <w:rPr>
          <w:rFonts w:ascii="仿宋_GB2312" w:eastAsia="仿宋_GB2312" w:hAnsi="仿宋_GB2312" w:cs="仿宋_GB2312"/>
          <w:bCs/>
          <w:color w:val="000000" w:themeColor="text1"/>
          <w:sz w:val="32"/>
          <w:szCs w:val="32"/>
        </w:rPr>
      </w:pPr>
      <w:r>
        <w:rPr>
          <w:rFonts w:eastAsia="仿宋_GB2312"/>
          <w:bCs/>
          <w:color w:val="000000" w:themeColor="text1"/>
          <w:sz w:val="32"/>
          <w:szCs w:val="32"/>
        </w:rPr>
        <w:lastRenderedPageBreak/>
        <w:t>3.</w:t>
      </w:r>
      <w:r>
        <w:rPr>
          <w:rFonts w:ascii="仿宋_GB2312" w:eastAsia="仿宋_GB2312" w:hAnsi="仿宋_GB2312" w:cs="仿宋_GB2312" w:hint="eastAsia"/>
          <w:snapToGrid w:val="0"/>
          <w:color w:val="000000" w:themeColor="text1"/>
          <w:kern w:val="0"/>
          <w:sz w:val="32"/>
          <w:szCs w:val="32"/>
        </w:rPr>
        <w:t>原材料</w:t>
      </w:r>
    </w:p>
    <w:p w:rsidR="009675C0" w:rsidRDefault="00081A49">
      <w:pPr>
        <w:spacing w:line="520" w:lineRule="exact"/>
        <w:ind w:rightChars="-32" w:right="-67"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尿道扩张器导管通常采用高分子材料（如聚乙烯材料）制成，表面可涂覆聚乙烯吡咯烷酮聚合物亲水涂层。注册申请人应描述与使用者和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或患者直接或间接接触的材料成分。明确产品所有原材料（</w:t>
      </w:r>
      <w:r>
        <w:rPr>
          <w:rFonts w:ascii="仿宋_GB2312" w:eastAsia="仿宋_GB2312" w:hAnsi="仿宋_GB2312" w:cs="仿宋_GB2312" w:hint="eastAsia"/>
          <w:bCs/>
          <w:color w:val="000000" w:themeColor="text1"/>
          <w:sz w:val="32"/>
          <w:szCs w:val="32"/>
        </w:rPr>
        <w:t>包括增塑剂、染料</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颜料、显影剂等辅助材料</w:t>
      </w:r>
      <w:r>
        <w:rPr>
          <w:rFonts w:ascii="仿宋_GB2312" w:eastAsia="仿宋_GB2312" w:hAnsi="仿宋_GB2312" w:cs="仿宋_GB2312" w:hint="eastAsia"/>
          <w:color w:val="000000" w:themeColor="text1"/>
          <w:sz w:val="32"/>
          <w:szCs w:val="32"/>
        </w:rPr>
        <w:t>）的通用名称</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化学名称、商品名</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牌号、符合的材料标准（如适用）及材料供应商等基本信息。建议产品组成材料以列表的形式提供，并与产品结构图示中标识的部件名称一一对应。聚乙烯原材料质控要求可参考</w:t>
      </w:r>
      <w:r>
        <w:rPr>
          <w:rFonts w:eastAsia="仿宋_GB2312"/>
          <w:color w:val="000000" w:themeColor="text1"/>
          <w:sz w:val="32"/>
          <w:szCs w:val="32"/>
        </w:rPr>
        <w:t xml:space="preserve">YY/T </w:t>
      </w:r>
      <w:r>
        <w:rPr>
          <w:rFonts w:eastAsia="仿宋_GB2312"/>
          <w:color w:val="000000" w:themeColor="text1"/>
          <w:sz w:val="32"/>
          <w:szCs w:val="32"/>
        </w:rPr>
        <w:t>0114</w:t>
      </w:r>
      <w:r>
        <w:rPr>
          <w:rFonts w:ascii="仿宋_GB2312" w:eastAsia="仿宋_GB2312" w:hAnsi="仿宋_GB2312" w:cs="仿宋_GB2312" w:hint="eastAsia"/>
          <w:color w:val="000000" w:themeColor="text1"/>
          <w:sz w:val="32"/>
          <w:szCs w:val="32"/>
        </w:rPr>
        <w:t>标准制定。</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原材料应具有稳定的供货渠道以保证产品质量，可提供所用原材料的质量控制标准和检验报告。</w:t>
      </w:r>
    </w:p>
    <w:p w:rsidR="009675C0" w:rsidRDefault="00081A49">
      <w:pPr>
        <w:spacing w:line="520" w:lineRule="exact"/>
        <w:ind w:rightChars="-32" w:right="-67" w:firstLineChars="200" w:firstLine="640"/>
        <w:rPr>
          <w:rFonts w:ascii="仿宋_GB2312" w:eastAsia="仿宋_GB2312" w:hAnsi="仿宋_GB2312" w:cs="仿宋_GB2312"/>
          <w:color w:val="000000" w:themeColor="text1"/>
          <w:sz w:val="32"/>
          <w:szCs w:val="32"/>
        </w:rPr>
      </w:pPr>
      <w:r>
        <w:rPr>
          <w:rFonts w:eastAsia="仿宋_GB2312"/>
          <w:bCs/>
          <w:color w:val="000000" w:themeColor="text1"/>
          <w:sz w:val="32"/>
          <w:szCs w:val="32"/>
        </w:rPr>
        <w:t>4.</w:t>
      </w:r>
      <w:r>
        <w:rPr>
          <w:rFonts w:ascii="仿宋_GB2312" w:eastAsia="仿宋_GB2312" w:hAnsi="仿宋_GB2312" w:cs="仿宋_GB2312" w:hint="eastAsia"/>
          <w:color w:val="000000" w:themeColor="text1"/>
          <w:sz w:val="32"/>
          <w:szCs w:val="32"/>
        </w:rPr>
        <w:t>型号规格</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对于存在多种型号、规格的产品，应当明确各型号、规格的区别。应当采用对比表及带有说明性文字的图片、图表，对于各种型号、规格的结构组成（或配置）、功能、产品特征、性能指标等方面加以描述。</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eastAsia="仿宋_GB2312"/>
          <w:color w:val="000000" w:themeColor="text1"/>
          <w:sz w:val="32"/>
          <w:szCs w:val="32"/>
        </w:rPr>
        <w:t>5.</w:t>
      </w:r>
      <w:r>
        <w:rPr>
          <w:rFonts w:ascii="仿宋_GB2312" w:eastAsia="仿宋_GB2312" w:hAnsi="仿宋_GB2312" w:cs="仿宋_GB2312" w:hint="eastAsia"/>
          <w:color w:val="000000" w:themeColor="text1"/>
          <w:sz w:val="32"/>
          <w:szCs w:val="32"/>
        </w:rPr>
        <w:t>包装说明</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应提供有关产品包装的信息，如描述产品包装的材料，说明包装清单和包装方式，提供包装图示等。如有配件，还应提供与该产品一起销售的配件包装情况。应当说明与灭菌方法相适应的最初包装的信息。</w:t>
      </w:r>
    </w:p>
    <w:p w:rsidR="009675C0" w:rsidRDefault="00081A49">
      <w:pPr>
        <w:spacing w:line="520" w:lineRule="exact"/>
        <w:ind w:rightChars="-32" w:right="-67" w:firstLineChars="200" w:firstLine="640"/>
        <w:rPr>
          <w:rFonts w:ascii="仿宋_GB2312" w:eastAsia="仿宋_GB2312" w:hAnsi="仿宋_GB2312" w:cs="仿宋_GB2312"/>
          <w:color w:val="000000" w:themeColor="text1"/>
          <w:sz w:val="32"/>
          <w:szCs w:val="32"/>
        </w:rPr>
      </w:pPr>
      <w:r>
        <w:rPr>
          <w:rFonts w:eastAsia="仿宋_GB2312"/>
          <w:color w:val="000000" w:themeColor="text1"/>
          <w:sz w:val="32"/>
          <w:szCs w:val="32"/>
        </w:rPr>
        <w:t>6.</w:t>
      </w:r>
      <w:r>
        <w:rPr>
          <w:rFonts w:ascii="仿宋_GB2312" w:eastAsia="仿宋_GB2312" w:hAnsi="仿宋_GB2312" w:cs="仿宋_GB2312" w:hint="eastAsia"/>
          <w:color w:val="000000" w:themeColor="text1"/>
          <w:sz w:val="32"/>
          <w:szCs w:val="32"/>
        </w:rPr>
        <w:t>研发历程</w:t>
      </w:r>
    </w:p>
    <w:p w:rsidR="009675C0" w:rsidRDefault="00081A49">
      <w:pPr>
        <w:spacing w:line="520" w:lineRule="exact"/>
        <w:ind w:rightChars="-32" w:right="-67"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阐述申请注册产品的研发背景和目的。如有参考的同类产品或前代产品，应当提供同类产品或前代产品的信息，并说明选择其作为研发参考的原因。</w:t>
      </w:r>
    </w:p>
    <w:p w:rsidR="009675C0" w:rsidRDefault="00081A49">
      <w:pPr>
        <w:spacing w:line="520" w:lineRule="exact"/>
        <w:ind w:rightChars="-32" w:right="-67" w:firstLineChars="200" w:firstLine="640"/>
        <w:rPr>
          <w:rFonts w:ascii="仿宋_GB2312" w:eastAsia="仿宋_GB2312" w:hAnsi="仿宋_GB2312" w:cs="仿宋_GB2312"/>
          <w:color w:val="000000" w:themeColor="text1"/>
          <w:sz w:val="32"/>
          <w:szCs w:val="32"/>
        </w:rPr>
      </w:pPr>
      <w:r>
        <w:rPr>
          <w:rFonts w:eastAsia="仿宋_GB2312"/>
          <w:color w:val="000000" w:themeColor="text1"/>
          <w:sz w:val="32"/>
          <w:szCs w:val="32"/>
        </w:rPr>
        <w:lastRenderedPageBreak/>
        <w:t>7.</w:t>
      </w:r>
      <w:r>
        <w:rPr>
          <w:rFonts w:ascii="仿宋_GB2312" w:eastAsia="仿宋_GB2312" w:hAnsi="仿宋_GB2312" w:cs="仿宋_GB2312" w:hint="eastAsia"/>
          <w:color w:val="000000" w:themeColor="text1"/>
          <w:sz w:val="32"/>
          <w:szCs w:val="32"/>
        </w:rPr>
        <w:t>与同类和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或前代产品的参考和比较</w:t>
      </w:r>
    </w:p>
    <w:p w:rsidR="009675C0" w:rsidRDefault="00081A49">
      <w:pPr>
        <w:spacing w:line="520" w:lineRule="exact"/>
        <w:ind w:rightChars="-32" w:right="-67"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列表比较说明申报产品与同类和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或前代产品工作原理、结构组成、制造材料、性能指标、作用方式，以及适用范围等异同。</w:t>
      </w:r>
    </w:p>
    <w:p w:rsidR="009675C0" w:rsidRDefault="00081A49">
      <w:pPr>
        <w:spacing w:line="520" w:lineRule="exact"/>
        <w:ind w:firstLineChars="200" w:firstLine="640"/>
        <w:rPr>
          <w:rFonts w:ascii="仿宋_GB2312" w:eastAsia="仿宋_GB2312" w:hAnsi="仿宋_GB2312" w:cs="仿宋_GB2312"/>
          <w:bCs/>
          <w:color w:val="000000" w:themeColor="text1"/>
          <w:sz w:val="32"/>
          <w:szCs w:val="32"/>
        </w:rPr>
      </w:pPr>
      <w:r>
        <w:rPr>
          <w:rFonts w:eastAsia="仿宋_GB2312"/>
          <w:bCs/>
          <w:color w:val="000000" w:themeColor="text1"/>
          <w:sz w:val="32"/>
          <w:szCs w:val="32"/>
        </w:rPr>
        <w:t>8.</w:t>
      </w:r>
      <w:r>
        <w:rPr>
          <w:rFonts w:ascii="仿宋_GB2312" w:eastAsia="仿宋_GB2312" w:hAnsi="仿宋_GB2312" w:cs="仿宋_GB2312" w:hint="eastAsia"/>
          <w:bCs/>
          <w:color w:val="000000" w:themeColor="text1"/>
          <w:sz w:val="32"/>
          <w:szCs w:val="32"/>
        </w:rPr>
        <w:t>产品</w:t>
      </w:r>
      <w:r>
        <w:rPr>
          <w:rFonts w:ascii="仿宋_GB2312" w:eastAsia="仿宋_GB2312" w:hAnsi="仿宋_GB2312" w:cs="仿宋_GB2312" w:hint="eastAsia"/>
          <w:snapToGrid w:val="0"/>
          <w:color w:val="000000" w:themeColor="text1"/>
          <w:kern w:val="0"/>
          <w:sz w:val="32"/>
          <w:szCs w:val="32"/>
        </w:rPr>
        <w:t>适用范围和禁忌证</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适用范围：</w:t>
      </w:r>
      <w:r>
        <w:rPr>
          <w:rFonts w:ascii="仿宋_GB2312" w:eastAsia="仿宋_GB2312" w:hAnsi="仿宋_GB2312" w:cs="仿宋_GB2312" w:hint="eastAsia"/>
          <w:snapToGrid w:val="0"/>
          <w:color w:val="000000" w:themeColor="text1"/>
          <w:kern w:val="0"/>
          <w:sz w:val="32"/>
          <w:szCs w:val="32"/>
        </w:rPr>
        <w:t>用于扩张尿道</w:t>
      </w:r>
      <w:r>
        <w:rPr>
          <w:rFonts w:ascii="仿宋_GB2312" w:eastAsia="仿宋_GB2312" w:hAnsi="仿宋_GB2312" w:cs="仿宋_GB2312" w:hint="eastAsia"/>
          <w:color w:val="000000" w:themeColor="text1"/>
          <w:sz w:val="32"/>
          <w:szCs w:val="32"/>
        </w:rPr>
        <w:t>。</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禁忌证：生产企业应根据产品具体情况明确产品中可能存在的禁忌证。例如：①急性尿路感染者；②尿路闭锁或严重尿路狭窄无法置入者；③</w:t>
      </w:r>
      <w:r>
        <w:rPr>
          <w:rFonts w:ascii="仿宋_GB2312" w:eastAsia="仿宋_GB2312" w:hAnsi="仿宋_GB2312" w:cs="仿宋_GB2312" w:hint="eastAsia"/>
          <w:color w:val="000000" w:themeColor="text1"/>
          <w:spacing w:val="2"/>
          <w:sz w:val="32"/>
          <w:szCs w:val="32"/>
        </w:rPr>
        <w:t>对产品材料过敏者等。</w:t>
      </w:r>
    </w:p>
    <w:p w:rsidR="009675C0" w:rsidRDefault="00081A49">
      <w:pPr>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eastAsia="仿宋_GB2312"/>
          <w:snapToGrid w:val="0"/>
          <w:color w:val="000000" w:themeColor="text1"/>
          <w:kern w:val="0"/>
          <w:sz w:val="32"/>
          <w:szCs w:val="32"/>
        </w:rPr>
        <w:t>9.</w:t>
      </w:r>
      <w:r>
        <w:rPr>
          <w:rFonts w:ascii="仿宋_GB2312" w:eastAsia="仿宋_GB2312" w:hAnsi="仿宋_GB2312" w:cs="仿宋_GB2312" w:hint="eastAsia"/>
          <w:snapToGrid w:val="0"/>
          <w:color w:val="000000" w:themeColor="text1"/>
          <w:kern w:val="0"/>
          <w:sz w:val="32"/>
          <w:szCs w:val="32"/>
        </w:rPr>
        <w:t>不良事件情况</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尿道扩张器在临床中出现的问题主要有：尿道损伤、形成假道等。</w:t>
      </w:r>
    </w:p>
    <w:p w:rsidR="009675C0" w:rsidRDefault="00081A49">
      <w:pPr>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color w:val="000000" w:themeColor="text1"/>
          <w:sz w:val="32"/>
          <w:szCs w:val="32"/>
        </w:rPr>
        <w:t>注册申请人应跟踪整理已上市同类产品的不良事件、召回、警戒等相关信息，并将其作为风险管理的输入资料，进行风险评估和控制。</w:t>
      </w:r>
    </w:p>
    <w:p w:rsidR="009675C0" w:rsidRDefault="00081A49">
      <w:pPr>
        <w:spacing w:line="520" w:lineRule="exact"/>
        <w:ind w:rightChars="-32" w:right="-67"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（四）非临床资料</w:t>
      </w:r>
    </w:p>
    <w:p w:rsidR="009675C0" w:rsidRDefault="00081A49">
      <w:pPr>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eastAsia="仿宋_GB2312"/>
          <w:snapToGrid w:val="0"/>
          <w:color w:val="000000" w:themeColor="text1"/>
          <w:kern w:val="0"/>
          <w:sz w:val="32"/>
          <w:szCs w:val="32"/>
        </w:rPr>
        <w:t>1.</w:t>
      </w:r>
      <w:r>
        <w:rPr>
          <w:rFonts w:ascii="仿宋_GB2312" w:eastAsia="仿宋_GB2312" w:hAnsi="仿宋_GB2312" w:cs="仿宋_GB2312" w:hint="eastAsia"/>
          <w:color w:val="000000" w:themeColor="text1"/>
          <w:sz w:val="32"/>
          <w:szCs w:val="28"/>
        </w:rPr>
        <w:t>产品风险管理资料</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w:t>
      </w:r>
      <w:r>
        <w:rPr>
          <w:rFonts w:eastAsia="仿宋_GB2312"/>
          <w:color w:val="000000" w:themeColor="text1"/>
          <w:sz w:val="32"/>
          <w:szCs w:val="32"/>
        </w:rPr>
        <w:t>GB/T 42062</w:t>
      </w:r>
      <w:r>
        <w:rPr>
          <w:rFonts w:ascii="仿宋_GB2312" w:eastAsia="仿宋_GB2312" w:hAnsi="仿宋_GB2312" w:cs="仿宋_GB2312" w:hint="eastAsia"/>
          <w:color w:val="000000" w:themeColor="text1"/>
          <w:sz w:val="32"/>
          <w:szCs w:val="32"/>
        </w:rPr>
        <w:t>《医疗器械</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风险管理对医疗器械的应用》对尿道扩张器已知或可预见的风险进行判定，产品在进行风险分析时至少应包括以下的主要危害（见附</w:t>
      </w:r>
      <w:r>
        <w:rPr>
          <w:rFonts w:ascii="仿宋_GB2312" w:eastAsia="仿宋_GB2312" w:hAnsi="仿宋_GB2312" w:cs="仿宋_GB2312" w:hint="eastAsia"/>
          <w:color w:val="000000" w:themeColor="text1"/>
          <w:sz w:val="32"/>
          <w:szCs w:val="32"/>
        </w:rPr>
        <w:t>件</w:t>
      </w:r>
      <w:r>
        <w:rPr>
          <w:rFonts w:ascii="仿宋_GB2312" w:eastAsia="仿宋_GB2312" w:hAnsi="仿宋_GB2312" w:cs="仿宋_GB2312" w:hint="eastAsia"/>
          <w:color w:val="000000" w:themeColor="text1"/>
          <w:sz w:val="32"/>
          <w:szCs w:val="32"/>
        </w:rPr>
        <w:t>），企业还应根据自身产品特点确定其他危害。针对产品的各项风险，企业应采取应对措施，确保风险降到可接受的程度。</w:t>
      </w:r>
    </w:p>
    <w:p w:rsidR="009675C0" w:rsidRDefault="00081A49">
      <w:pPr>
        <w:spacing w:line="520" w:lineRule="exact"/>
        <w:ind w:rightChars="-32" w:right="-67" w:firstLineChars="200" w:firstLine="640"/>
        <w:rPr>
          <w:rFonts w:ascii="仿宋_GB2312" w:eastAsia="仿宋_GB2312" w:hAnsi="仿宋_GB2312" w:cs="仿宋_GB2312"/>
          <w:color w:val="000000" w:themeColor="text1"/>
          <w:sz w:val="32"/>
          <w:szCs w:val="28"/>
        </w:rPr>
      </w:pPr>
      <w:r>
        <w:rPr>
          <w:rFonts w:eastAsia="仿宋_GB2312"/>
          <w:color w:val="000000" w:themeColor="text1"/>
          <w:sz w:val="32"/>
          <w:szCs w:val="28"/>
        </w:rPr>
        <w:t>2</w:t>
      </w:r>
      <w:r>
        <w:rPr>
          <w:rFonts w:ascii="仿宋_GB2312" w:eastAsia="仿宋_GB2312" w:hAnsi="仿宋_GB2312" w:cs="仿宋_GB2312" w:hint="eastAsia"/>
          <w:color w:val="000000" w:themeColor="text1"/>
          <w:sz w:val="32"/>
          <w:szCs w:val="28"/>
        </w:rPr>
        <w:t>.</w:t>
      </w:r>
      <w:r>
        <w:rPr>
          <w:rFonts w:ascii="仿宋_GB2312" w:eastAsia="仿宋_GB2312" w:hAnsi="仿宋_GB2312" w:cs="仿宋_GB2312" w:hint="eastAsia"/>
          <w:color w:val="000000" w:themeColor="text1"/>
          <w:sz w:val="32"/>
          <w:szCs w:val="28"/>
        </w:rPr>
        <w:t>医疗器械安全和性能基本原则清单</w:t>
      </w:r>
    </w:p>
    <w:p w:rsidR="009675C0" w:rsidRDefault="00081A49">
      <w:pPr>
        <w:spacing w:line="520" w:lineRule="exact"/>
        <w:ind w:firstLineChars="200" w:firstLine="640"/>
        <w:rPr>
          <w:rFonts w:ascii="仿宋_GB2312" w:eastAsia="仿宋_GB2312" w:hAnsi="仿宋_GB2312" w:cs="仿宋_GB2312"/>
          <w:color w:val="000000" w:themeColor="text1"/>
          <w:sz w:val="32"/>
          <w:szCs w:val="28"/>
        </w:rPr>
      </w:pPr>
      <w:r>
        <w:rPr>
          <w:rFonts w:ascii="仿宋_GB2312" w:eastAsia="仿宋_GB2312" w:hAnsi="仿宋_GB2312" w:cs="仿宋_GB2312" w:hint="eastAsia"/>
          <w:color w:val="000000" w:themeColor="text1"/>
          <w:sz w:val="32"/>
          <w:szCs w:val="32"/>
        </w:rPr>
        <w:t>说明产品符合《医疗器械安全和性能基本原则》各项适用要求所采用的方法，以及证明其符合性的文件。对于《医疗器械安全和性能基本原则》中不适用的各项要求，应当说明理由。</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eastAsia="仿宋_GB2312"/>
          <w:color w:val="000000" w:themeColor="text1"/>
          <w:sz w:val="32"/>
          <w:szCs w:val="32"/>
        </w:rPr>
        <w:lastRenderedPageBreak/>
        <w:t>3.</w:t>
      </w:r>
      <w:r>
        <w:rPr>
          <w:rFonts w:ascii="仿宋_GB2312" w:eastAsia="仿宋_GB2312" w:hAnsi="仿宋_GB2312" w:cs="仿宋_GB2312" w:hint="eastAsia"/>
          <w:color w:val="000000" w:themeColor="text1"/>
          <w:sz w:val="32"/>
          <w:szCs w:val="32"/>
        </w:rPr>
        <w:t>产品技术要求</w:t>
      </w:r>
    </w:p>
    <w:p w:rsidR="009675C0" w:rsidRDefault="00081A49">
      <w:pPr>
        <w:pStyle w:val="a5"/>
        <w:adjustRightInd w:val="0"/>
        <w:snapToGrid w:val="0"/>
        <w:spacing w:line="520" w:lineRule="exact"/>
        <w:ind w:firstLineChars="200" w:firstLine="640"/>
        <w:rPr>
          <w:rFonts w:ascii="仿宋_GB2312" w:eastAsia="仿宋_GB2312" w:hAnsi="仿宋_GB2312" w:cs="仿宋_GB2312"/>
          <w:strike/>
          <w:color w:val="000000" w:themeColor="text1"/>
          <w:kern w:val="0"/>
          <w:sz w:val="32"/>
          <w:szCs w:val="32"/>
        </w:rPr>
      </w:pPr>
      <w:bookmarkStart w:id="1" w:name="_Hlk523654385"/>
      <w:r>
        <w:rPr>
          <w:rFonts w:ascii="仿宋_GB2312" w:eastAsia="仿宋_GB2312" w:hAnsi="仿宋_GB2312" w:cs="仿宋_GB2312" w:hint="eastAsia"/>
          <w:color w:val="000000" w:themeColor="text1"/>
          <w:sz w:val="32"/>
          <w:szCs w:val="32"/>
        </w:rPr>
        <w:t>产品技术要求的制定应符合《医疗器械产品技术要求编写指导原则》的要求。</w:t>
      </w:r>
      <w:r>
        <w:rPr>
          <w:rFonts w:ascii="仿宋_GB2312" w:eastAsia="仿宋_GB2312" w:hAnsi="仿宋_GB2312" w:cs="仿宋_GB2312" w:hint="eastAsia"/>
          <w:bCs/>
          <w:color w:val="000000" w:themeColor="text1"/>
          <w:sz w:val="32"/>
          <w:szCs w:val="32"/>
        </w:rPr>
        <w:t>注册申请人根据产品的技术特征和临床使用情况确定产品功能性和安全性的性能指标和检验方法。对产品安全有效性相关、可以客观判断的技术参数和功能，以及特殊设计、性能和结构，应在产品技术要求中予以规定。产品技术要求中的性能指标应不低于相关的国家标准和行业标准（如适用）。产品技术要求中的检验方法均应为已验证的方法。</w:t>
      </w:r>
      <w:r>
        <w:rPr>
          <w:rFonts w:ascii="仿宋_GB2312" w:eastAsia="仿宋_GB2312" w:hAnsi="仿宋_GB2312" w:cs="仿宋_GB2312" w:hint="eastAsia"/>
          <w:color w:val="000000" w:themeColor="text1"/>
          <w:sz w:val="32"/>
          <w:szCs w:val="32"/>
        </w:rPr>
        <w:t>对于相关国家标准、行业标准中不适用的推荐要求条款，应说明不适用的原因。</w:t>
      </w:r>
    </w:p>
    <w:bookmarkEnd w:id="1"/>
    <w:p w:rsidR="009675C0" w:rsidRDefault="00081A49">
      <w:pPr>
        <w:pStyle w:val="a5"/>
        <w:adjustRightInd w:val="0"/>
        <w:snapToGrid w:val="0"/>
        <w:spacing w:line="520" w:lineRule="exact"/>
        <w:ind w:firstLineChars="200" w:firstLine="640"/>
        <w:rPr>
          <w:rFonts w:ascii="仿宋_GB2312" w:eastAsia="仿宋_GB2312" w:hAnsi="仿宋_GB2312" w:cs="仿宋_GB2312"/>
          <w:color w:val="000000" w:themeColor="text1"/>
          <w:spacing w:val="-4"/>
          <w:sz w:val="32"/>
          <w:szCs w:val="28"/>
        </w:rPr>
      </w:pPr>
      <w:r>
        <w:rPr>
          <w:rFonts w:ascii="仿宋_GB2312" w:eastAsia="仿宋_GB2312" w:hAnsi="仿宋_GB2312" w:cs="仿宋_GB2312" w:hint="eastAsia"/>
          <w:bCs/>
          <w:color w:val="000000" w:themeColor="text1"/>
          <w:sz w:val="32"/>
          <w:szCs w:val="32"/>
        </w:rPr>
        <w:t>常见的技术指标包括以下项目：</w:t>
      </w:r>
    </w:p>
    <w:p w:rsidR="009675C0" w:rsidRDefault="00081A49">
      <w:pPr>
        <w:spacing w:line="520" w:lineRule="exact"/>
        <w:ind w:firstLineChars="200" w:firstLine="624"/>
        <w:rPr>
          <w:rFonts w:eastAsia="仿宋_GB2312"/>
          <w:color w:val="000000" w:themeColor="text1"/>
          <w:spacing w:val="-4"/>
          <w:sz w:val="32"/>
          <w:szCs w:val="28"/>
        </w:rPr>
      </w:pPr>
      <w:r>
        <w:rPr>
          <w:rFonts w:eastAsia="仿宋_GB2312"/>
          <w:color w:val="000000" w:themeColor="text1"/>
          <w:spacing w:val="-4"/>
          <w:sz w:val="32"/>
          <w:szCs w:val="28"/>
        </w:rPr>
        <w:t>3.1</w:t>
      </w:r>
      <w:r>
        <w:rPr>
          <w:rFonts w:eastAsia="仿宋_GB2312"/>
          <w:color w:val="000000" w:themeColor="text1"/>
          <w:spacing w:val="-4"/>
          <w:sz w:val="32"/>
          <w:szCs w:val="28"/>
        </w:rPr>
        <w:t>物理性能</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3.1.1</w:t>
      </w:r>
      <w:r>
        <w:rPr>
          <w:rFonts w:eastAsia="仿宋_GB2312"/>
          <w:color w:val="000000" w:themeColor="text1"/>
          <w:spacing w:val="-4"/>
          <w:sz w:val="32"/>
          <w:szCs w:val="28"/>
        </w:rPr>
        <w:t>外观</w:t>
      </w:r>
    </w:p>
    <w:p w:rsidR="009675C0" w:rsidRDefault="00081A49">
      <w:pPr>
        <w:spacing w:line="520" w:lineRule="exact"/>
        <w:ind w:firstLineChars="200" w:firstLine="624"/>
        <w:rPr>
          <w:rFonts w:eastAsia="仿宋_GB2312"/>
          <w:snapToGrid w:val="0"/>
          <w:color w:val="000000" w:themeColor="text1"/>
          <w:kern w:val="0"/>
          <w:sz w:val="32"/>
          <w:szCs w:val="32"/>
        </w:rPr>
      </w:pPr>
      <w:r>
        <w:rPr>
          <w:rFonts w:eastAsia="仿宋_GB2312"/>
          <w:color w:val="000000" w:themeColor="text1"/>
          <w:spacing w:val="-4"/>
          <w:sz w:val="32"/>
          <w:szCs w:val="28"/>
        </w:rPr>
        <w:t>3.1.2</w:t>
      </w:r>
      <w:r>
        <w:rPr>
          <w:rFonts w:eastAsia="仿宋_GB2312"/>
          <w:color w:val="000000" w:themeColor="text1"/>
          <w:spacing w:val="-4"/>
          <w:sz w:val="32"/>
          <w:szCs w:val="28"/>
        </w:rPr>
        <w:t>尺寸（至少包括导管有效长度、外径、最小内径）</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3.1.3</w:t>
      </w:r>
      <w:r>
        <w:rPr>
          <w:rFonts w:eastAsia="仿宋_GB2312"/>
          <w:color w:val="000000" w:themeColor="text1"/>
          <w:spacing w:val="-4"/>
          <w:sz w:val="32"/>
          <w:szCs w:val="28"/>
        </w:rPr>
        <w:t>导管断裂力</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3.1.4</w:t>
      </w:r>
      <w:r>
        <w:rPr>
          <w:rFonts w:eastAsia="仿宋_GB2312"/>
          <w:color w:val="000000" w:themeColor="text1"/>
          <w:spacing w:val="-4"/>
          <w:sz w:val="32"/>
          <w:szCs w:val="28"/>
        </w:rPr>
        <w:t>涂层性能，如润滑性能等（如适用）</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3.1.5</w:t>
      </w:r>
      <w:r>
        <w:rPr>
          <w:rFonts w:eastAsia="仿宋_GB2312"/>
          <w:color w:val="000000" w:themeColor="text1"/>
          <w:spacing w:val="-4"/>
          <w:sz w:val="32"/>
          <w:szCs w:val="28"/>
        </w:rPr>
        <w:t>射线可探测性（如适用）</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3.1.6</w:t>
      </w:r>
      <w:r>
        <w:rPr>
          <w:rFonts w:eastAsia="仿宋_GB2312"/>
          <w:color w:val="000000" w:themeColor="text1"/>
          <w:spacing w:val="-4"/>
          <w:sz w:val="32"/>
          <w:szCs w:val="28"/>
        </w:rPr>
        <w:t>导丝相关性能（如适用）</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3.1.7</w:t>
      </w:r>
      <w:r>
        <w:rPr>
          <w:rFonts w:eastAsia="仿宋_GB2312"/>
          <w:color w:val="000000" w:themeColor="text1"/>
          <w:spacing w:val="-4"/>
          <w:sz w:val="32"/>
          <w:szCs w:val="28"/>
        </w:rPr>
        <w:t>导管与导丝的配合性（该指标与导管最小内径可二选一）</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3.1.8</w:t>
      </w:r>
      <w:r>
        <w:rPr>
          <w:rFonts w:eastAsia="仿宋_GB2312"/>
          <w:color w:val="000000" w:themeColor="text1"/>
          <w:spacing w:val="-4"/>
          <w:sz w:val="32"/>
          <w:szCs w:val="28"/>
        </w:rPr>
        <w:t>根据产品宣称的技术特点制定的其他性能要求</w:t>
      </w:r>
    </w:p>
    <w:p w:rsidR="009675C0" w:rsidRDefault="00081A49">
      <w:pPr>
        <w:spacing w:line="520" w:lineRule="exact"/>
        <w:ind w:firstLineChars="200" w:firstLine="624"/>
        <w:rPr>
          <w:rFonts w:eastAsia="仿宋_GB2312"/>
          <w:color w:val="000000" w:themeColor="text1"/>
          <w:spacing w:val="-4"/>
          <w:sz w:val="32"/>
          <w:szCs w:val="28"/>
        </w:rPr>
      </w:pPr>
      <w:r>
        <w:rPr>
          <w:rFonts w:eastAsia="仿宋_GB2312"/>
          <w:color w:val="000000" w:themeColor="text1"/>
          <w:spacing w:val="-4"/>
          <w:sz w:val="32"/>
          <w:szCs w:val="28"/>
        </w:rPr>
        <w:t>3.2</w:t>
      </w:r>
      <w:r>
        <w:rPr>
          <w:rFonts w:eastAsia="仿宋_GB2312"/>
          <w:color w:val="000000" w:themeColor="text1"/>
          <w:spacing w:val="-4"/>
          <w:sz w:val="32"/>
          <w:szCs w:val="28"/>
        </w:rPr>
        <w:t>化学性能</w:t>
      </w:r>
    </w:p>
    <w:p w:rsidR="009675C0" w:rsidRDefault="00081A49">
      <w:pPr>
        <w:spacing w:line="520" w:lineRule="exact"/>
        <w:ind w:firstLineChars="200" w:firstLine="624"/>
        <w:rPr>
          <w:rFonts w:eastAsia="仿宋_GB2312"/>
          <w:color w:val="000000" w:themeColor="text1"/>
          <w:spacing w:val="-4"/>
          <w:sz w:val="32"/>
          <w:szCs w:val="28"/>
        </w:rPr>
      </w:pPr>
      <w:r>
        <w:rPr>
          <w:rFonts w:eastAsia="仿宋_GB2312"/>
          <w:color w:val="000000" w:themeColor="text1"/>
          <w:spacing w:val="-4"/>
          <w:sz w:val="32"/>
          <w:szCs w:val="28"/>
        </w:rPr>
        <w:t>3.2.1</w:t>
      </w:r>
      <w:r>
        <w:rPr>
          <w:rFonts w:eastAsia="仿宋_GB2312"/>
          <w:color w:val="000000" w:themeColor="text1"/>
          <w:spacing w:val="-4"/>
          <w:sz w:val="32"/>
          <w:szCs w:val="28"/>
        </w:rPr>
        <w:t>重金属含量</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3.2.2</w:t>
      </w:r>
      <w:r>
        <w:rPr>
          <w:rFonts w:eastAsia="仿宋_GB2312"/>
          <w:color w:val="000000" w:themeColor="text1"/>
          <w:spacing w:val="-4"/>
          <w:sz w:val="32"/>
          <w:szCs w:val="28"/>
        </w:rPr>
        <w:t>酸碱度</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3.2.3</w:t>
      </w:r>
      <w:r>
        <w:rPr>
          <w:rFonts w:eastAsia="仿宋_GB2312"/>
          <w:color w:val="000000" w:themeColor="text1"/>
          <w:spacing w:val="-4"/>
          <w:sz w:val="32"/>
          <w:szCs w:val="28"/>
        </w:rPr>
        <w:t>蒸发残渣</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t>3.2.4</w:t>
      </w:r>
      <w:r>
        <w:rPr>
          <w:rFonts w:eastAsia="仿宋_GB2312"/>
          <w:color w:val="000000" w:themeColor="text1"/>
          <w:spacing w:val="-4"/>
          <w:sz w:val="32"/>
          <w:szCs w:val="28"/>
        </w:rPr>
        <w:t>还原物质</w:t>
      </w:r>
    </w:p>
    <w:p w:rsidR="009675C0" w:rsidRDefault="00081A49">
      <w:pPr>
        <w:spacing w:line="520" w:lineRule="exact"/>
        <w:ind w:left="624"/>
        <w:rPr>
          <w:rFonts w:ascii="仿宋_GB2312" w:eastAsia="仿宋_GB2312" w:hAnsi="仿宋_GB2312" w:cs="仿宋_GB2312"/>
          <w:color w:val="000000" w:themeColor="text1"/>
          <w:spacing w:val="-4"/>
          <w:sz w:val="32"/>
          <w:szCs w:val="28"/>
        </w:rPr>
      </w:pPr>
      <w:r>
        <w:rPr>
          <w:rFonts w:eastAsia="仿宋_GB2312"/>
          <w:color w:val="000000" w:themeColor="text1"/>
          <w:spacing w:val="-4"/>
          <w:sz w:val="32"/>
          <w:szCs w:val="28"/>
        </w:rPr>
        <w:t>3.2.5</w:t>
      </w:r>
      <w:r>
        <w:rPr>
          <w:rFonts w:eastAsia="仿宋_GB2312"/>
          <w:color w:val="000000" w:themeColor="text1"/>
          <w:spacing w:val="-4"/>
          <w:sz w:val="32"/>
          <w:szCs w:val="28"/>
        </w:rPr>
        <w:t>紫</w:t>
      </w:r>
      <w:r>
        <w:rPr>
          <w:rFonts w:ascii="仿宋_GB2312" w:eastAsia="仿宋_GB2312" w:hAnsi="仿宋_GB2312" w:cs="仿宋_GB2312" w:hint="eastAsia"/>
          <w:color w:val="000000" w:themeColor="text1"/>
          <w:spacing w:val="-4"/>
          <w:sz w:val="32"/>
          <w:szCs w:val="28"/>
        </w:rPr>
        <w:t>外吸光度</w:t>
      </w:r>
    </w:p>
    <w:p w:rsidR="009675C0" w:rsidRDefault="00081A49">
      <w:pPr>
        <w:spacing w:line="520" w:lineRule="exact"/>
        <w:ind w:left="624"/>
        <w:rPr>
          <w:rFonts w:eastAsia="仿宋_GB2312"/>
          <w:color w:val="000000" w:themeColor="text1"/>
          <w:spacing w:val="-4"/>
          <w:sz w:val="32"/>
          <w:szCs w:val="28"/>
        </w:rPr>
      </w:pPr>
      <w:r>
        <w:rPr>
          <w:rFonts w:eastAsia="仿宋_GB2312"/>
          <w:color w:val="000000" w:themeColor="text1"/>
          <w:spacing w:val="-4"/>
          <w:sz w:val="32"/>
          <w:szCs w:val="28"/>
        </w:rPr>
        <w:lastRenderedPageBreak/>
        <w:t>3.2.6</w:t>
      </w:r>
      <w:r>
        <w:rPr>
          <w:rFonts w:eastAsia="仿宋_GB2312"/>
          <w:color w:val="000000" w:themeColor="text1"/>
          <w:spacing w:val="-4"/>
          <w:sz w:val="32"/>
          <w:szCs w:val="28"/>
        </w:rPr>
        <w:t>环氧乙烷残留量（如适用）</w:t>
      </w:r>
    </w:p>
    <w:p w:rsidR="009675C0" w:rsidRDefault="00081A49">
      <w:pPr>
        <w:spacing w:line="520" w:lineRule="exact"/>
        <w:ind w:firstLineChars="200" w:firstLine="624"/>
        <w:rPr>
          <w:rFonts w:eastAsia="仿宋_GB2312"/>
          <w:color w:val="000000" w:themeColor="text1"/>
          <w:spacing w:val="-4"/>
          <w:sz w:val="32"/>
          <w:szCs w:val="28"/>
        </w:rPr>
      </w:pPr>
      <w:r>
        <w:rPr>
          <w:rFonts w:eastAsia="仿宋_GB2312"/>
          <w:color w:val="000000" w:themeColor="text1"/>
          <w:spacing w:val="-4"/>
          <w:sz w:val="32"/>
          <w:szCs w:val="28"/>
        </w:rPr>
        <w:t>3.3</w:t>
      </w:r>
      <w:r>
        <w:rPr>
          <w:rFonts w:eastAsia="仿宋_GB2312"/>
          <w:color w:val="000000" w:themeColor="text1"/>
          <w:spacing w:val="-4"/>
          <w:sz w:val="32"/>
          <w:szCs w:val="28"/>
        </w:rPr>
        <w:t>无菌</w:t>
      </w:r>
    </w:p>
    <w:p w:rsidR="009675C0" w:rsidRDefault="00081A49">
      <w:pPr>
        <w:spacing w:line="520" w:lineRule="exact"/>
        <w:ind w:firstLineChars="200" w:firstLine="640"/>
        <w:rPr>
          <w:rFonts w:ascii="仿宋_GB2312" w:eastAsia="仿宋_GB2312" w:hAnsi="仿宋_GB2312" w:cs="仿宋_GB2312"/>
          <w:color w:val="000000" w:themeColor="text1"/>
          <w:sz w:val="32"/>
          <w:szCs w:val="28"/>
        </w:rPr>
      </w:pPr>
      <w:bookmarkStart w:id="2" w:name="_Hlk85053886"/>
      <w:r>
        <w:rPr>
          <w:rFonts w:eastAsia="仿宋_GB2312"/>
          <w:color w:val="000000" w:themeColor="text1"/>
          <w:sz w:val="32"/>
          <w:szCs w:val="28"/>
        </w:rPr>
        <w:t>4.</w:t>
      </w:r>
      <w:r>
        <w:rPr>
          <w:rFonts w:eastAsia="仿宋_GB2312"/>
          <w:color w:val="000000" w:themeColor="text1"/>
          <w:sz w:val="32"/>
          <w:szCs w:val="28"/>
        </w:rPr>
        <w:t>检</w:t>
      </w:r>
      <w:r>
        <w:rPr>
          <w:rFonts w:ascii="仿宋_GB2312" w:eastAsia="仿宋_GB2312" w:hAnsi="仿宋_GB2312" w:cs="仿宋_GB2312" w:hint="eastAsia"/>
          <w:color w:val="000000" w:themeColor="text1"/>
          <w:sz w:val="32"/>
          <w:szCs w:val="28"/>
        </w:rPr>
        <w:t>验报告</w:t>
      </w:r>
    </w:p>
    <w:p w:rsidR="009675C0" w:rsidRDefault="00081A49">
      <w:pPr>
        <w:tabs>
          <w:tab w:val="left" w:pos="6078"/>
        </w:tabs>
        <w:spacing w:line="520" w:lineRule="exact"/>
        <w:ind w:firstLineChars="200" w:firstLine="640"/>
        <w:rPr>
          <w:rFonts w:ascii="仿宋_GB2312" w:eastAsia="仿宋_GB2312" w:hAnsi="仿宋_GB2312" w:cs="仿宋_GB2312"/>
          <w:color w:val="000000" w:themeColor="text1"/>
          <w:sz w:val="32"/>
          <w:szCs w:val="32"/>
        </w:rPr>
      </w:pPr>
      <w:bookmarkStart w:id="3" w:name="_Hlk85053946"/>
      <w:bookmarkEnd w:id="2"/>
      <w:r>
        <w:rPr>
          <w:rFonts w:ascii="仿宋_GB2312" w:eastAsia="仿宋_GB2312" w:hAnsi="仿宋_GB2312" w:cs="仿宋_GB2312" w:hint="eastAsia"/>
          <w:color w:val="000000" w:themeColor="text1"/>
          <w:sz w:val="32"/>
          <w:szCs w:val="32"/>
        </w:rPr>
        <w:t>可提交注册申请人出具的自检报告或委托有资质的医疗器械检验机构出具的检验报告。若提交自检报告，应按照《医疗器械自检管理规定》的要求提供检验报告和相关申报资料。</w:t>
      </w:r>
    </w:p>
    <w:bookmarkEnd w:id="3"/>
    <w:p w:rsidR="009675C0" w:rsidRDefault="00081A49">
      <w:pPr>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bCs/>
          <w:color w:val="000000" w:themeColor="text1"/>
          <w:sz w:val="32"/>
          <w:szCs w:val="32"/>
        </w:rPr>
        <w:t>申报产品包括多个型号的，产品检验选取的典型性型号应当能代表本注册单元内其它产品的安全性和有效性，并说明典型性型号选择的依据</w:t>
      </w:r>
      <w:r>
        <w:rPr>
          <w:rFonts w:ascii="仿宋_GB2312" w:eastAsia="仿宋_GB2312" w:hAnsi="仿宋_GB2312" w:cs="仿宋_GB2312" w:hint="eastAsia"/>
          <w:color w:val="000000" w:themeColor="text1"/>
          <w:sz w:val="32"/>
          <w:szCs w:val="32"/>
        </w:rPr>
        <w:t>。必要时提交不同型号规格产品的差异性检测报告。例如，若选择最大外径的产品进行全性能测试，导管断裂力不能覆盖最小外径的产品，应进行差异性检测。</w:t>
      </w:r>
    </w:p>
    <w:p w:rsidR="009675C0" w:rsidRDefault="00081A49">
      <w:pPr>
        <w:spacing w:line="520" w:lineRule="exact"/>
        <w:ind w:firstLineChars="200" w:firstLine="640"/>
        <w:rPr>
          <w:rFonts w:eastAsia="仿宋_GB2312"/>
          <w:snapToGrid w:val="0"/>
          <w:color w:val="000000" w:themeColor="text1"/>
          <w:kern w:val="0"/>
          <w:sz w:val="32"/>
          <w:szCs w:val="32"/>
        </w:rPr>
      </w:pPr>
      <w:r>
        <w:rPr>
          <w:rFonts w:eastAsia="仿宋_GB2312"/>
          <w:snapToGrid w:val="0"/>
          <w:color w:val="000000" w:themeColor="text1"/>
          <w:kern w:val="0"/>
          <w:sz w:val="32"/>
          <w:szCs w:val="32"/>
        </w:rPr>
        <w:t>5.</w:t>
      </w:r>
      <w:r>
        <w:rPr>
          <w:rFonts w:eastAsia="仿宋_GB2312"/>
          <w:snapToGrid w:val="0"/>
          <w:color w:val="000000" w:themeColor="text1"/>
          <w:kern w:val="0"/>
          <w:sz w:val="32"/>
          <w:szCs w:val="32"/>
        </w:rPr>
        <w:t>研究资料</w:t>
      </w:r>
      <w:r>
        <w:rPr>
          <w:rFonts w:eastAsia="仿宋_GB2312"/>
          <w:snapToGrid w:val="0"/>
          <w:color w:val="000000" w:themeColor="text1"/>
          <w:kern w:val="0"/>
          <w:sz w:val="32"/>
          <w:szCs w:val="32"/>
        </w:rPr>
        <w:t xml:space="preserve"> </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eastAsia="仿宋_GB2312"/>
          <w:color w:val="000000" w:themeColor="text1"/>
          <w:sz w:val="32"/>
          <w:szCs w:val="32"/>
        </w:rPr>
        <w:t>5.1</w:t>
      </w:r>
      <w:r>
        <w:rPr>
          <w:rFonts w:eastAsia="仿宋_GB2312"/>
          <w:color w:val="000000" w:themeColor="text1"/>
          <w:sz w:val="32"/>
          <w:szCs w:val="32"/>
        </w:rPr>
        <w:t>产</w:t>
      </w:r>
      <w:r>
        <w:rPr>
          <w:rFonts w:ascii="仿宋_GB2312" w:eastAsia="仿宋_GB2312" w:hAnsi="仿宋_GB2312" w:cs="仿宋_GB2312" w:hint="eastAsia"/>
          <w:color w:val="000000" w:themeColor="text1"/>
          <w:sz w:val="32"/>
          <w:szCs w:val="32"/>
        </w:rPr>
        <w:t>品性能研究</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28"/>
        </w:rPr>
        <w:t>应当提供产品性能研究资料以及产品技术要求的研究和编制说明，包括功能性、安全性指标以及与质量控制相关的其他指标的确定依据，所采用的标准或方法，采用的原因及理论基础。</w:t>
      </w:r>
      <w:r>
        <w:rPr>
          <w:rFonts w:ascii="仿宋_GB2312" w:eastAsia="仿宋_GB2312" w:hAnsi="仿宋_GB2312" w:cs="仿宋_GB2312" w:hint="eastAsia"/>
          <w:color w:val="000000" w:themeColor="text1"/>
          <w:sz w:val="32"/>
          <w:szCs w:val="32"/>
        </w:rPr>
        <w:t>对于自建方法，宜提供相应的依据及方法学验证资料。</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如产品带有涂层，应开展涂层完整性、涂层润滑性研究，研究方法可参考</w:t>
      </w:r>
      <w:r>
        <w:rPr>
          <w:rFonts w:eastAsia="仿宋_GB2312"/>
          <w:color w:val="000000" w:themeColor="text1"/>
          <w:sz w:val="32"/>
          <w:szCs w:val="32"/>
        </w:rPr>
        <w:t>YY∕T 0872</w:t>
      </w:r>
      <w:r>
        <w:rPr>
          <w:rFonts w:eastAsia="仿宋_GB2312"/>
          <w:color w:val="000000" w:themeColor="text1"/>
          <w:sz w:val="32"/>
          <w:szCs w:val="32"/>
        </w:rPr>
        <w:t>、</w:t>
      </w:r>
      <w:r>
        <w:rPr>
          <w:rFonts w:eastAsia="仿宋_GB2312"/>
          <w:color w:val="000000" w:themeColor="text1"/>
          <w:sz w:val="32"/>
          <w:szCs w:val="32"/>
        </w:rPr>
        <w:t>YY/T 1898</w:t>
      </w:r>
      <w:r>
        <w:rPr>
          <w:rFonts w:ascii="仿宋_GB2312" w:eastAsia="仿宋_GB2312" w:hAnsi="仿宋_GB2312" w:cs="仿宋_GB2312" w:hint="eastAsia"/>
          <w:color w:val="000000" w:themeColor="text1"/>
          <w:sz w:val="32"/>
          <w:szCs w:val="32"/>
        </w:rPr>
        <w:t>等相关标准。涂层润滑性的评价还应包括耐久性，可结合临床实际在模型中多次模拟使用后测试产品的润滑性，或通过对多次推进</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回撤阻力的变化进行分析。</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由于涂层材料导致某项化学性能结果异常时，建议对无涂层产品</w:t>
      </w:r>
      <w:r>
        <w:rPr>
          <w:rFonts w:ascii="仿宋_GB2312" w:eastAsia="仿宋_GB2312" w:hAnsi="仿宋_GB2312" w:cs="仿宋_GB2312" w:hint="eastAsia"/>
          <w:color w:val="000000" w:themeColor="text1"/>
          <w:sz w:val="32"/>
          <w:szCs w:val="32"/>
        </w:rPr>
        <w:t>进行测试，确认其化学性能是否可接受，同时结合涂层材料的临床应用史、生物相容性数据进行综合评价。</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eastAsia="仿宋_GB2312"/>
          <w:color w:val="000000" w:themeColor="text1"/>
          <w:sz w:val="32"/>
          <w:szCs w:val="32"/>
        </w:rPr>
        <w:lastRenderedPageBreak/>
        <w:t>5.2</w:t>
      </w:r>
      <w:r>
        <w:rPr>
          <w:rFonts w:ascii="仿宋_GB2312" w:eastAsia="仿宋_GB2312" w:hAnsi="仿宋_GB2312" w:cs="仿宋_GB2312" w:hint="eastAsia"/>
          <w:color w:val="000000" w:themeColor="text1"/>
          <w:sz w:val="32"/>
          <w:szCs w:val="32"/>
        </w:rPr>
        <w:t>生物相容性评价研究</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生物相容性评价研究资料应当包括：生物相容性评价的依据和方法；产品所用材料的描述及与人体接触的性质；实施或豁免生物学试验的理由和论证；对于现有数据或试验结果的评价。按照</w:t>
      </w:r>
      <w:r>
        <w:rPr>
          <w:rFonts w:eastAsia="仿宋_GB2312"/>
          <w:color w:val="000000" w:themeColor="text1"/>
          <w:sz w:val="32"/>
          <w:szCs w:val="32"/>
        </w:rPr>
        <w:t>GB/T 16886.1</w:t>
      </w:r>
      <w:r>
        <w:rPr>
          <w:rFonts w:ascii="仿宋_GB2312" w:eastAsia="仿宋_GB2312" w:hAnsi="仿宋_GB2312" w:cs="仿宋_GB2312" w:hint="eastAsia"/>
          <w:color w:val="000000" w:themeColor="text1"/>
          <w:sz w:val="32"/>
          <w:szCs w:val="32"/>
        </w:rPr>
        <w:t>《医疗器械生物学评价</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第</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部分：风险管理过程中的评价与试验》</w:t>
      </w:r>
      <w:r>
        <w:rPr>
          <w:rFonts w:ascii="仿宋_GB2312" w:eastAsia="仿宋_GB2312" w:hAnsi="仿宋_GB2312" w:cs="仿宋_GB2312" w:hint="eastAsia"/>
          <w:snapToGrid w:val="0"/>
          <w:color w:val="000000" w:themeColor="text1"/>
          <w:sz w:val="32"/>
          <w:szCs w:val="32"/>
        </w:rPr>
        <w:t>《关于印发医疗器械生物学评价和审查指南的通知》</w:t>
      </w:r>
      <w:r>
        <w:rPr>
          <w:rFonts w:ascii="仿宋_GB2312" w:eastAsia="仿宋_GB2312" w:hAnsi="仿宋_GB2312" w:cs="仿宋_GB2312" w:hint="eastAsia"/>
          <w:color w:val="000000" w:themeColor="text1"/>
          <w:sz w:val="32"/>
          <w:szCs w:val="32"/>
        </w:rPr>
        <w:t>进行评价，</w:t>
      </w:r>
      <w:r>
        <w:rPr>
          <w:rFonts w:ascii="仿宋_GB2312" w:eastAsia="仿宋_GB2312" w:hAnsi="仿宋_GB2312" w:cs="仿宋_GB2312" w:hint="eastAsia"/>
          <w:snapToGrid w:val="0"/>
          <w:color w:val="000000" w:themeColor="text1"/>
          <w:sz w:val="32"/>
          <w:szCs w:val="32"/>
        </w:rPr>
        <w:t>评价终点至少包括</w:t>
      </w:r>
      <w:r>
        <w:rPr>
          <w:rFonts w:ascii="仿宋_GB2312" w:eastAsia="仿宋_GB2312" w:hAnsi="仿宋_GB2312" w:cs="仿宋_GB2312" w:hint="eastAsia"/>
          <w:color w:val="000000" w:themeColor="text1"/>
          <w:sz w:val="32"/>
          <w:szCs w:val="32"/>
        </w:rPr>
        <w:t>细胞毒性、致敏反应、刺激或皮内反应。如产品预期接触破裂或损伤表面，还应评价材料介导的致热性、急性全身毒性。</w:t>
      </w:r>
    </w:p>
    <w:p w:rsidR="009675C0" w:rsidRDefault="00081A49">
      <w:pPr>
        <w:spacing w:line="520" w:lineRule="exact"/>
        <w:ind w:firstLineChars="200" w:firstLine="640"/>
        <w:rPr>
          <w:rFonts w:eastAsia="仿宋_GB2312"/>
          <w:color w:val="000000" w:themeColor="text1"/>
          <w:sz w:val="32"/>
          <w:szCs w:val="32"/>
        </w:rPr>
      </w:pPr>
      <w:r>
        <w:rPr>
          <w:rFonts w:eastAsia="仿宋_GB2312"/>
          <w:color w:val="000000" w:themeColor="text1"/>
          <w:sz w:val="32"/>
          <w:szCs w:val="32"/>
        </w:rPr>
        <w:t>5.3</w:t>
      </w:r>
      <w:r>
        <w:rPr>
          <w:rFonts w:eastAsia="仿宋_GB2312"/>
          <w:color w:val="000000" w:themeColor="text1"/>
          <w:sz w:val="32"/>
          <w:szCs w:val="32"/>
        </w:rPr>
        <w:t>灭菌工艺研究</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eastAsia="仿宋_GB2312"/>
          <w:bCs/>
          <w:color w:val="000000" w:themeColor="text1"/>
          <w:sz w:val="32"/>
          <w:szCs w:val="32"/>
        </w:rPr>
        <w:t>5.3.1</w:t>
      </w:r>
      <w:r>
        <w:rPr>
          <w:rFonts w:ascii="仿宋_GB2312" w:eastAsia="仿宋_GB2312" w:hAnsi="仿宋_GB2312" w:cs="仿宋_GB2312" w:hint="eastAsia"/>
          <w:bCs/>
          <w:color w:val="000000" w:themeColor="text1"/>
          <w:sz w:val="32"/>
          <w:szCs w:val="32"/>
        </w:rPr>
        <w:t>应明确灭菌工艺（方法和参数）和无菌保证水平</w:t>
      </w:r>
      <w:r>
        <w:rPr>
          <w:rFonts w:eastAsia="仿宋_GB2312"/>
          <w:bCs/>
          <w:color w:val="000000" w:themeColor="text1"/>
          <w:sz w:val="32"/>
          <w:szCs w:val="32"/>
        </w:rPr>
        <w:t>（</w:t>
      </w:r>
      <w:r>
        <w:rPr>
          <w:rFonts w:eastAsia="仿宋_GB2312"/>
          <w:bCs/>
          <w:color w:val="000000" w:themeColor="text1"/>
          <w:sz w:val="32"/>
          <w:szCs w:val="32"/>
        </w:rPr>
        <w:t>SAL</w:t>
      </w:r>
      <w:r>
        <w:rPr>
          <w:rFonts w:eastAsia="仿宋_GB2312"/>
          <w:bCs/>
          <w:color w:val="000000" w:themeColor="text1"/>
          <w:sz w:val="32"/>
          <w:szCs w:val="32"/>
        </w:rPr>
        <w:t>），</w:t>
      </w:r>
      <w:r>
        <w:rPr>
          <w:rFonts w:eastAsia="仿宋_GB2312"/>
          <w:color w:val="000000" w:themeColor="text1"/>
          <w:sz w:val="32"/>
          <w:szCs w:val="32"/>
        </w:rPr>
        <w:t>无菌保证水平需达到</w:t>
      </w:r>
      <w:r>
        <w:rPr>
          <w:rFonts w:eastAsia="仿宋_GB2312"/>
          <w:color w:val="000000" w:themeColor="text1"/>
          <w:sz w:val="32"/>
          <w:szCs w:val="32"/>
        </w:rPr>
        <w:t>10</w:t>
      </w:r>
      <w:r>
        <w:rPr>
          <w:rFonts w:eastAsia="仿宋_GB2312"/>
          <w:color w:val="000000" w:themeColor="text1"/>
          <w:sz w:val="32"/>
          <w:szCs w:val="32"/>
          <w:vertAlign w:val="superscript"/>
        </w:rPr>
        <w:t>-6</w:t>
      </w:r>
      <w:r>
        <w:rPr>
          <w:rFonts w:eastAsia="仿宋_GB2312"/>
          <w:color w:val="000000" w:themeColor="text1"/>
          <w:sz w:val="32"/>
          <w:szCs w:val="32"/>
        </w:rPr>
        <w:t>。提供灭菌确认报告，报告内容可参考</w:t>
      </w:r>
      <w:r>
        <w:rPr>
          <w:rFonts w:eastAsia="仿宋_GB2312"/>
          <w:color w:val="000000" w:themeColor="text1"/>
          <w:sz w:val="32"/>
          <w:szCs w:val="32"/>
        </w:rPr>
        <w:t>GB 18279</w:t>
      </w:r>
      <w:r>
        <w:rPr>
          <w:rFonts w:eastAsia="仿宋_GB2312"/>
          <w:color w:val="000000" w:themeColor="text1"/>
          <w:sz w:val="32"/>
          <w:szCs w:val="32"/>
        </w:rPr>
        <w:t>《医疗保健产品灭菌</w:t>
      </w:r>
      <w:r>
        <w:rPr>
          <w:rFonts w:eastAsia="仿宋_GB2312"/>
          <w:color w:val="000000" w:themeColor="text1"/>
          <w:sz w:val="32"/>
          <w:szCs w:val="32"/>
        </w:rPr>
        <w:t xml:space="preserve"> </w:t>
      </w:r>
      <w:r>
        <w:rPr>
          <w:rFonts w:eastAsia="仿宋_GB2312"/>
          <w:color w:val="000000" w:themeColor="text1"/>
          <w:sz w:val="32"/>
          <w:szCs w:val="32"/>
        </w:rPr>
        <w:t>环氧乙烷》系列标准、</w:t>
      </w:r>
      <w:r>
        <w:rPr>
          <w:rFonts w:eastAsia="仿宋_GB2312"/>
          <w:color w:val="000000" w:themeColor="text1"/>
          <w:sz w:val="32"/>
          <w:szCs w:val="32"/>
        </w:rPr>
        <w:t>GB 18280</w:t>
      </w:r>
      <w:r>
        <w:rPr>
          <w:rFonts w:eastAsia="仿宋_GB2312"/>
          <w:color w:val="000000" w:themeColor="text1"/>
          <w:sz w:val="32"/>
          <w:szCs w:val="32"/>
        </w:rPr>
        <w:t>《医疗保健产品灭菌</w:t>
      </w:r>
      <w:r>
        <w:rPr>
          <w:rFonts w:eastAsia="仿宋_GB2312"/>
          <w:color w:val="000000" w:themeColor="text1"/>
          <w:sz w:val="32"/>
          <w:szCs w:val="32"/>
        </w:rPr>
        <w:t xml:space="preserve"> </w:t>
      </w:r>
      <w:r>
        <w:rPr>
          <w:rFonts w:eastAsia="仿宋_GB2312"/>
          <w:color w:val="000000" w:themeColor="text1"/>
          <w:sz w:val="32"/>
          <w:szCs w:val="32"/>
        </w:rPr>
        <w:t>辐射》系列标准等的规定。灭菌确认应考虑产品与灭菌过程的适应性、包装和标签与灭菌过程的适</w:t>
      </w:r>
      <w:r>
        <w:rPr>
          <w:rFonts w:ascii="仿宋_GB2312" w:eastAsia="仿宋_GB2312" w:hAnsi="仿宋_GB2312" w:cs="仿宋_GB2312" w:hint="eastAsia"/>
          <w:color w:val="000000" w:themeColor="text1"/>
          <w:sz w:val="32"/>
          <w:szCs w:val="32"/>
        </w:rPr>
        <w:t>应性等内容。</w:t>
      </w:r>
    </w:p>
    <w:p w:rsidR="009675C0" w:rsidRDefault="00081A49">
      <w:pPr>
        <w:spacing w:line="520" w:lineRule="exact"/>
        <w:ind w:firstLine="560"/>
        <w:rPr>
          <w:rFonts w:eastAsia="仿宋_GB2312"/>
          <w:color w:val="000000" w:themeColor="text1"/>
          <w:sz w:val="32"/>
          <w:szCs w:val="32"/>
        </w:rPr>
      </w:pPr>
      <w:r>
        <w:rPr>
          <w:rFonts w:eastAsia="仿宋_GB2312"/>
          <w:bCs/>
          <w:color w:val="000000" w:themeColor="text1"/>
          <w:kern w:val="0"/>
          <w:sz w:val="32"/>
          <w:szCs w:val="32"/>
        </w:rPr>
        <w:t>5.3.2</w:t>
      </w:r>
      <w:r>
        <w:rPr>
          <w:rFonts w:ascii="仿宋_GB2312" w:eastAsia="仿宋_GB2312" w:hAnsi="仿宋_GB2312" w:cs="仿宋_GB2312" w:hint="eastAsia"/>
          <w:bCs/>
          <w:color w:val="000000" w:themeColor="text1"/>
          <w:kern w:val="0"/>
          <w:sz w:val="32"/>
          <w:szCs w:val="32"/>
        </w:rPr>
        <w:t>残留毒性（如适用）：产品经灭菌后可能产生残留物质</w:t>
      </w:r>
      <w:r>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需对灭菌的产品进行残留毒性的研究，明确残留物信息及采取的处理方法，并提供相关研究资料。如环氧乙烷灭菌，应当参考</w:t>
      </w:r>
      <w:r>
        <w:rPr>
          <w:rFonts w:eastAsia="仿宋_GB2312"/>
          <w:bCs/>
          <w:color w:val="000000" w:themeColor="text1"/>
          <w:kern w:val="0"/>
          <w:sz w:val="32"/>
          <w:szCs w:val="32"/>
        </w:rPr>
        <w:t>GB/T 16886.7</w:t>
      </w:r>
      <w:r>
        <w:rPr>
          <w:rFonts w:eastAsia="仿宋_GB2312"/>
          <w:bCs/>
          <w:color w:val="000000" w:themeColor="text1"/>
          <w:kern w:val="0"/>
          <w:sz w:val="32"/>
          <w:szCs w:val="32"/>
        </w:rPr>
        <w:t>《医疗器械生物学评价第</w:t>
      </w:r>
      <w:r>
        <w:rPr>
          <w:rFonts w:eastAsia="仿宋_GB2312"/>
          <w:bCs/>
          <w:color w:val="000000" w:themeColor="text1"/>
          <w:kern w:val="0"/>
          <w:sz w:val="32"/>
          <w:szCs w:val="32"/>
        </w:rPr>
        <w:t>7</w:t>
      </w:r>
      <w:r>
        <w:rPr>
          <w:rFonts w:eastAsia="仿宋_GB2312"/>
          <w:bCs/>
          <w:color w:val="000000" w:themeColor="text1"/>
          <w:kern w:val="0"/>
          <w:sz w:val="32"/>
          <w:szCs w:val="32"/>
        </w:rPr>
        <w:t>部分：环氧乙烷灭菌残留量》等标准明确残留物信息（如</w:t>
      </w:r>
      <w:r>
        <w:rPr>
          <w:rFonts w:eastAsia="仿宋_GB2312"/>
          <w:bCs/>
          <w:color w:val="000000" w:themeColor="text1"/>
          <w:kern w:val="0"/>
          <w:sz w:val="32"/>
          <w:szCs w:val="32"/>
        </w:rPr>
        <w:t>EO</w:t>
      </w:r>
      <w:r>
        <w:rPr>
          <w:rFonts w:eastAsia="仿宋_GB2312"/>
          <w:bCs/>
          <w:color w:val="000000" w:themeColor="text1"/>
          <w:kern w:val="0"/>
          <w:sz w:val="32"/>
          <w:szCs w:val="32"/>
        </w:rPr>
        <w:t>、</w:t>
      </w:r>
      <w:r>
        <w:rPr>
          <w:rFonts w:eastAsia="仿宋_GB2312"/>
          <w:bCs/>
          <w:color w:val="000000" w:themeColor="text1"/>
          <w:kern w:val="0"/>
          <w:sz w:val="32"/>
          <w:szCs w:val="32"/>
        </w:rPr>
        <w:t>ECH</w:t>
      </w:r>
      <w:r>
        <w:rPr>
          <w:rFonts w:eastAsia="仿宋_GB2312"/>
          <w:bCs/>
          <w:color w:val="000000" w:themeColor="text1"/>
          <w:kern w:val="0"/>
          <w:sz w:val="32"/>
          <w:szCs w:val="32"/>
        </w:rPr>
        <w:t>）及采取的处理方法和条件，并提供研究资料。</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eastAsia="仿宋_GB2312"/>
          <w:color w:val="000000" w:themeColor="text1"/>
          <w:sz w:val="32"/>
          <w:szCs w:val="32"/>
        </w:rPr>
        <w:t>5.5</w:t>
      </w:r>
      <w:r>
        <w:rPr>
          <w:rFonts w:ascii="仿宋_GB2312" w:eastAsia="仿宋_GB2312" w:hAnsi="仿宋_GB2312" w:cs="仿宋_GB2312" w:hint="eastAsia"/>
          <w:color w:val="000000" w:themeColor="text1"/>
          <w:sz w:val="32"/>
          <w:szCs w:val="32"/>
        </w:rPr>
        <w:t>产品有效期和包装研究</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产品货架有效期</w:t>
      </w:r>
      <w:r>
        <w:rPr>
          <w:rFonts w:ascii="仿宋_GB2312" w:eastAsia="仿宋_GB2312" w:hAnsi="仿宋_GB2312" w:cs="仿宋_GB2312" w:hint="eastAsia"/>
          <w:bCs/>
          <w:color w:val="000000" w:themeColor="text1"/>
          <w:kern w:val="0"/>
          <w:sz w:val="32"/>
          <w:szCs w:val="32"/>
        </w:rPr>
        <w:t>的验证试验通常可分为加速稳定性试验和实时稳定性试验。</w:t>
      </w:r>
      <w:r>
        <w:rPr>
          <w:rFonts w:ascii="仿宋_GB2312" w:eastAsia="仿宋_GB2312" w:hAnsi="仿宋_GB2312" w:cs="仿宋_GB2312" w:hint="eastAsia"/>
          <w:color w:val="000000" w:themeColor="text1"/>
          <w:sz w:val="32"/>
          <w:szCs w:val="32"/>
        </w:rPr>
        <w:t>如果注册申报时提交的是加速稳定性研究资料，</w:t>
      </w:r>
      <w:r>
        <w:rPr>
          <w:rFonts w:ascii="仿宋_GB2312" w:eastAsia="仿宋_GB2312" w:hAnsi="仿宋_GB2312" w:cs="仿宋_GB2312" w:hint="eastAsia"/>
          <w:bCs/>
          <w:color w:val="000000" w:themeColor="text1"/>
          <w:kern w:val="0"/>
          <w:sz w:val="32"/>
          <w:szCs w:val="32"/>
        </w:rPr>
        <w:lastRenderedPageBreak/>
        <w:t>应评估产品是否适用于加速老化，若适用，可采用加速</w:t>
      </w:r>
      <w:r>
        <w:rPr>
          <w:rFonts w:ascii="仿宋_GB2312" w:eastAsia="仿宋_GB2312" w:hAnsi="仿宋_GB2312" w:cs="仿宋_GB2312" w:hint="eastAsia"/>
          <w:color w:val="000000" w:themeColor="text1"/>
          <w:sz w:val="32"/>
          <w:szCs w:val="32"/>
        </w:rPr>
        <w:t>稳定性</w:t>
      </w:r>
      <w:r>
        <w:rPr>
          <w:rFonts w:ascii="仿宋_GB2312" w:eastAsia="仿宋_GB2312" w:hAnsi="仿宋_GB2312" w:cs="仿宋_GB2312" w:hint="eastAsia"/>
          <w:bCs/>
          <w:color w:val="000000" w:themeColor="text1"/>
          <w:kern w:val="0"/>
          <w:sz w:val="32"/>
          <w:szCs w:val="32"/>
        </w:rPr>
        <w:t>研究资料作为货架有效期的支持性资料。产品货架有效期的验证试验具体可参考</w:t>
      </w:r>
      <w:r>
        <w:rPr>
          <w:rFonts w:eastAsia="仿宋_GB2312"/>
          <w:bCs/>
          <w:color w:val="000000" w:themeColor="text1"/>
          <w:kern w:val="0"/>
          <w:sz w:val="32"/>
          <w:szCs w:val="32"/>
        </w:rPr>
        <w:t>YY/T 0681.1</w:t>
      </w:r>
      <w:r>
        <w:rPr>
          <w:rFonts w:eastAsia="仿宋_GB2312"/>
          <w:bCs/>
          <w:color w:val="000000" w:themeColor="text1"/>
          <w:kern w:val="0"/>
          <w:sz w:val="32"/>
          <w:szCs w:val="32"/>
        </w:rPr>
        <w:t>《无菌医疗器械包装试验方法</w:t>
      </w:r>
      <w:r>
        <w:rPr>
          <w:rFonts w:eastAsia="仿宋_GB2312"/>
          <w:bCs/>
          <w:color w:val="000000" w:themeColor="text1"/>
          <w:kern w:val="0"/>
          <w:sz w:val="32"/>
          <w:szCs w:val="32"/>
        </w:rPr>
        <w:t xml:space="preserve"> </w:t>
      </w:r>
      <w:r>
        <w:rPr>
          <w:rFonts w:eastAsia="仿宋_GB2312"/>
          <w:bCs/>
          <w:color w:val="000000" w:themeColor="text1"/>
          <w:kern w:val="0"/>
          <w:sz w:val="32"/>
          <w:szCs w:val="32"/>
        </w:rPr>
        <w:t>第</w:t>
      </w:r>
      <w:r>
        <w:rPr>
          <w:rFonts w:eastAsia="仿宋_GB2312"/>
          <w:bCs/>
          <w:color w:val="000000" w:themeColor="text1"/>
          <w:kern w:val="0"/>
          <w:sz w:val="32"/>
          <w:szCs w:val="32"/>
        </w:rPr>
        <w:t>1</w:t>
      </w:r>
      <w:r>
        <w:rPr>
          <w:rFonts w:eastAsia="仿宋_GB2312"/>
          <w:bCs/>
          <w:color w:val="000000" w:themeColor="text1"/>
          <w:kern w:val="0"/>
          <w:sz w:val="32"/>
          <w:szCs w:val="32"/>
        </w:rPr>
        <w:t>部分：加速老化试验指南》</w:t>
      </w:r>
      <w:r>
        <w:rPr>
          <w:rFonts w:ascii="仿宋_GB2312" w:eastAsia="仿宋_GB2312" w:hAnsi="仿宋_GB2312" w:cs="仿宋_GB2312" w:hint="eastAsia"/>
          <w:bCs/>
          <w:color w:val="000000" w:themeColor="text1"/>
          <w:kern w:val="0"/>
          <w:sz w:val="32"/>
          <w:szCs w:val="32"/>
        </w:rPr>
        <w:t>和《无源</w:t>
      </w:r>
      <w:r>
        <w:rPr>
          <w:rFonts w:ascii="仿宋_GB2312" w:eastAsia="仿宋_GB2312" w:hAnsi="仿宋_GB2312" w:cs="仿宋_GB2312" w:hint="eastAsia"/>
          <w:color w:val="000000" w:themeColor="text1"/>
          <w:sz w:val="32"/>
          <w:szCs w:val="32"/>
        </w:rPr>
        <w:t>植入性医疗器械货架有效期注册申报资料指导原则》。</w:t>
      </w:r>
    </w:p>
    <w:p w:rsidR="009675C0" w:rsidRDefault="00081A49">
      <w:pPr>
        <w:spacing w:line="520" w:lineRule="exact"/>
        <w:ind w:firstLineChars="200" w:firstLine="640"/>
        <w:rPr>
          <w:rFonts w:ascii="仿宋_GB2312" w:eastAsia="仿宋_GB2312" w:hAnsi="仿宋_GB2312" w:cs="仿宋_GB2312"/>
          <w:color w:val="000000" w:themeColor="text1"/>
          <w:sz w:val="32"/>
          <w:szCs w:val="28"/>
        </w:rPr>
      </w:pPr>
      <w:r>
        <w:rPr>
          <w:rFonts w:ascii="仿宋_GB2312" w:eastAsia="仿宋_GB2312" w:hAnsi="仿宋_GB2312" w:cs="仿宋_GB2312" w:hint="eastAsia"/>
          <w:color w:val="000000" w:themeColor="text1"/>
          <w:sz w:val="32"/>
          <w:szCs w:val="28"/>
        </w:rPr>
        <w:t>货架有效期验证试验宜采用与常规生产相同的终产品进行。验证项目需评估产品随时间老化的相关性能，包括产品自身性能验证和包装系统性能验证两方面。前者需选择与医疗器械货架有效期密切相关的物理、化学、微生物测试项目，涉及产品生物相容性可能发生改变的，需进行生物学评价。后者包括包装完整性、包装强度和微生物屏障性能等验</w:t>
      </w:r>
      <w:r>
        <w:rPr>
          <w:rFonts w:ascii="仿宋_GB2312" w:eastAsia="仿宋_GB2312" w:hAnsi="仿宋_GB2312" w:cs="仿宋_GB2312" w:hint="eastAsia"/>
          <w:color w:val="000000" w:themeColor="text1"/>
          <w:sz w:val="32"/>
          <w:szCs w:val="28"/>
        </w:rPr>
        <w:t>证项目。其中，包装完整性验证项目可包括在设定的时间间隔点目力检测产品包装（是否污染、破损等）及标签（完整性、粘附牢固度、印刷内容清晰度等）、采用染色液穿透法测定透气包装的密封泄漏试验和气泡法测定软性包装泄漏试验等；包装强度测试项目包括软性屏障材料密封强度试验、无约束包装抗内压破坏试验等。</w:t>
      </w:r>
    </w:p>
    <w:p w:rsidR="009675C0" w:rsidRDefault="00081A49">
      <w:pPr>
        <w:adjustRightInd w:val="0"/>
        <w:snapToGrid w:val="0"/>
        <w:spacing w:line="52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28"/>
        </w:rPr>
        <w:t>产品包装完整性除考虑储存条件外，还需考虑运输条件，根据适用情况可选择人工搬运、堆码、振动、跌落、碰撞等模拟运输试验，验证</w:t>
      </w:r>
      <w:r>
        <w:rPr>
          <w:rFonts w:ascii="仿宋_GB2312" w:eastAsia="仿宋_GB2312" w:hAnsi="仿宋_GB2312" w:cs="仿宋_GB2312" w:hint="eastAsia"/>
          <w:bCs/>
          <w:color w:val="000000" w:themeColor="text1"/>
          <w:sz w:val="32"/>
          <w:szCs w:val="32"/>
        </w:rPr>
        <w:t>运输过程中的环境条件不会对医疗器械的特性和性能，包括完整性和清洁度，造成不利影响。</w:t>
      </w:r>
    </w:p>
    <w:p w:rsidR="009675C0" w:rsidRDefault="00081A49">
      <w:pPr>
        <w:spacing w:line="520" w:lineRule="exact"/>
        <w:ind w:firstLineChars="200" w:firstLine="640"/>
        <w:rPr>
          <w:rFonts w:ascii="仿宋_GB2312" w:eastAsia="仿宋_GB2312" w:hAnsi="仿宋_GB2312" w:cs="仿宋_GB2312"/>
          <w:bCs/>
          <w:color w:val="000000" w:themeColor="text1"/>
          <w:sz w:val="32"/>
          <w:szCs w:val="32"/>
        </w:rPr>
      </w:pPr>
      <w:r>
        <w:rPr>
          <w:rFonts w:eastAsia="仿宋_GB2312"/>
          <w:bCs/>
          <w:color w:val="000000" w:themeColor="text1"/>
          <w:sz w:val="32"/>
          <w:szCs w:val="32"/>
        </w:rPr>
        <w:t>6.</w:t>
      </w:r>
      <w:r>
        <w:rPr>
          <w:rFonts w:ascii="仿宋_GB2312" w:eastAsia="仿宋_GB2312" w:hAnsi="仿宋_GB2312" w:cs="仿宋_GB2312" w:hint="eastAsia"/>
          <w:bCs/>
          <w:color w:val="000000" w:themeColor="text1"/>
          <w:sz w:val="32"/>
          <w:szCs w:val="32"/>
        </w:rPr>
        <w:t>其他资料</w:t>
      </w:r>
    </w:p>
    <w:p w:rsidR="009675C0" w:rsidRDefault="00081A49">
      <w:pPr>
        <w:spacing w:line="520" w:lineRule="exact"/>
        <w:ind w:firstLineChars="200"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color w:val="000000" w:themeColor="text1"/>
          <w:kern w:val="0"/>
          <w:sz w:val="32"/>
          <w:szCs w:val="32"/>
        </w:rPr>
        <w:t>对于列入《</w:t>
      </w:r>
      <w:r>
        <w:rPr>
          <w:rFonts w:ascii="仿宋_GB2312" w:eastAsia="仿宋_GB2312" w:hAnsi="仿宋_GB2312" w:cs="仿宋_GB2312" w:hint="eastAsia"/>
          <w:color w:val="000000" w:themeColor="text1"/>
          <w:kern w:val="0"/>
          <w:sz w:val="32"/>
          <w:szCs w:val="32"/>
        </w:rPr>
        <w:t>免于</w:t>
      </w:r>
      <w:r>
        <w:rPr>
          <w:rFonts w:ascii="仿宋_GB2312" w:eastAsia="仿宋_GB2312" w:hAnsi="仿宋_GB2312" w:cs="仿宋_GB2312" w:hint="eastAsia"/>
          <w:color w:val="000000" w:themeColor="text1"/>
          <w:kern w:val="0"/>
          <w:sz w:val="32"/>
          <w:szCs w:val="32"/>
        </w:rPr>
        <w:t>进行</w:t>
      </w:r>
      <w:r>
        <w:rPr>
          <w:rFonts w:ascii="仿宋_GB2312" w:eastAsia="仿宋_GB2312" w:hAnsi="仿宋_GB2312" w:cs="仿宋_GB2312" w:hint="eastAsia"/>
          <w:color w:val="000000" w:themeColor="text1"/>
          <w:kern w:val="0"/>
          <w:sz w:val="32"/>
          <w:szCs w:val="32"/>
        </w:rPr>
        <w:t>临床评价医疗器械目录</w:t>
      </w:r>
      <w:r>
        <w:rPr>
          <w:rFonts w:ascii="仿宋_GB2312" w:eastAsia="仿宋_GB2312" w:hAnsi="仿宋_GB2312" w:cs="仿宋_GB2312" w:hint="eastAsia"/>
          <w:color w:val="000000" w:themeColor="text1"/>
          <w:kern w:val="0"/>
          <w:sz w:val="32"/>
          <w:szCs w:val="32"/>
        </w:rPr>
        <w:t>》的尿道扩张器，注册申请人应当按照《列入免于临床评价医疗器械目录产品对比说明技术指导原则》的要求，从基本原理、结构组成、性能、安全性、适用范围等方面证明产品的安全有效性。</w:t>
      </w:r>
    </w:p>
    <w:p w:rsidR="009675C0" w:rsidRDefault="00081A49">
      <w:pPr>
        <w:spacing w:line="520" w:lineRule="exact"/>
        <w:ind w:left="654" w:rightChars="-32" w:right="-67"/>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（五）临床评价资料</w:t>
      </w:r>
    </w:p>
    <w:p w:rsidR="009675C0" w:rsidRDefault="00081A49">
      <w:pPr>
        <w:overflowPunct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对于需要进行临床评价的尿道扩张器，注册申请人应按照《医疗器械临床评价技术指导原则》的要求，</w:t>
      </w:r>
      <w:r>
        <w:rPr>
          <w:rFonts w:ascii="仿宋_GB2312" w:eastAsia="仿宋_GB2312" w:hAnsi="仿宋_GB2312" w:cs="仿宋_GB2312" w:hint="eastAsia"/>
          <w:color w:val="000000" w:themeColor="text1"/>
          <w:spacing w:val="-1"/>
          <w:sz w:val="32"/>
          <w:szCs w:val="32"/>
        </w:rPr>
        <w:t>提交临床评价资料。</w:t>
      </w:r>
    </w:p>
    <w:p w:rsidR="009675C0" w:rsidRDefault="00081A49">
      <w:pPr>
        <w:spacing w:line="520" w:lineRule="exact"/>
        <w:ind w:left="654" w:rightChars="-32" w:right="-67"/>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（六）产品说明书和标签要求</w:t>
      </w:r>
    </w:p>
    <w:p w:rsidR="009675C0" w:rsidRDefault="00081A49">
      <w:pPr>
        <w:spacing w:line="520" w:lineRule="exact"/>
        <w:ind w:firstLineChars="200" w:firstLine="640"/>
        <w:rPr>
          <w:rFonts w:eastAsia="仿宋_GB2312"/>
          <w:color w:val="000000" w:themeColor="text1"/>
          <w:sz w:val="32"/>
          <w:szCs w:val="32"/>
        </w:rPr>
      </w:pPr>
      <w:r>
        <w:rPr>
          <w:rFonts w:ascii="仿宋_GB2312" w:eastAsia="仿宋_GB2312" w:hAnsi="仿宋_GB2312" w:cs="仿宋_GB2312" w:hint="eastAsia"/>
          <w:color w:val="000000" w:themeColor="text1"/>
          <w:sz w:val="32"/>
          <w:szCs w:val="32"/>
        </w:rPr>
        <w:t>产品说明书、标签应当符合《医疗器械说明书和标签管理规定》</w:t>
      </w:r>
      <w:r>
        <w:rPr>
          <w:rFonts w:eastAsia="仿宋_GB2312"/>
          <w:color w:val="000000" w:themeColor="text1"/>
          <w:sz w:val="32"/>
          <w:szCs w:val="32"/>
        </w:rPr>
        <w:t>、</w:t>
      </w:r>
      <w:r>
        <w:rPr>
          <w:rFonts w:eastAsia="仿宋_GB2312"/>
          <w:color w:val="000000" w:themeColor="text1"/>
          <w:sz w:val="32"/>
          <w:szCs w:val="32"/>
        </w:rPr>
        <w:t>YY/T 0466.1</w:t>
      </w:r>
      <w:r>
        <w:rPr>
          <w:rFonts w:eastAsia="仿宋_GB2312"/>
          <w:color w:val="000000" w:themeColor="text1"/>
          <w:sz w:val="32"/>
          <w:szCs w:val="32"/>
        </w:rPr>
        <w:t>《医疗器械</w:t>
      </w:r>
      <w:r>
        <w:rPr>
          <w:rFonts w:eastAsia="仿宋_GB2312"/>
          <w:color w:val="000000" w:themeColor="text1"/>
          <w:sz w:val="32"/>
          <w:szCs w:val="32"/>
        </w:rPr>
        <w:t xml:space="preserve"> </w:t>
      </w:r>
      <w:r>
        <w:rPr>
          <w:rFonts w:eastAsia="仿宋_GB2312"/>
          <w:color w:val="000000" w:themeColor="text1"/>
          <w:sz w:val="32"/>
          <w:szCs w:val="32"/>
        </w:rPr>
        <w:t>用于医疗器械标签、标记和提供信息的符号</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部分：通用要求》的要求。</w:t>
      </w:r>
      <w:r>
        <w:rPr>
          <w:rFonts w:eastAsia="仿宋_GB2312"/>
          <w:color w:val="000000" w:themeColor="text1"/>
          <w:sz w:val="32"/>
          <w:szCs w:val="28"/>
        </w:rPr>
        <w:t>说明书、标签的内容应当真实、完整、科学，并与产品特性相一致。</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说明书中关于产品性能特征的描述不应超出研究资料及产品技术要求，不得含有未经验证的夸大宣传的相关描述；储存和运输条件不应超出产品货架有效期验证范围。</w:t>
      </w:r>
    </w:p>
    <w:p w:rsidR="009675C0" w:rsidRDefault="00081A49">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注意事项应至少包括以下内容：</w:t>
      </w:r>
    </w:p>
    <w:p w:rsidR="009675C0" w:rsidRDefault="00081A49">
      <w:pPr>
        <w:widowControl/>
        <w:spacing w:line="520" w:lineRule="exact"/>
        <w:ind w:firstLineChars="200" w:firstLine="640"/>
        <w:textAlignment w:val="baseline"/>
        <w:rPr>
          <w:rStyle w:val="16"/>
          <w:rFonts w:ascii="Times New Roman" w:eastAsia="仿宋_GB2312" w:hAnsi="Times New Roman" w:cs="Times New Roman"/>
          <w:color w:val="000000" w:themeColor="text1"/>
          <w:sz w:val="32"/>
          <w:szCs w:val="32"/>
        </w:rPr>
      </w:pPr>
      <w:r>
        <w:rPr>
          <w:rStyle w:val="16"/>
          <w:rFonts w:ascii="Times New Roman" w:eastAsia="仿宋_GB2312" w:hAnsi="Times New Roman" w:cs="Times New Roman"/>
          <w:color w:val="000000" w:themeColor="text1"/>
          <w:sz w:val="32"/>
          <w:szCs w:val="32"/>
        </w:rPr>
        <w:t>1.</w:t>
      </w:r>
      <w:r>
        <w:rPr>
          <w:rFonts w:eastAsia="仿宋_GB2312"/>
          <w:color w:val="000000" w:themeColor="text1"/>
          <w:spacing w:val="-4"/>
          <w:sz w:val="32"/>
          <w:szCs w:val="28"/>
        </w:rPr>
        <w:t>说明产品是否具有显影功能，表面是否有涂层</w:t>
      </w:r>
      <w:r>
        <w:rPr>
          <w:rStyle w:val="16"/>
          <w:rFonts w:ascii="Times New Roman" w:eastAsia="仿宋_GB2312" w:hAnsi="Times New Roman" w:cs="Times New Roman"/>
          <w:color w:val="000000" w:themeColor="text1"/>
          <w:sz w:val="32"/>
          <w:szCs w:val="32"/>
        </w:rPr>
        <w:t>；</w:t>
      </w:r>
    </w:p>
    <w:p w:rsidR="009675C0" w:rsidRDefault="00081A49">
      <w:pPr>
        <w:widowControl/>
        <w:spacing w:line="520" w:lineRule="exact"/>
        <w:ind w:firstLineChars="200" w:firstLine="640"/>
        <w:textAlignment w:val="baseline"/>
        <w:rPr>
          <w:rStyle w:val="16"/>
          <w:rFonts w:ascii="Times New Roman" w:eastAsia="仿宋_GB2312" w:hAnsi="Times New Roman" w:cs="Times New Roman"/>
          <w:color w:val="000000" w:themeColor="text1"/>
          <w:sz w:val="32"/>
          <w:szCs w:val="32"/>
        </w:rPr>
      </w:pPr>
      <w:r>
        <w:rPr>
          <w:rStyle w:val="16"/>
          <w:rFonts w:ascii="Times New Roman" w:eastAsia="仿宋_GB2312" w:hAnsi="Times New Roman" w:cs="Times New Roman"/>
          <w:color w:val="000000" w:themeColor="text1"/>
          <w:sz w:val="32"/>
          <w:szCs w:val="32"/>
        </w:rPr>
        <w:t>2.</w:t>
      </w:r>
      <w:r>
        <w:rPr>
          <w:rFonts w:eastAsia="仿宋_GB2312"/>
          <w:color w:val="000000" w:themeColor="text1"/>
          <w:spacing w:val="-4"/>
          <w:sz w:val="32"/>
          <w:szCs w:val="28"/>
        </w:rPr>
        <w:t>不同人群的型号规格选用提示</w:t>
      </w:r>
      <w:r>
        <w:rPr>
          <w:rStyle w:val="16"/>
          <w:rFonts w:ascii="Times New Roman" w:eastAsia="仿宋_GB2312" w:hAnsi="Times New Roman" w:cs="Times New Roman"/>
          <w:color w:val="000000" w:themeColor="text1"/>
          <w:sz w:val="32"/>
          <w:szCs w:val="32"/>
        </w:rPr>
        <w:t>；</w:t>
      </w:r>
    </w:p>
    <w:p w:rsidR="009675C0" w:rsidRDefault="00081A49">
      <w:pPr>
        <w:widowControl/>
        <w:spacing w:line="520" w:lineRule="exact"/>
        <w:ind w:firstLineChars="200" w:firstLine="640"/>
        <w:textAlignment w:val="baseline"/>
        <w:rPr>
          <w:rStyle w:val="16"/>
          <w:rFonts w:ascii="Times New Roman" w:eastAsia="仿宋_GB2312" w:hAnsi="Times New Roman" w:cs="Times New Roman"/>
          <w:color w:val="000000" w:themeColor="text1"/>
          <w:sz w:val="32"/>
          <w:szCs w:val="32"/>
        </w:rPr>
      </w:pPr>
      <w:r>
        <w:rPr>
          <w:rStyle w:val="16"/>
          <w:rFonts w:ascii="Times New Roman" w:eastAsia="仿宋_GB2312" w:hAnsi="Times New Roman" w:cs="Times New Roman"/>
          <w:color w:val="000000" w:themeColor="text1"/>
          <w:sz w:val="32"/>
          <w:szCs w:val="32"/>
        </w:rPr>
        <w:t>3.</w:t>
      </w:r>
      <w:r>
        <w:rPr>
          <w:rFonts w:eastAsia="仿宋_GB2312"/>
          <w:color w:val="000000" w:themeColor="text1"/>
          <w:spacing w:val="-4"/>
          <w:sz w:val="32"/>
          <w:szCs w:val="28"/>
        </w:rPr>
        <w:t>产品需要同其他医疗器械联合使用时，应当注明联合使用器械的要求、使用方法、注意事项，如兼容的导丝尺寸、内镜要求</w:t>
      </w:r>
      <w:r>
        <w:rPr>
          <w:rStyle w:val="16"/>
          <w:rFonts w:ascii="Times New Roman" w:eastAsia="仿宋_GB2312" w:hAnsi="Times New Roman" w:cs="Times New Roman"/>
          <w:color w:val="000000" w:themeColor="text1"/>
          <w:sz w:val="32"/>
          <w:szCs w:val="32"/>
        </w:rPr>
        <w:t>；</w:t>
      </w:r>
    </w:p>
    <w:p w:rsidR="009675C0" w:rsidRDefault="00081A49">
      <w:pPr>
        <w:widowControl/>
        <w:spacing w:line="520" w:lineRule="exact"/>
        <w:ind w:firstLineChars="200" w:firstLine="640"/>
        <w:textAlignment w:val="baseline"/>
        <w:rPr>
          <w:rFonts w:eastAsia="仿宋_GB2312"/>
          <w:color w:val="000000" w:themeColor="text1"/>
          <w:spacing w:val="-4"/>
          <w:sz w:val="32"/>
          <w:szCs w:val="28"/>
        </w:rPr>
      </w:pPr>
      <w:r>
        <w:rPr>
          <w:rStyle w:val="16"/>
          <w:rFonts w:ascii="Times New Roman" w:eastAsia="仿宋_GB2312" w:hAnsi="Times New Roman" w:cs="Times New Roman"/>
          <w:color w:val="000000" w:themeColor="text1"/>
          <w:sz w:val="32"/>
          <w:szCs w:val="32"/>
        </w:rPr>
        <w:t>4.</w:t>
      </w:r>
      <w:r>
        <w:rPr>
          <w:rFonts w:eastAsia="仿宋_GB2312"/>
          <w:color w:val="000000" w:themeColor="text1"/>
          <w:spacing w:val="-4"/>
          <w:sz w:val="32"/>
          <w:szCs w:val="28"/>
        </w:rPr>
        <w:t>一次性使用，用后销毁；包装如有破损，严禁使用。</w:t>
      </w:r>
    </w:p>
    <w:p w:rsidR="009675C0" w:rsidRDefault="00081A49">
      <w:pPr>
        <w:widowControl/>
        <w:spacing w:line="520" w:lineRule="exact"/>
        <w:ind w:firstLineChars="200" w:firstLine="624"/>
        <w:textAlignment w:val="baseline"/>
        <w:rPr>
          <w:rFonts w:eastAsia="仿宋_GB2312"/>
          <w:color w:val="000000" w:themeColor="text1"/>
          <w:spacing w:val="-4"/>
          <w:sz w:val="32"/>
          <w:szCs w:val="28"/>
        </w:rPr>
      </w:pPr>
      <w:r>
        <w:rPr>
          <w:rFonts w:eastAsia="仿宋_GB2312"/>
          <w:color w:val="000000" w:themeColor="text1"/>
          <w:spacing w:val="-4"/>
          <w:sz w:val="32"/>
          <w:szCs w:val="28"/>
        </w:rPr>
        <w:t>5.</w:t>
      </w:r>
      <w:r>
        <w:rPr>
          <w:rFonts w:eastAsia="仿宋_GB2312"/>
          <w:color w:val="000000" w:themeColor="text1"/>
          <w:spacing w:val="-4"/>
          <w:sz w:val="32"/>
          <w:szCs w:val="28"/>
        </w:rPr>
        <w:t>无涂层产品应推荐使用的润滑剂类型。</w:t>
      </w:r>
    </w:p>
    <w:p w:rsidR="009675C0" w:rsidRDefault="00081A49">
      <w:pPr>
        <w:widowControl/>
        <w:spacing w:line="520" w:lineRule="exact"/>
        <w:ind w:firstLineChars="200" w:firstLine="624"/>
        <w:textAlignment w:val="baseline"/>
        <w:rPr>
          <w:rFonts w:ascii="仿宋_GB2312" w:eastAsia="仿宋_GB2312" w:hAnsi="仿宋_GB2312" w:cs="仿宋_GB2312"/>
          <w:color w:val="000000" w:themeColor="text1"/>
          <w:spacing w:val="-4"/>
          <w:sz w:val="32"/>
          <w:szCs w:val="28"/>
        </w:rPr>
      </w:pPr>
      <w:r>
        <w:rPr>
          <w:rFonts w:eastAsia="仿宋_GB2312"/>
          <w:color w:val="000000" w:themeColor="text1"/>
          <w:spacing w:val="-4"/>
          <w:sz w:val="32"/>
          <w:szCs w:val="28"/>
        </w:rPr>
        <w:t>6.</w:t>
      </w:r>
      <w:r>
        <w:rPr>
          <w:rFonts w:ascii="仿宋_GB2312" w:eastAsia="仿宋_GB2312" w:hAnsi="仿宋_GB2312" w:cs="仿宋_GB2312" w:hint="eastAsia"/>
          <w:color w:val="000000" w:themeColor="text1"/>
          <w:spacing w:val="-4"/>
          <w:sz w:val="32"/>
          <w:szCs w:val="28"/>
        </w:rPr>
        <w:t>若宣称产品仅用于完整黏膜，应注明。</w:t>
      </w:r>
    </w:p>
    <w:p w:rsidR="009675C0" w:rsidRDefault="00081A49">
      <w:pPr>
        <w:adjustRightInd w:val="0"/>
        <w:snapToGrid w:val="0"/>
        <w:spacing w:line="520" w:lineRule="exact"/>
        <w:ind w:firstLineChars="200" w:firstLine="640"/>
        <w:rPr>
          <w:rFonts w:ascii="楷体_GB2312" w:eastAsia="楷体_GB2312" w:hAnsi="楷体_GB2312" w:cs="楷体_GB2312"/>
          <w:color w:val="000000" w:themeColor="text1"/>
          <w:sz w:val="32"/>
          <w:szCs w:val="32"/>
        </w:rPr>
      </w:pPr>
      <w:bookmarkStart w:id="4" w:name="_Toc432753647"/>
      <w:r>
        <w:rPr>
          <w:rFonts w:ascii="楷体_GB2312" w:eastAsia="楷体_GB2312" w:hAnsi="楷体_GB2312" w:cs="楷体_GB2312" w:hint="eastAsia"/>
          <w:color w:val="000000" w:themeColor="text1"/>
          <w:sz w:val="32"/>
          <w:szCs w:val="32"/>
          <w:lang w:val="en"/>
        </w:rPr>
        <w:t>（</w:t>
      </w:r>
      <w:r>
        <w:rPr>
          <w:rFonts w:ascii="楷体_GB2312" w:eastAsia="楷体_GB2312" w:hAnsi="楷体_GB2312" w:cs="楷体_GB2312" w:hint="eastAsia"/>
          <w:color w:val="000000" w:themeColor="text1"/>
          <w:sz w:val="32"/>
          <w:szCs w:val="32"/>
        </w:rPr>
        <w:t>七）质量管理体系</w:t>
      </w:r>
      <w:bookmarkEnd w:id="4"/>
    </w:p>
    <w:p w:rsidR="009675C0" w:rsidRDefault="00081A49">
      <w:pPr>
        <w:overflowPunct w:val="0"/>
        <w:spacing w:line="520" w:lineRule="exact"/>
        <w:ind w:firstLineChars="200" w:firstLine="640"/>
        <w:rPr>
          <w:rFonts w:ascii="仿宋_GB2312" w:eastAsia="仿宋_GB2312" w:hAnsi="仿宋_GB2312" w:cs="仿宋_GB2312"/>
          <w:bCs/>
          <w:snapToGrid w:val="0"/>
          <w:color w:val="000000" w:themeColor="text1"/>
          <w:spacing w:val="-1"/>
          <w:kern w:val="0"/>
          <w:sz w:val="32"/>
          <w:szCs w:val="32"/>
        </w:rPr>
      </w:pPr>
      <w:r>
        <w:rPr>
          <w:rFonts w:ascii="仿宋_GB2312" w:eastAsia="仿宋_GB2312" w:hAnsi="仿宋_GB2312" w:cs="仿宋_GB2312" w:hint="eastAsia"/>
          <w:color w:val="000000" w:themeColor="text1"/>
          <w:sz w:val="32"/>
          <w:szCs w:val="32"/>
        </w:rPr>
        <w:t>质量管理体系文件应符合国家药品监督管理局《关于公布医疗器械注册申报资料要求和批准证明文件格式的公告》中对质量管理体系文件的要求</w:t>
      </w:r>
      <w:r>
        <w:rPr>
          <w:rFonts w:ascii="仿宋_GB2312" w:eastAsia="仿宋_GB2312" w:hAnsi="仿宋_GB2312" w:cs="仿宋_GB2312" w:hint="eastAsia"/>
          <w:bCs/>
          <w:snapToGrid w:val="0"/>
          <w:color w:val="000000" w:themeColor="text1"/>
          <w:spacing w:val="-1"/>
          <w:kern w:val="0"/>
          <w:sz w:val="32"/>
          <w:szCs w:val="32"/>
        </w:rPr>
        <w:t>。</w:t>
      </w:r>
    </w:p>
    <w:p w:rsidR="009675C0" w:rsidRDefault="00081A49">
      <w:pPr>
        <w:numPr>
          <w:ilvl w:val="0"/>
          <w:numId w:val="1"/>
        </w:numPr>
        <w:spacing w:line="520" w:lineRule="exact"/>
        <w:ind w:firstLineChars="200" w:firstLine="640"/>
        <w:rPr>
          <w:rFonts w:eastAsia="黑体"/>
          <w:color w:val="000000" w:themeColor="text1"/>
          <w:sz w:val="32"/>
          <w:szCs w:val="32"/>
        </w:rPr>
      </w:pPr>
      <w:r>
        <w:rPr>
          <w:rFonts w:eastAsia="黑体" w:hint="eastAsia"/>
          <w:color w:val="000000" w:themeColor="text1"/>
          <w:sz w:val="32"/>
          <w:szCs w:val="32"/>
        </w:rPr>
        <w:t>参考文献</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[1]GB 18279.1</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医疗保健产品灭菌</w:t>
      </w:r>
      <w:r>
        <w:rPr>
          <w:rFonts w:eastAsia="仿宋_GB2312"/>
          <w:color w:val="000000" w:themeColor="text1"/>
          <w:sz w:val="32"/>
          <w:szCs w:val="32"/>
        </w:rPr>
        <w:t xml:space="preserve"> </w:t>
      </w:r>
      <w:r>
        <w:rPr>
          <w:rFonts w:eastAsia="仿宋_GB2312"/>
          <w:color w:val="000000" w:themeColor="text1"/>
          <w:sz w:val="32"/>
          <w:szCs w:val="32"/>
        </w:rPr>
        <w:t>环氧乙烷</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部分：医</w:t>
      </w:r>
      <w:r>
        <w:rPr>
          <w:rFonts w:eastAsia="仿宋_GB2312"/>
          <w:color w:val="000000" w:themeColor="text1"/>
          <w:sz w:val="32"/>
          <w:szCs w:val="32"/>
        </w:rPr>
        <w:lastRenderedPageBreak/>
        <w:t>疗器械灭菌过程的开发、确认和常规控制的要求</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[2]GB/T 14233.1</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医用输液、输血、注射器具检验方法</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部分：化学分析方法</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[3]GB/T 14233.2</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医用输液、输血、注射器具检验方法</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2</w:t>
      </w:r>
      <w:r>
        <w:rPr>
          <w:rFonts w:eastAsia="仿宋_GB2312"/>
          <w:color w:val="000000" w:themeColor="text1"/>
          <w:sz w:val="32"/>
          <w:szCs w:val="32"/>
        </w:rPr>
        <w:t>部分：生物学试验方法</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[4]GB/T 16886.1</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医疗器械生物学评价</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部分：风险管理过程中的评价与试验</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[5]GB/T 16886.5</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医疗器械生物学评价</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5</w:t>
      </w:r>
      <w:r>
        <w:rPr>
          <w:rFonts w:eastAsia="仿宋_GB2312"/>
          <w:color w:val="000000" w:themeColor="text1"/>
          <w:sz w:val="32"/>
          <w:szCs w:val="32"/>
        </w:rPr>
        <w:t>部分：体外细胞毒性试验</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[6]GB/T 16886.7</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医疗器械生物学评价</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7</w:t>
      </w:r>
      <w:r>
        <w:rPr>
          <w:rFonts w:eastAsia="仿宋_GB2312"/>
          <w:color w:val="000000" w:themeColor="text1"/>
          <w:sz w:val="32"/>
          <w:szCs w:val="32"/>
        </w:rPr>
        <w:t>部分：环氧乙烷灭菌残留量</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[7]GB/T 16886.10</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医疗器械生物学评价</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10</w:t>
      </w:r>
      <w:r>
        <w:rPr>
          <w:rFonts w:eastAsia="仿宋_GB2312"/>
          <w:color w:val="000000" w:themeColor="text1"/>
          <w:sz w:val="32"/>
          <w:szCs w:val="32"/>
        </w:rPr>
        <w:t>部分：刺激与皮肤致敏试验</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[8]GB/T 19633.1</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最终灭菌医疗器械包装</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部分</w:t>
      </w:r>
      <w:r>
        <w:rPr>
          <w:rFonts w:eastAsia="仿宋_GB2312"/>
          <w:color w:val="000000" w:themeColor="text1"/>
          <w:sz w:val="32"/>
          <w:szCs w:val="32"/>
        </w:rPr>
        <w:t>:</w:t>
      </w:r>
      <w:r>
        <w:rPr>
          <w:rFonts w:eastAsia="仿宋_GB2312"/>
          <w:color w:val="000000" w:themeColor="text1"/>
          <w:sz w:val="32"/>
          <w:szCs w:val="32"/>
        </w:rPr>
        <w:t>材料、无菌屏障系统和包装系统的要求</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[9]GB/T 19633.2</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最终灭菌医疗器械包装</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2</w:t>
      </w:r>
      <w:r>
        <w:rPr>
          <w:rFonts w:eastAsia="仿宋_GB2312"/>
          <w:color w:val="000000" w:themeColor="text1"/>
          <w:sz w:val="32"/>
          <w:szCs w:val="32"/>
        </w:rPr>
        <w:t>部分</w:t>
      </w:r>
      <w:r>
        <w:rPr>
          <w:rFonts w:eastAsia="仿宋_GB2312"/>
          <w:color w:val="000000" w:themeColor="text1"/>
          <w:sz w:val="32"/>
          <w:szCs w:val="32"/>
        </w:rPr>
        <w:t>:</w:t>
      </w:r>
      <w:r>
        <w:rPr>
          <w:rFonts w:eastAsia="仿宋_GB2312"/>
          <w:color w:val="000000" w:themeColor="text1"/>
          <w:sz w:val="32"/>
          <w:szCs w:val="32"/>
        </w:rPr>
        <w:t>成形、密封和装配过程的确认的要求</w:t>
      </w:r>
      <w:r>
        <w:rPr>
          <w:rFonts w:eastAsia="仿宋_GB2312" w:hint="eastAsia"/>
          <w:color w:val="000000" w:themeColor="text1"/>
          <w:sz w:val="32"/>
          <w:szCs w:val="32"/>
        </w:rPr>
        <w:t>[S].</w:t>
      </w:r>
    </w:p>
    <w:p w:rsidR="009675C0" w:rsidRDefault="00081A49">
      <w:pPr>
        <w:overflowPunct w:val="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[10]</w:t>
      </w:r>
      <w:r>
        <w:rPr>
          <w:rFonts w:eastAsia="仿宋_GB2312"/>
          <w:color w:val="000000" w:themeColor="text1"/>
          <w:sz w:val="32"/>
          <w:szCs w:val="32"/>
        </w:rPr>
        <w:t xml:space="preserve"> GB/T 42062</w:t>
      </w:r>
      <w:r>
        <w:rPr>
          <w:rFonts w:eastAsia="仿宋_GB2312" w:hint="eastAsia"/>
          <w:color w:val="000000" w:themeColor="text1"/>
          <w:sz w:val="32"/>
          <w:szCs w:val="32"/>
        </w:rPr>
        <w:t>,</w:t>
      </w:r>
      <w:r>
        <w:rPr>
          <w:rFonts w:eastAsia="仿宋_GB2312" w:hint="eastAsia"/>
          <w:color w:val="000000" w:themeColor="text1"/>
          <w:sz w:val="32"/>
          <w:szCs w:val="32"/>
        </w:rPr>
        <w:t>医疗器械</w:t>
      </w:r>
      <w:r>
        <w:rPr>
          <w:rFonts w:eastAsia="仿宋_GB2312" w:hint="eastAsia"/>
          <w:color w:val="000000" w:themeColor="text1"/>
          <w:sz w:val="32"/>
          <w:szCs w:val="32"/>
        </w:rPr>
        <w:t xml:space="preserve"> </w:t>
      </w:r>
      <w:r>
        <w:rPr>
          <w:rFonts w:eastAsia="仿宋_GB2312" w:hint="eastAsia"/>
          <w:color w:val="000000" w:themeColor="text1"/>
          <w:sz w:val="32"/>
          <w:szCs w:val="32"/>
        </w:rPr>
        <w:t>风险管理对医疗器械的应用</w:t>
      </w:r>
      <w:r>
        <w:rPr>
          <w:rFonts w:eastAsia="仿宋_GB2312" w:hint="eastAsia"/>
          <w:color w:val="000000" w:themeColor="text1"/>
          <w:sz w:val="32"/>
          <w:szCs w:val="32"/>
        </w:rPr>
        <w:t xml:space="preserve">[S]. </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[11]YY/T 0466.1</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医疗器械</w:t>
      </w:r>
      <w:r>
        <w:rPr>
          <w:rFonts w:eastAsia="仿宋_GB2312"/>
          <w:color w:val="000000" w:themeColor="text1"/>
          <w:sz w:val="32"/>
          <w:szCs w:val="32"/>
        </w:rPr>
        <w:t xml:space="preserve"> </w:t>
      </w:r>
      <w:r>
        <w:rPr>
          <w:rFonts w:eastAsia="仿宋_GB2312"/>
          <w:color w:val="000000" w:themeColor="text1"/>
          <w:sz w:val="32"/>
          <w:szCs w:val="32"/>
        </w:rPr>
        <w:t>用于医疗器械标签、标记和提供信息的符号</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部分：通用要求</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[12]YY/T 0586</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医用高分子制品</w:t>
      </w:r>
      <w:r>
        <w:rPr>
          <w:rFonts w:eastAsia="仿宋_GB2312"/>
          <w:color w:val="000000" w:themeColor="text1"/>
          <w:sz w:val="32"/>
          <w:szCs w:val="32"/>
        </w:rPr>
        <w:t xml:space="preserve"> X</w:t>
      </w:r>
      <w:r>
        <w:rPr>
          <w:rFonts w:eastAsia="仿宋_GB2312"/>
          <w:color w:val="000000" w:themeColor="text1"/>
          <w:sz w:val="32"/>
          <w:szCs w:val="32"/>
        </w:rPr>
        <w:t>射线不透性试验方法</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[13]YY/T 0615.1</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标示</w:t>
      </w:r>
      <w:r>
        <w:rPr>
          <w:rFonts w:eastAsia="仿宋_GB2312"/>
          <w:color w:val="000000" w:themeColor="text1"/>
          <w:sz w:val="32"/>
          <w:szCs w:val="32"/>
        </w:rPr>
        <w:t>“</w:t>
      </w:r>
      <w:r>
        <w:rPr>
          <w:rFonts w:eastAsia="仿宋_GB2312"/>
          <w:color w:val="000000" w:themeColor="text1"/>
          <w:sz w:val="32"/>
          <w:szCs w:val="32"/>
        </w:rPr>
        <w:t>无菌</w:t>
      </w:r>
      <w:r>
        <w:rPr>
          <w:rFonts w:eastAsia="仿宋_GB2312"/>
          <w:color w:val="000000" w:themeColor="text1"/>
          <w:sz w:val="32"/>
          <w:szCs w:val="32"/>
        </w:rPr>
        <w:t>”</w:t>
      </w:r>
      <w:r>
        <w:rPr>
          <w:rFonts w:eastAsia="仿宋_GB2312"/>
          <w:color w:val="000000" w:themeColor="text1"/>
          <w:sz w:val="32"/>
          <w:szCs w:val="32"/>
        </w:rPr>
        <w:t>医疗器械的要求</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部分：最终灭菌医疗器械的要求</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[14]YY/T 0681.1</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无菌医疗器械包装试验方法</w:t>
      </w:r>
      <w:r>
        <w:rPr>
          <w:rFonts w:eastAsia="仿宋_GB2312"/>
          <w:color w:val="000000" w:themeColor="text1"/>
          <w:sz w:val="32"/>
          <w:szCs w:val="32"/>
        </w:rPr>
        <w:t xml:space="preserve"> </w:t>
      </w:r>
      <w:r>
        <w:rPr>
          <w:rFonts w:eastAsia="仿宋_GB2312"/>
          <w:color w:val="000000" w:themeColor="text1"/>
          <w:sz w:val="32"/>
          <w:szCs w:val="32"/>
        </w:rPr>
        <w:t>第</w:t>
      </w:r>
      <w:r>
        <w:rPr>
          <w:rFonts w:eastAsia="仿宋_GB2312"/>
          <w:color w:val="000000" w:themeColor="text1"/>
          <w:sz w:val="32"/>
          <w:szCs w:val="32"/>
        </w:rPr>
        <w:t>1</w:t>
      </w:r>
      <w:r>
        <w:rPr>
          <w:rFonts w:eastAsia="仿宋_GB2312"/>
          <w:color w:val="000000" w:themeColor="text1"/>
          <w:sz w:val="32"/>
          <w:szCs w:val="32"/>
        </w:rPr>
        <w:t>部分：加速老化试验指南</w:t>
      </w:r>
      <w:r>
        <w:rPr>
          <w:rFonts w:eastAsia="仿宋_GB2312" w:hint="eastAsia"/>
          <w:color w:val="000000" w:themeColor="text1"/>
          <w:sz w:val="32"/>
          <w:szCs w:val="32"/>
        </w:rPr>
        <w:t>[S].</w:t>
      </w:r>
    </w:p>
    <w:p w:rsidR="009675C0" w:rsidRDefault="00081A49">
      <w:pPr>
        <w:overflowPunct w:val="0"/>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lastRenderedPageBreak/>
        <w:t>[15]YY/T 1536</w:t>
      </w:r>
      <w:r>
        <w:rPr>
          <w:rFonts w:eastAsia="仿宋_GB2312" w:hint="eastAsia"/>
          <w:bCs/>
          <w:snapToGrid w:val="0"/>
          <w:color w:val="000000" w:themeColor="text1"/>
          <w:spacing w:val="-1"/>
          <w:kern w:val="0"/>
          <w:sz w:val="32"/>
          <w:szCs w:val="32"/>
        </w:rPr>
        <w:t>,</w:t>
      </w:r>
      <w:r>
        <w:rPr>
          <w:rFonts w:eastAsia="仿宋_GB2312"/>
          <w:color w:val="000000" w:themeColor="text1"/>
          <w:sz w:val="32"/>
          <w:szCs w:val="32"/>
        </w:rPr>
        <w:t>非血管内导管表面滑动性能评价用标准试验模型</w:t>
      </w:r>
      <w:r>
        <w:rPr>
          <w:rFonts w:eastAsia="仿宋_GB2312" w:hint="eastAsia"/>
          <w:color w:val="000000" w:themeColor="text1"/>
          <w:sz w:val="32"/>
          <w:szCs w:val="32"/>
        </w:rPr>
        <w:t>[S].</w:t>
      </w:r>
    </w:p>
    <w:p w:rsidR="009675C0" w:rsidRDefault="00081A49">
      <w:pPr>
        <w:spacing w:line="520" w:lineRule="exact"/>
        <w:ind w:firstLineChars="200" w:firstLine="636"/>
        <w:rPr>
          <w:rFonts w:eastAsia="仿宋_GB2312"/>
          <w:color w:val="000000" w:themeColor="text1"/>
          <w:sz w:val="32"/>
          <w:szCs w:val="32"/>
        </w:rPr>
      </w:pPr>
      <w:r>
        <w:rPr>
          <w:rFonts w:eastAsia="仿宋_GB2312" w:hint="eastAsia"/>
          <w:bCs/>
          <w:snapToGrid w:val="0"/>
          <w:color w:val="000000" w:themeColor="text1"/>
          <w:spacing w:val="-1"/>
          <w:kern w:val="0"/>
          <w:sz w:val="32"/>
          <w:szCs w:val="32"/>
        </w:rPr>
        <w:t>[16]YY/T 1898</w:t>
      </w:r>
      <w:r>
        <w:rPr>
          <w:rFonts w:eastAsia="仿宋_GB2312" w:hint="eastAsia"/>
          <w:bCs/>
          <w:snapToGrid w:val="0"/>
          <w:color w:val="000000" w:themeColor="text1"/>
          <w:spacing w:val="-1"/>
          <w:kern w:val="0"/>
          <w:sz w:val="32"/>
          <w:szCs w:val="32"/>
        </w:rPr>
        <w:t>,</w:t>
      </w:r>
      <w:r>
        <w:rPr>
          <w:rFonts w:eastAsia="仿宋_GB2312" w:hint="eastAsia"/>
          <w:bCs/>
          <w:snapToGrid w:val="0"/>
          <w:color w:val="000000" w:themeColor="text1"/>
          <w:spacing w:val="-1"/>
          <w:kern w:val="0"/>
          <w:sz w:val="32"/>
          <w:szCs w:val="32"/>
        </w:rPr>
        <w:t>血管内导管导丝</w:t>
      </w:r>
      <w:r>
        <w:rPr>
          <w:rFonts w:eastAsia="仿宋_GB2312" w:hint="eastAsia"/>
          <w:bCs/>
          <w:snapToGrid w:val="0"/>
          <w:color w:val="000000" w:themeColor="text1"/>
          <w:spacing w:val="-1"/>
          <w:kern w:val="0"/>
          <w:sz w:val="32"/>
          <w:szCs w:val="32"/>
        </w:rPr>
        <w:t xml:space="preserve"> </w:t>
      </w:r>
      <w:r>
        <w:rPr>
          <w:rFonts w:eastAsia="仿宋_GB2312" w:hint="eastAsia"/>
          <w:bCs/>
          <w:snapToGrid w:val="0"/>
          <w:color w:val="000000" w:themeColor="text1"/>
          <w:spacing w:val="-1"/>
          <w:kern w:val="0"/>
          <w:sz w:val="32"/>
          <w:szCs w:val="32"/>
        </w:rPr>
        <w:t>亲水性涂层牢固度试验方法</w:t>
      </w:r>
      <w:r>
        <w:rPr>
          <w:rFonts w:eastAsia="仿宋_GB2312" w:hint="eastAsia"/>
          <w:color w:val="000000" w:themeColor="text1"/>
          <w:sz w:val="32"/>
          <w:szCs w:val="32"/>
        </w:rPr>
        <w:t>[S].</w:t>
      </w:r>
    </w:p>
    <w:p w:rsidR="009675C0" w:rsidRDefault="00081A49">
      <w:pPr>
        <w:spacing w:line="520" w:lineRule="exact"/>
        <w:ind w:firstLineChars="200" w:firstLine="636"/>
        <w:rPr>
          <w:rFonts w:eastAsia="仿宋_GB2312"/>
          <w:bCs/>
          <w:snapToGrid w:val="0"/>
          <w:color w:val="000000" w:themeColor="text1"/>
          <w:spacing w:val="-1"/>
          <w:kern w:val="0"/>
          <w:sz w:val="32"/>
          <w:szCs w:val="32"/>
        </w:rPr>
      </w:pPr>
      <w:r>
        <w:rPr>
          <w:rFonts w:eastAsia="仿宋_GB2312" w:hint="eastAsia"/>
          <w:bCs/>
          <w:snapToGrid w:val="0"/>
          <w:color w:val="000000" w:themeColor="text1"/>
          <w:spacing w:val="-1"/>
          <w:kern w:val="0"/>
          <w:sz w:val="32"/>
          <w:szCs w:val="32"/>
        </w:rPr>
        <w:t>[17]YY/T 0114</w:t>
      </w:r>
      <w:r>
        <w:rPr>
          <w:rFonts w:eastAsia="仿宋_GB2312" w:hint="eastAsia"/>
          <w:bCs/>
          <w:snapToGrid w:val="0"/>
          <w:color w:val="000000" w:themeColor="text1"/>
          <w:spacing w:val="-1"/>
          <w:kern w:val="0"/>
          <w:sz w:val="32"/>
          <w:szCs w:val="32"/>
        </w:rPr>
        <w:t>,</w:t>
      </w:r>
      <w:r>
        <w:rPr>
          <w:rFonts w:eastAsia="仿宋_GB2312" w:hint="eastAsia"/>
          <w:bCs/>
          <w:snapToGrid w:val="0"/>
          <w:color w:val="000000" w:themeColor="text1"/>
          <w:spacing w:val="-1"/>
          <w:kern w:val="0"/>
          <w:sz w:val="32"/>
          <w:szCs w:val="32"/>
        </w:rPr>
        <w:t>医用输液、输血、注射器具用聚乙烯专用料</w:t>
      </w:r>
    </w:p>
    <w:p w:rsidR="009675C0" w:rsidRDefault="00081A49">
      <w:pPr>
        <w:spacing w:line="520" w:lineRule="exact"/>
        <w:rPr>
          <w:rFonts w:eastAsia="仿宋_GB2312"/>
          <w:strike/>
          <w:color w:val="000000" w:themeColor="text1"/>
          <w:sz w:val="32"/>
          <w:szCs w:val="32"/>
        </w:rPr>
      </w:pPr>
      <w:r>
        <w:rPr>
          <w:rFonts w:eastAsia="仿宋_GB2312" w:hint="eastAsia"/>
          <w:color w:val="000000" w:themeColor="text1"/>
          <w:sz w:val="32"/>
          <w:szCs w:val="32"/>
        </w:rPr>
        <w:t>[S].</w:t>
      </w:r>
    </w:p>
    <w:p w:rsidR="009675C0" w:rsidRDefault="00081A49">
      <w:pPr>
        <w:widowControl/>
        <w:spacing w:line="520" w:lineRule="exact"/>
        <w:jc w:val="left"/>
        <w:rPr>
          <w:rFonts w:eastAsia="黑体"/>
          <w:color w:val="000000" w:themeColor="text1"/>
          <w:sz w:val="28"/>
          <w:szCs w:val="28"/>
        </w:rPr>
      </w:pPr>
      <w:r>
        <w:rPr>
          <w:rFonts w:eastAsia="黑体"/>
          <w:color w:val="000000" w:themeColor="text1"/>
          <w:sz w:val="28"/>
          <w:szCs w:val="28"/>
        </w:rPr>
        <w:br w:type="page"/>
      </w:r>
    </w:p>
    <w:p w:rsidR="009675C0" w:rsidRDefault="00081A49">
      <w:pPr>
        <w:overflowPunct w:val="0"/>
        <w:spacing w:line="520" w:lineRule="exact"/>
        <w:ind w:left="426" w:hangingChars="133" w:hanging="426"/>
        <w:jc w:val="left"/>
        <w:outlineLvl w:val="0"/>
        <w:rPr>
          <w:rFonts w:eastAsia="黑体" w:cs="黑体"/>
          <w:snapToGrid w:val="0"/>
          <w:kern w:val="0"/>
          <w:sz w:val="32"/>
          <w:szCs w:val="32"/>
        </w:rPr>
      </w:pPr>
      <w:r>
        <w:rPr>
          <w:rFonts w:eastAsia="黑体" w:cs="黑体" w:hint="eastAsia"/>
          <w:snapToGrid w:val="0"/>
          <w:kern w:val="0"/>
          <w:sz w:val="32"/>
          <w:szCs w:val="32"/>
        </w:rPr>
        <w:lastRenderedPageBreak/>
        <w:t>附件</w:t>
      </w:r>
    </w:p>
    <w:p w:rsidR="009675C0" w:rsidRDefault="00081A49">
      <w:pPr>
        <w:spacing w:line="520" w:lineRule="exact"/>
        <w:jc w:val="center"/>
        <w:rPr>
          <w:rFonts w:eastAsia="方正小标宋简体"/>
          <w:b/>
          <w:snapToGrid w:val="0"/>
          <w:sz w:val="44"/>
          <w:szCs w:val="44"/>
          <w:lang w:val="zh-CN"/>
        </w:rPr>
      </w:pPr>
      <w:r>
        <w:rPr>
          <w:rFonts w:eastAsia="方正小标宋简体" w:hint="eastAsia"/>
          <w:bCs/>
          <w:snapToGrid w:val="0"/>
          <w:sz w:val="44"/>
          <w:szCs w:val="44"/>
          <w:lang w:val="zh-CN"/>
        </w:rPr>
        <w:t>风险管理文档</w:t>
      </w:r>
    </w:p>
    <w:p w:rsidR="009675C0" w:rsidRDefault="00081A49">
      <w:pPr>
        <w:spacing w:line="520" w:lineRule="exact"/>
        <w:ind w:firstLineChars="200" w:firstLine="640"/>
        <w:rPr>
          <w:rFonts w:eastAsia="仿宋_GB2312"/>
          <w:sz w:val="32"/>
          <w:szCs w:val="32"/>
        </w:rPr>
      </w:pPr>
      <w:r>
        <w:rPr>
          <w:rFonts w:eastAsia="仿宋_GB2312" w:hint="eastAsia"/>
          <w:sz w:val="32"/>
          <w:szCs w:val="32"/>
        </w:rPr>
        <w:t>下表所列为常见可预见事件序列／可能的伤害示例，需关注：</w:t>
      </w:r>
    </w:p>
    <w:p w:rsidR="009675C0" w:rsidRDefault="00081A49">
      <w:pPr>
        <w:spacing w:beforeLines="50" w:before="156" w:afterLines="50" w:after="156" w:line="52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表</w:t>
      </w:r>
      <w:r>
        <w:rPr>
          <w:rFonts w:ascii="黑体" w:eastAsia="黑体" w:hAnsi="黑体" w:cs="黑体" w:hint="eastAsia"/>
          <w:color w:val="000000" w:themeColor="text1"/>
          <w:sz w:val="28"/>
          <w:szCs w:val="28"/>
        </w:rPr>
        <w:t xml:space="preserve">1  </w:t>
      </w:r>
      <w:r>
        <w:rPr>
          <w:rFonts w:ascii="黑体" w:eastAsia="黑体" w:hAnsi="黑体" w:cs="黑体" w:hint="eastAsia"/>
          <w:color w:val="000000" w:themeColor="text1"/>
          <w:sz w:val="28"/>
          <w:szCs w:val="28"/>
        </w:rPr>
        <w:t>产品主要危险（源）</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689"/>
        <w:gridCol w:w="3266"/>
        <w:gridCol w:w="2650"/>
      </w:tblGrid>
      <w:tr w:rsidR="009675C0">
        <w:trPr>
          <w:cantSplit/>
          <w:trHeight w:val="356"/>
          <w:tblHeader/>
          <w:jc w:val="center"/>
        </w:trPr>
        <w:tc>
          <w:tcPr>
            <w:tcW w:w="3999" w:type="dxa"/>
            <w:gridSpan w:val="2"/>
            <w:vAlign w:val="center"/>
          </w:tcPr>
          <w:p w:rsidR="009675C0" w:rsidRDefault="00081A49">
            <w:pPr>
              <w:tabs>
                <w:tab w:val="center" w:pos="1407"/>
                <w:tab w:val="right" w:pos="2814"/>
              </w:tabs>
              <w:spacing w:line="52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危险（源）</w:t>
            </w:r>
          </w:p>
        </w:tc>
        <w:tc>
          <w:tcPr>
            <w:tcW w:w="3266" w:type="dxa"/>
            <w:vAlign w:val="center"/>
          </w:tcPr>
          <w:p w:rsidR="009675C0" w:rsidRDefault="00081A49">
            <w:pPr>
              <w:spacing w:line="52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危险（源）的形成因素</w:t>
            </w:r>
          </w:p>
        </w:tc>
        <w:tc>
          <w:tcPr>
            <w:tcW w:w="2650" w:type="dxa"/>
            <w:vAlign w:val="center"/>
          </w:tcPr>
          <w:p w:rsidR="009675C0" w:rsidRDefault="00081A49">
            <w:pPr>
              <w:spacing w:line="52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可能的后果</w:t>
            </w:r>
          </w:p>
        </w:tc>
      </w:tr>
      <w:tr w:rsidR="009675C0">
        <w:trPr>
          <w:cantSplit/>
          <w:trHeight w:val="2515"/>
          <w:jc w:val="center"/>
        </w:trPr>
        <w:tc>
          <w:tcPr>
            <w:tcW w:w="1310" w:type="dxa"/>
            <w:vMerge w:val="restart"/>
            <w:vAlign w:val="center"/>
          </w:tcPr>
          <w:p w:rsidR="009675C0" w:rsidRDefault="00081A49">
            <w:pPr>
              <w:spacing w:line="520" w:lineRule="exact"/>
              <w:jc w:val="left"/>
              <w:rPr>
                <w:rFonts w:eastAsia="仿宋_GB2312"/>
                <w:color w:val="000000" w:themeColor="text1"/>
                <w:sz w:val="28"/>
                <w:szCs w:val="28"/>
              </w:rPr>
            </w:pPr>
            <w:r>
              <w:rPr>
                <w:rFonts w:eastAsia="仿宋_GB2312"/>
                <w:color w:val="000000" w:themeColor="text1"/>
                <w:sz w:val="28"/>
                <w:szCs w:val="28"/>
              </w:rPr>
              <w:t>生物学危险（源）</w:t>
            </w: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生物污染</w:t>
            </w:r>
            <w:r>
              <w:rPr>
                <w:rFonts w:eastAsia="仿宋_GB2312"/>
                <w:color w:val="000000" w:themeColor="text1"/>
                <w:sz w:val="28"/>
                <w:szCs w:val="28"/>
              </w:rPr>
              <w:t xml:space="preserve"> </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生产环境控制不好；</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产品原材料受到污染；</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灭菌操作不严格；</w:t>
            </w:r>
            <w:r>
              <w:rPr>
                <w:rFonts w:eastAsia="仿宋_GB2312"/>
                <w:color w:val="000000" w:themeColor="text1"/>
                <w:sz w:val="28"/>
                <w:szCs w:val="28"/>
              </w:rPr>
              <w:t xml:space="preserve"> </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包装破损；</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使用时操作不规范</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产品带菌、引起患者感染</w:t>
            </w:r>
            <w:r>
              <w:rPr>
                <w:rFonts w:eastAsia="仿宋_GB2312"/>
                <w:color w:val="000000" w:themeColor="text1"/>
                <w:sz w:val="28"/>
                <w:szCs w:val="28"/>
              </w:rPr>
              <w:t xml:space="preserve"> </w:t>
            </w:r>
          </w:p>
        </w:tc>
      </w:tr>
      <w:tr w:rsidR="009675C0">
        <w:trPr>
          <w:cantSplit/>
          <w:trHeight w:val="1190"/>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生物不相容性</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hint="eastAsia"/>
                <w:color w:val="000000" w:themeColor="text1"/>
                <w:sz w:val="28"/>
                <w:szCs w:val="28"/>
              </w:rPr>
              <w:t>与人体接触的材料，不具有良好的生物相容性</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使用者出现过敏、刺激反应</w:t>
            </w:r>
          </w:p>
        </w:tc>
      </w:tr>
      <w:tr w:rsidR="009675C0">
        <w:trPr>
          <w:cantSplit/>
          <w:trHeight w:val="945"/>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再感染和</w:t>
            </w:r>
            <w:r>
              <w:rPr>
                <w:rFonts w:eastAsia="仿宋_GB2312"/>
                <w:color w:val="000000" w:themeColor="text1"/>
                <w:sz w:val="28"/>
                <w:szCs w:val="28"/>
                <w:lang w:val="en"/>
              </w:rPr>
              <w:t>（</w:t>
            </w:r>
            <w:r>
              <w:rPr>
                <w:rFonts w:eastAsia="仿宋_GB2312"/>
                <w:color w:val="000000" w:themeColor="text1"/>
                <w:sz w:val="28"/>
                <w:szCs w:val="28"/>
              </w:rPr>
              <w:t>或</w:t>
            </w:r>
            <w:r>
              <w:rPr>
                <w:rFonts w:eastAsia="仿宋_GB2312"/>
                <w:color w:val="000000" w:themeColor="text1"/>
                <w:sz w:val="28"/>
                <w:szCs w:val="28"/>
                <w:lang w:val="en"/>
              </w:rPr>
              <w:t>）</w:t>
            </w:r>
            <w:r>
              <w:rPr>
                <w:rFonts w:eastAsia="仿宋_GB2312"/>
                <w:color w:val="000000" w:themeColor="text1"/>
                <w:sz w:val="28"/>
                <w:szCs w:val="28"/>
              </w:rPr>
              <w:t>交叉感染</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使用不当、标识不清</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引起感染、交叉感染</w:t>
            </w:r>
          </w:p>
        </w:tc>
      </w:tr>
      <w:tr w:rsidR="009675C0">
        <w:trPr>
          <w:cantSplit/>
          <w:trHeight w:val="960"/>
          <w:jc w:val="center"/>
        </w:trPr>
        <w:tc>
          <w:tcPr>
            <w:tcW w:w="1310" w:type="dxa"/>
            <w:vAlign w:val="center"/>
          </w:tcPr>
          <w:p w:rsidR="009675C0" w:rsidRDefault="00081A49">
            <w:pPr>
              <w:spacing w:line="520" w:lineRule="exact"/>
              <w:jc w:val="left"/>
              <w:rPr>
                <w:rFonts w:eastAsia="仿宋_GB2312"/>
                <w:color w:val="000000" w:themeColor="text1"/>
                <w:sz w:val="28"/>
                <w:szCs w:val="28"/>
              </w:rPr>
            </w:pPr>
            <w:r>
              <w:rPr>
                <w:rFonts w:eastAsia="仿宋_GB2312" w:hint="eastAsia"/>
                <w:color w:val="000000" w:themeColor="text1"/>
                <w:sz w:val="28"/>
                <w:szCs w:val="28"/>
              </w:rPr>
              <w:t>机械力</w:t>
            </w: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hint="eastAsia"/>
                <w:color w:val="000000" w:themeColor="text1"/>
                <w:sz w:val="28"/>
                <w:szCs w:val="28"/>
              </w:rPr>
              <w:t>锐边、毛刺</w:t>
            </w:r>
          </w:p>
        </w:tc>
        <w:tc>
          <w:tcPr>
            <w:tcW w:w="3266" w:type="dxa"/>
            <w:vAlign w:val="center"/>
          </w:tcPr>
          <w:p w:rsidR="009675C0" w:rsidRDefault="00081A49">
            <w:pPr>
              <w:spacing w:line="520" w:lineRule="exact"/>
              <w:jc w:val="left"/>
              <w:rPr>
                <w:rFonts w:eastAsia="仿宋_GB2312"/>
                <w:color w:val="000000" w:themeColor="text1"/>
                <w:sz w:val="28"/>
                <w:szCs w:val="28"/>
              </w:rPr>
            </w:pPr>
            <w:r>
              <w:rPr>
                <w:rFonts w:eastAsia="仿宋_GB2312" w:hint="eastAsia"/>
                <w:color w:val="000000" w:themeColor="text1"/>
                <w:sz w:val="28"/>
                <w:szCs w:val="28"/>
              </w:rPr>
              <w:t>与人体接触的部分存在锐边、毛刺等</w:t>
            </w:r>
          </w:p>
        </w:tc>
        <w:tc>
          <w:tcPr>
            <w:tcW w:w="2650" w:type="dxa"/>
            <w:vAlign w:val="center"/>
          </w:tcPr>
          <w:p w:rsidR="009675C0" w:rsidRDefault="00081A49">
            <w:pPr>
              <w:spacing w:line="520" w:lineRule="exact"/>
              <w:jc w:val="left"/>
              <w:rPr>
                <w:rFonts w:eastAsia="仿宋_GB2312"/>
                <w:color w:val="000000" w:themeColor="text1"/>
                <w:sz w:val="28"/>
                <w:szCs w:val="28"/>
              </w:rPr>
            </w:pPr>
            <w:r>
              <w:rPr>
                <w:rFonts w:eastAsia="仿宋_GB2312" w:hint="eastAsia"/>
                <w:color w:val="000000" w:themeColor="text1"/>
                <w:sz w:val="28"/>
                <w:szCs w:val="28"/>
              </w:rPr>
              <w:t>对患者造成意外伤害</w:t>
            </w:r>
          </w:p>
        </w:tc>
      </w:tr>
      <w:tr w:rsidR="009675C0">
        <w:trPr>
          <w:cantSplit/>
          <w:trHeight w:val="1415"/>
          <w:jc w:val="center"/>
        </w:trPr>
        <w:tc>
          <w:tcPr>
            <w:tcW w:w="1310" w:type="dxa"/>
            <w:vMerge w:val="restart"/>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环境危险（源）</w:t>
            </w: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储存或运行偏离预设的环境条件</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储运条件（如温度、湿度、臭氧</w:t>
            </w:r>
            <w:r>
              <w:rPr>
                <w:rFonts w:eastAsia="仿宋_GB2312"/>
                <w:color w:val="000000" w:themeColor="text1"/>
                <w:sz w:val="28"/>
                <w:szCs w:val="28"/>
              </w:rPr>
              <w:t>/</w:t>
            </w:r>
            <w:r>
              <w:rPr>
                <w:rFonts w:eastAsia="仿宋_GB2312"/>
                <w:color w:val="000000" w:themeColor="text1"/>
                <w:sz w:val="28"/>
                <w:szCs w:val="28"/>
              </w:rPr>
              <w:t>紫外线、有机溶剂）不符合要求</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产品老化、无菌有效期缩短</w:t>
            </w:r>
          </w:p>
        </w:tc>
      </w:tr>
      <w:tr w:rsidR="009675C0">
        <w:trPr>
          <w:cantSplit/>
          <w:trHeight w:val="930"/>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意外的机械破坏</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储运、使用过程中发生意外的机械性破坏</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产品使用性能无法得到保证</w:t>
            </w:r>
          </w:p>
        </w:tc>
      </w:tr>
      <w:tr w:rsidR="009675C0">
        <w:trPr>
          <w:cantSplit/>
          <w:trHeight w:val="1138"/>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由于废物和（或）医疗器械处置的污染</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使用后的产品没有按照要求集中销毁</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造成环境污染或者细菌的交叉感染</w:t>
            </w:r>
          </w:p>
        </w:tc>
      </w:tr>
      <w:tr w:rsidR="009675C0">
        <w:trPr>
          <w:cantSplit/>
          <w:trHeight w:val="1310"/>
          <w:jc w:val="center"/>
        </w:trPr>
        <w:tc>
          <w:tcPr>
            <w:tcW w:w="1310" w:type="dxa"/>
            <w:vMerge w:val="restart"/>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lastRenderedPageBreak/>
              <w:t>与医疗器械使用有关的危险（源）</w:t>
            </w:r>
          </w:p>
        </w:tc>
        <w:tc>
          <w:tcPr>
            <w:tcW w:w="2689" w:type="dxa"/>
            <w:vAlign w:val="center"/>
          </w:tcPr>
          <w:p w:rsidR="009675C0" w:rsidRDefault="009675C0">
            <w:pPr>
              <w:spacing w:line="520" w:lineRule="exact"/>
              <w:rPr>
                <w:rFonts w:eastAsia="仿宋_GB2312"/>
                <w:color w:val="000000" w:themeColor="text1"/>
                <w:sz w:val="28"/>
                <w:szCs w:val="28"/>
              </w:rPr>
            </w:pP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不适当的标记</w:t>
            </w:r>
          </w:p>
          <w:p w:rsidR="009675C0" w:rsidRDefault="009675C0">
            <w:pPr>
              <w:spacing w:line="520" w:lineRule="exact"/>
              <w:rPr>
                <w:rFonts w:eastAsia="仿宋_GB2312"/>
                <w:color w:val="000000" w:themeColor="text1"/>
                <w:sz w:val="28"/>
                <w:szCs w:val="28"/>
              </w:rPr>
            </w:pP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标记不清晰、错误、</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没有按照要求进行标记</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错误使用</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储存错误</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产品辨别错误</w:t>
            </w:r>
          </w:p>
        </w:tc>
      </w:tr>
      <w:tr w:rsidR="009675C0">
        <w:trPr>
          <w:cantSplit/>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操作不熟练</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由不熟练</w:t>
            </w:r>
            <w:r>
              <w:rPr>
                <w:rFonts w:eastAsia="仿宋_GB2312"/>
                <w:color w:val="000000" w:themeColor="text1"/>
                <w:sz w:val="28"/>
                <w:szCs w:val="28"/>
              </w:rPr>
              <w:t>/</w:t>
            </w:r>
            <w:r>
              <w:rPr>
                <w:rFonts w:eastAsia="仿宋_GB2312"/>
                <w:color w:val="000000" w:themeColor="text1"/>
                <w:sz w:val="28"/>
                <w:szCs w:val="28"/>
              </w:rPr>
              <w:t>未经培训的人员使用；操作不熟练、操作失误</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造成</w:t>
            </w:r>
            <w:r>
              <w:rPr>
                <w:rFonts w:eastAsia="仿宋_GB2312" w:hint="eastAsia"/>
                <w:color w:val="000000" w:themeColor="text1"/>
                <w:sz w:val="28"/>
                <w:szCs w:val="28"/>
              </w:rPr>
              <w:t>尿</w:t>
            </w:r>
            <w:r>
              <w:rPr>
                <w:rFonts w:eastAsia="仿宋_GB2312"/>
                <w:color w:val="000000" w:themeColor="text1"/>
                <w:sz w:val="28"/>
                <w:szCs w:val="28"/>
              </w:rPr>
              <w:t>道损伤</w:t>
            </w:r>
            <w:r>
              <w:rPr>
                <w:rFonts w:eastAsia="仿宋_GB2312" w:hint="eastAsia"/>
                <w:color w:val="000000" w:themeColor="text1"/>
                <w:sz w:val="28"/>
                <w:szCs w:val="28"/>
              </w:rPr>
              <w:t>，出血、</w:t>
            </w:r>
            <w:r>
              <w:rPr>
                <w:rFonts w:eastAsia="仿宋_GB2312"/>
                <w:color w:val="000000" w:themeColor="text1"/>
                <w:sz w:val="28"/>
                <w:szCs w:val="28"/>
              </w:rPr>
              <w:t>穿孔</w:t>
            </w:r>
          </w:p>
        </w:tc>
      </w:tr>
      <w:tr w:rsidR="009675C0">
        <w:trPr>
          <w:cantSplit/>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不适当的操作说明，如：</w:t>
            </w:r>
          </w:p>
          <w:p w:rsidR="009675C0" w:rsidRDefault="00081A49">
            <w:pPr>
              <w:spacing w:line="520" w:lineRule="exact"/>
              <w:rPr>
                <w:rFonts w:eastAsia="仿宋_GB2312"/>
                <w:color w:val="000000" w:themeColor="text1"/>
                <w:spacing w:val="-10"/>
                <w:sz w:val="28"/>
                <w:szCs w:val="28"/>
              </w:rPr>
            </w:pPr>
            <w:r>
              <w:rPr>
                <w:rFonts w:eastAsia="仿宋_GB2312"/>
                <w:color w:val="000000" w:themeColor="text1"/>
                <w:sz w:val="28"/>
                <w:szCs w:val="28"/>
                <w:lang w:val="en"/>
              </w:rPr>
              <w:t>（</w:t>
            </w:r>
            <w:r>
              <w:rPr>
                <w:rFonts w:eastAsia="仿宋_GB2312"/>
                <w:color w:val="000000" w:themeColor="text1"/>
                <w:sz w:val="28"/>
                <w:szCs w:val="28"/>
              </w:rPr>
              <w:t>1</w:t>
            </w:r>
            <w:r>
              <w:rPr>
                <w:rFonts w:eastAsia="仿宋_GB2312"/>
                <w:color w:val="000000" w:themeColor="text1"/>
                <w:sz w:val="28"/>
                <w:szCs w:val="28"/>
                <w:lang w:val="en"/>
              </w:rPr>
              <w:t>）</w:t>
            </w:r>
            <w:r>
              <w:rPr>
                <w:rFonts w:eastAsia="仿宋_GB2312"/>
                <w:color w:val="000000" w:themeColor="text1"/>
                <w:spacing w:val="-10"/>
                <w:sz w:val="28"/>
                <w:szCs w:val="28"/>
              </w:rPr>
              <w:t>和医疗器械一起使用的附件规范不适当；</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lang w:val="en"/>
              </w:rPr>
              <w:t>（</w:t>
            </w:r>
            <w:r>
              <w:rPr>
                <w:rFonts w:eastAsia="仿宋_GB2312"/>
                <w:color w:val="000000" w:themeColor="text1"/>
                <w:sz w:val="28"/>
                <w:szCs w:val="28"/>
              </w:rPr>
              <w:t>2</w:t>
            </w:r>
            <w:r>
              <w:rPr>
                <w:rFonts w:eastAsia="仿宋_GB2312"/>
                <w:color w:val="000000" w:themeColor="text1"/>
                <w:sz w:val="28"/>
                <w:szCs w:val="28"/>
                <w:lang w:val="en"/>
              </w:rPr>
              <w:t>）</w:t>
            </w:r>
            <w:r>
              <w:rPr>
                <w:rFonts w:eastAsia="仿宋_GB2312"/>
                <w:color w:val="000000" w:themeColor="text1"/>
                <w:sz w:val="28"/>
                <w:szCs w:val="28"/>
              </w:rPr>
              <w:t>预先检查规范不适当</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包装破损无法识别</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操作要点不突出</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无法保证使用安全性</w:t>
            </w:r>
          </w:p>
        </w:tc>
      </w:tr>
      <w:tr w:rsidR="009675C0">
        <w:trPr>
          <w:cantSplit/>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对副作用的警告不充分</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对操作人员警示不足</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重复使用</w:t>
            </w:r>
            <w:r>
              <w:rPr>
                <w:rFonts w:eastAsia="仿宋_GB2312" w:hint="eastAsia"/>
                <w:color w:val="000000" w:themeColor="text1"/>
                <w:sz w:val="28"/>
                <w:szCs w:val="28"/>
              </w:rPr>
              <w:t>；</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二次灭菌</w:t>
            </w:r>
            <w:r>
              <w:rPr>
                <w:rFonts w:eastAsia="仿宋_GB2312" w:hint="eastAsia"/>
                <w:color w:val="000000" w:themeColor="text1"/>
                <w:sz w:val="28"/>
                <w:szCs w:val="28"/>
              </w:rPr>
              <w:t>；</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使用者出现过敏、刺激反应</w:t>
            </w:r>
          </w:p>
        </w:tc>
      </w:tr>
      <w:tr w:rsidR="009675C0">
        <w:trPr>
          <w:cantSplit/>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pacing w:val="-14"/>
                <w:sz w:val="28"/>
                <w:szCs w:val="28"/>
              </w:rPr>
            </w:pPr>
            <w:r>
              <w:rPr>
                <w:rFonts w:eastAsia="仿宋_GB2312"/>
                <w:color w:val="000000" w:themeColor="text1"/>
                <w:spacing w:val="-14"/>
                <w:sz w:val="28"/>
                <w:szCs w:val="28"/>
              </w:rPr>
              <w:t>对一次性使用医疗器械很可能再次使用的危害警告不适当</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造成重复使用</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交叉感染</w:t>
            </w:r>
          </w:p>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破损、断裂</w:t>
            </w:r>
          </w:p>
        </w:tc>
      </w:tr>
      <w:tr w:rsidR="009675C0">
        <w:trPr>
          <w:cantSplit/>
          <w:jc w:val="center"/>
        </w:trPr>
        <w:tc>
          <w:tcPr>
            <w:tcW w:w="1310" w:type="dxa"/>
            <w:vMerge w:val="restart"/>
            <w:vAlign w:val="center"/>
          </w:tcPr>
          <w:p w:rsidR="009675C0" w:rsidRDefault="00081A49">
            <w:pPr>
              <w:spacing w:line="520" w:lineRule="exact"/>
              <w:jc w:val="left"/>
              <w:rPr>
                <w:rFonts w:eastAsia="仿宋_GB2312"/>
                <w:color w:val="000000" w:themeColor="text1"/>
                <w:sz w:val="28"/>
                <w:szCs w:val="28"/>
              </w:rPr>
            </w:pPr>
            <w:r>
              <w:rPr>
                <w:rFonts w:eastAsia="仿宋_GB2312"/>
                <w:color w:val="000000" w:themeColor="text1"/>
                <w:sz w:val="28"/>
                <w:szCs w:val="28"/>
              </w:rPr>
              <w:lastRenderedPageBreak/>
              <w:t>功能性失效、维修和老化引起的危险（源）</w:t>
            </w: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对医疗器械寿命终止缺少适当的决定</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没有标识产品有效期</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超出有效期的产品被使用，造成细菌感染或因材料老化导致产品性能不符合要求</w:t>
            </w:r>
          </w:p>
        </w:tc>
      </w:tr>
      <w:tr w:rsidR="009675C0">
        <w:trPr>
          <w:cantSplit/>
          <w:jc w:val="center"/>
        </w:trPr>
        <w:tc>
          <w:tcPr>
            <w:tcW w:w="1310" w:type="dxa"/>
            <w:vMerge/>
            <w:vAlign w:val="center"/>
          </w:tcPr>
          <w:p w:rsidR="009675C0" w:rsidRDefault="009675C0">
            <w:pPr>
              <w:spacing w:line="520" w:lineRule="exact"/>
              <w:jc w:val="left"/>
              <w:rPr>
                <w:rFonts w:eastAsia="仿宋_GB2312"/>
                <w:color w:val="000000" w:themeColor="text1"/>
                <w:sz w:val="28"/>
                <w:szCs w:val="28"/>
              </w:rPr>
            </w:pPr>
          </w:p>
        </w:tc>
        <w:tc>
          <w:tcPr>
            <w:tcW w:w="2689" w:type="dxa"/>
            <w:vAlign w:val="center"/>
          </w:tcPr>
          <w:p w:rsidR="009675C0" w:rsidRDefault="00081A49">
            <w:pPr>
              <w:spacing w:line="520" w:lineRule="exact"/>
              <w:jc w:val="left"/>
              <w:textAlignment w:val="baseline"/>
              <w:rPr>
                <w:rFonts w:eastAsia="仿宋_GB2312"/>
                <w:color w:val="000000" w:themeColor="text1"/>
                <w:sz w:val="28"/>
                <w:szCs w:val="28"/>
              </w:rPr>
            </w:pPr>
            <w:r>
              <w:rPr>
                <w:rFonts w:eastAsia="仿宋_GB2312"/>
                <w:color w:val="000000" w:themeColor="text1"/>
                <w:sz w:val="28"/>
                <w:szCs w:val="28"/>
              </w:rPr>
              <w:t>失去产品的完整性</w:t>
            </w:r>
          </w:p>
        </w:tc>
        <w:tc>
          <w:tcPr>
            <w:tcW w:w="3266" w:type="dxa"/>
            <w:vAlign w:val="center"/>
          </w:tcPr>
          <w:p w:rsidR="009675C0" w:rsidRDefault="00081A49">
            <w:pPr>
              <w:spacing w:line="520" w:lineRule="exact"/>
              <w:textAlignment w:val="baseline"/>
              <w:rPr>
                <w:rFonts w:eastAsia="仿宋_GB2312"/>
                <w:color w:val="000000" w:themeColor="text1"/>
                <w:sz w:val="28"/>
                <w:szCs w:val="28"/>
              </w:rPr>
            </w:pPr>
            <w:r>
              <w:rPr>
                <w:rFonts w:eastAsia="仿宋_GB2312"/>
                <w:color w:val="000000" w:themeColor="text1"/>
                <w:sz w:val="28"/>
                <w:szCs w:val="28"/>
              </w:rPr>
              <w:t>产品破损</w:t>
            </w:r>
            <w:r>
              <w:rPr>
                <w:rFonts w:eastAsia="仿宋_GB2312" w:hint="eastAsia"/>
                <w:color w:val="000000" w:themeColor="text1"/>
                <w:sz w:val="28"/>
                <w:szCs w:val="28"/>
              </w:rPr>
              <w:t>、涂层脱落</w:t>
            </w:r>
            <w:r>
              <w:rPr>
                <w:rFonts w:eastAsia="仿宋_GB2312"/>
                <w:color w:val="000000" w:themeColor="text1"/>
                <w:sz w:val="28"/>
                <w:szCs w:val="28"/>
              </w:rPr>
              <w:t>达不到产品功能</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无法保证使用有效性</w:t>
            </w:r>
          </w:p>
        </w:tc>
      </w:tr>
      <w:tr w:rsidR="009675C0">
        <w:trPr>
          <w:cantSplit/>
          <w:jc w:val="center"/>
        </w:trPr>
        <w:tc>
          <w:tcPr>
            <w:tcW w:w="1310" w:type="dxa"/>
            <w:vMerge/>
            <w:vAlign w:val="center"/>
          </w:tcPr>
          <w:p w:rsidR="009675C0" w:rsidRDefault="009675C0">
            <w:pPr>
              <w:spacing w:line="520" w:lineRule="exact"/>
              <w:rPr>
                <w:rFonts w:eastAsia="仿宋_GB2312"/>
                <w:color w:val="000000" w:themeColor="text1"/>
                <w:sz w:val="28"/>
                <w:szCs w:val="28"/>
              </w:rPr>
            </w:pPr>
          </w:p>
        </w:tc>
        <w:tc>
          <w:tcPr>
            <w:tcW w:w="2689"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不适当的包装（医疗器械的污染和</w:t>
            </w:r>
            <w:r>
              <w:rPr>
                <w:rFonts w:eastAsia="仿宋_GB2312"/>
                <w:color w:val="000000" w:themeColor="text1"/>
                <w:sz w:val="28"/>
                <w:szCs w:val="28"/>
              </w:rPr>
              <w:t>/</w:t>
            </w:r>
            <w:r>
              <w:rPr>
                <w:rFonts w:eastAsia="仿宋_GB2312"/>
                <w:color w:val="000000" w:themeColor="text1"/>
                <w:sz w:val="28"/>
                <w:szCs w:val="28"/>
              </w:rPr>
              <w:t>或变质）</w:t>
            </w:r>
          </w:p>
        </w:tc>
        <w:tc>
          <w:tcPr>
            <w:tcW w:w="3266"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没有进行包装确认</w:t>
            </w:r>
          </w:p>
        </w:tc>
        <w:tc>
          <w:tcPr>
            <w:tcW w:w="2650" w:type="dxa"/>
            <w:vAlign w:val="center"/>
          </w:tcPr>
          <w:p w:rsidR="009675C0" w:rsidRDefault="00081A49">
            <w:pPr>
              <w:spacing w:line="520" w:lineRule="exact"/>
              <w:rPr>
                <w:rFonts w:eastAsia="仿宋_GB2312"/>
                <w:color w:val="000000" w:themeColor="text1"/>
                <w:sz w:val="28"/>
                <w:szCs w:val="28"/>
              </w:rPr>
            </w:pPr>
            <w:r>
              <w:rPr>
                <w:rFonts w:eastAsia="仿宋_GB2312"/>
                <w:color w:val="000000" w:themeColor="text1"/>
                <w:sz w:val="28"/>
                <w:szCs w:val="28"/>
              </w:rPr>
              <w:t>不能确保产品无菌，从而导致出现细菌感染</w:t>
            </w:r>
          </w:p>
        </w:tc>
      </w:tr>
    </w:tbl>
    <w:p w:rsidR="009675C0" w:rsidRDefault="009675C0">
      <w:pPr>
        <w:spacing w:line="520" w:lineRule="exact"/>
        <w:rPr>
          <w:color w:val="000000" w:themeColor="text1"/>
        </w:rPr>
      </w:pPr>
    </w:p>
    <w:sectPr w:rsidR="009675C0">
      <w:footerReference w:type="default" r:id="rId10"/>
      <w:pgSz w:w="11906" w:h="16838"/>
      <w:pgMar w:top="1928"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49" w:rsidRDefault="00081A49">
      <w:r>
        <w:separator/>
      </w:r>
    </w:p>
  </w:endnote>
  <w:endnote w:type="continuationSeparator" w:id="0">
    <w:p w:rsidR="00081A49" w:rsidRDefault="0008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4844B858-3A3B-4286-8CD3-3CD54604BD40}"/>
  </w:font>
  <w:font w:name="仿宋_GB2312">
    <w:panose1 w:val="02010609030101010101"/>
    <w:charset w:val="86"/>
    <w:family w:val="modern"/>
    <w:pitch w:val="fixed"/>
    <w:sig w:usb0="00000001" w:usb1="080E0000" w:usb2="00000010" w:usb3="00000000" w:csb0="00040000" w:csb1="00000000"/>
    <w:embedRegular r:id="rId2" w:subsetted="1" w:fontKey="{69A94C0E-1363-48E8-8B0E-DC074A3EDC84}"/>
  </w:font>
  <w:font w:name="黑体">
    <w:altName w:val="SimHei"/>
    <w:panose1 w:val="02010609060101010101"/>
    <w:charset w:val="86"/>
    <w:family w:val="modern"/>
    <w:pitch w:val="fixed"/>
    <w:sig w:usb0="800002BF" w:usb1="38CF7CFA" w:usb2="00000016" w:usb3="00000000" w:csb0="00040001" w:csb1="00000000"/>
    <w:embedRegular r:id="rId3" w:subsetted="1" w:fontKey="{822DBC24-3821-4555-904F-75C28F19543C}"/>
  </w:font>
  <w:font w:name="楷体_GB2312">
    <w:altName w:val="楷体"/>
    <w:charset w:val="86"/>
    <w:family w:val="modern"/>
    <w:pitch w:val="default"/>
    <w:sig w:usb0="00000001" w:usb1="080E0000" w:usb2="00000000" w:usb3="00000000" w:csb0="00040000" w:csb1="00000000"/>
    <w:embedRegular r:id="rId4" w:subsetted="1" w:fontKey="{364D886B-A298-4AC3-8ED7-5B7AAEFC4C5C}"/>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5C0" w:rsidRDefault="00081A49">
    <w:pPr>
      <w:snapToGrid w:val="0"/>
      <w:jc w:val="left"/>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635" t="254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ffectLst/>
                    </wps:spPr>
                    <wps:txbx>
                      <w:txbxContent>
                        <w:p w:rsidR="009675C0" w:rsidRDefault="00081A49">
                          <w:pPr>
                            <w:snapToGrid w:val="0"/>
                            <w:jc w:val="left"/>
                            <w:rPr>
                              <w:sz w:val="1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F0AF3">
                            <w:rPr>
                              <w:noProof/>
                              <w:sz w:val="28"/>
                              <w:szCs w:val="28"/>
                            </w:rPr>
                            <w:t>1</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margin-left:32.85pt;margin-top:0;width:84.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" filled="f" stroked="f">
              <v:textbox style="mso-fit-shape-to-text:t" inset="0,0,0,0">
                <w:txbxContent>
                  <w:p w:rsidR="009675C0" w:rsidRDefault="00081A49">
                    <w:pPr>
                      <w:snapToGrid w:val="0"/>
                      <w:jc w:val="left"/>
                      <w:rPr>
                        <w:sz w:val="1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F0AF3">
                      <w:rPr>
                        <w:noProof/>
                        <w:sz w:val="28"/>
                        <w:szCs w:val="28"/>
                      </w:rPr>
                      <w:t>1</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49" w:rsidRDefault="00081A49">
      <w:r>
        <w:separator/>
      </w:r>
    </w:p>
  </w:footnote>
  <w:footnote w:type="continuationSeparator" w:id="0">
    <w:p w:rsidR="00081A49" w:rsidRDefault="00081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A868B"/>
    <w:multiLevelType w:val="singleLevel"/>
    <w:tmpl w:val="7AFA868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mOWUxNTM5ZDdhZjdiYzBhOGEzMzBjZGI5ZjZhZmQifQ=="/>
  </w:docVars>
  <w:rsids>
    <w:rsidRoot w:val="00505649"/>
    <w:rsid w:val="00081A49"/>
    <w:rsid w:val="000968E8"/>
    <w:rsid w:val="000A65FC"/>
    <w:rsid w:val="000B52A6"/>
    <w:rsid w:val="001709EB"/>
    <w:rsid w:val="001A6E9E"/>
    <w:rsid w:val="001F0AF3"/>
    <w:rsid w:val="00295857"/>
    <w:rsid w:val="00325786"/>
    <w:rsid w:val="00376B11"/>
    <w:rsid w:val="0046201D"/>
    <w:rsid w:val="004F3ACC"/>
    <w:rsid w:val="00505649"/>
    <w:rsid w:val="00542AE9"/>
    <w:rsid w:val="006E5B9E"/>
    <w:rsid w:val="00927C95"/>
    <w:rsid w:val="009675C0"/>
    <w:rsid w:val="00A37AE2"/>
    <w:rsid w:val="00B10CF5"/>
    <w:rsid w:val="00B431AF"/>
    <w:rsid w:val="00B43978"/>
    <w:rsid w:val="00C5771C"/>
    <w:rsid w:val="00D25FAE"/>
    <w:rsid w:val="00E31C4F"/>
    <w:rsid w:val="00F65E29"/>
    <w:rsid w:val="00F72A4B"/>
    <w:rsid w:val="00FC2E0E"/>
    <w:rsid w:val="030A2E6B"/>
    <w:rsid w:val="03FB1392"/>
    <w:rsid w:val="042878D9"/>
    <w:rsid w:val="050067F4"/>
    <w:rsid w:val="075D68D4"/>
    <w:rsid w:val="083C7544"/>
    <w:rsid w:val="09F064E7"/>
    <w:rsid w:val="0B552D1F"/>
    <w:rsid w:val="0DEA5E0A"/>
    <w:rsid w:val="0E8A10D1"/>
    <w:rsid w:val="0FBA694D"/>
    <w:rsid w:val="0FF742D5"/>
    <w:rsid w:val="10601106"/>
    <w:rsid w:val="120E61C0"/>
    <w:rsid w:val="122803E6"/>
    <w:rsid w:val="13D43D02"/>
    <w:rsid w:val="13E24945"/>
    <w:rsid w:val="1426785B"/>
    <w:rsid w:val="16336208"/>
    <w:rsid w:val="19FB6F22"/>
    <w:rsid w:val="1A1A3838"/>
    <w:rsid w:val="1A4C18AB"/>
    <w:rsid w:val="1A8B424A"/>
    <w:rsid w:val="1AE06F65"/>
    <w:rsid w:val="1D2076C7"/>
    <w:rsid w:val="1DDD6C62"/>
    <w:rsid w:val="1E836DBC"/>
    <w:rsid w:val="20BD4F1E"/>
    <w:rsid w:val="215108D1"/>
    <w:rsid w:val="22647E6E"/>
    <w:rsid w:val="238E0DF3"/>
    <w:rsid w:val="239B238D"/>
    <w:rsid w:val="246C3D73"/>
    <w:rsid w:val="26B05779"/>
    <w:rsid w:val="286E75D6"/>
    <w:rsid w:val="2B52575F"/>
    <w:rsid w:val="309C4B4F"/>
    <w:rsid w:val="336A111B"/>
    <w:rsid w:val="33BB1BA9"/>
    <w:rsid w:val="35DC6B72"/>
    <w:rsid w:val="37985945"/>
    <w:rsid w:val="3AD56CC2"/>
    <w:rsid w:val="3C9812F3"/>
    <w:rsid w:val="40356427"/>
    <w:rsid w:val="410C0BDB"/>
    <w:rsid w:val="427A6387"/>
    <w:rsid w:val="460B6AD6"/>
    <w:rsid w:val="478A5981"/>
    <w:rsid w:val="48886160"/>
    <w:rsid w:val="48F37E06"/>
    <w:rsid w:val="49521DF7"/>
    <w:rsid w:val="49774A6F"/>
    <w:rsid w:val="49994ADB"/>
    <w:rsid w:val="4A1672C9"/>
    <w:rsid w:val="4A4E0D8B"/>
    <w:rsid w:val="4B083C74"/>
    <w:rsid w:val="4B947063"/>
    <w:rsid w:val="4BDF193C"/>
    <w:rsid w:val="4CE30FB8"/>
    <w:rsid w:val="4F8A4982"/>
    <w:rsid w:val="51337FC8"/>
    <w:rsid w:val="55495578"/>
    <w:rsid w:val="55C97A0F"/>
    <w:rsid w:val="55E262B1"/>
    <w:rsid w:val="56097CE2"/>
    <w:rsid w:val="58A311BC"/>
    <w:rsid w:val="5A645B1A"/>
    <w:rsid w:val="5C8670CD"/>
    <w:rsid w:val="5CE71EEB"/>
    <w:rsid w:val="5DE057CC"/>
    <w:rsid w:val="5DF47CB1"/>
    <w:rsid w:val="5DFB3DA7"/>
    <w:rsid w:val="5E0C763E"/>
    <w:rsid w:val="5E4C67DF"/>
    <w:rsid w:val="5EB47002"/>
    <w:rsid w:val="60E90B28"/>
    <w:rsid w:val="62654416"/>
    <w:rsid w:val="62F53596"/>
    <w:rsid w:val="63F93420"/>
    <w:rsid w:val="640B180F"/>
    <w:rsid w:val="64393E88"/>
    <w:rsid w:val="65F94C42"/>
    <w:rsid w:val="67562115"/>
    <w:rsid w:val="69C74A02"/>
    <w:rsid w:val="6B167C39"/>
    <w:rsid w:val="6B31272A"/>
    <w:rsid w:val="6BC05610"/>
    <w:rsid w:val="6CC47100"/>
    <w:rsid w:val="6D074492"/>
    <w:rsid w:val="6F595014"/>
    <w:rsid w:val="6F614789"/>
    <w:rsid w:val="6F806E0F"/>
    <w:rsid w:val="6FE94DAD"/>
    <w:rsid w:val="735F6D3B"/>
    <w:rsid w:val="73E25510"/>
    <w:rsid w:val="7708139E"/>
    <w:rsid w:val="785D5348"/>
    <w:rsid w:val="79077C59"/>
    <w:rsid w:val="7D2D3A06"/>
    <w:rsid w:val="7D902913"/>
    <w:rsid w:val="7E115284"/>
    <w:rsid w:val="7F0F5AB9"/>
    <w:rsid w:val="7F53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E8DF"/>
  <w15:docId w15:val="{A9FF474B-7E89-43A7-BF37-9F88AB29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annotation text"/>
    <w:basedOn w:val="a"/>
    <w:uiPriority w:val="99"/>
    <w:semiHidden/>
    <w:unhideWhenUsed/>
    <w:qFormat/>
    <w:pPr>
      <w:jc w:val="left"/>
    </w:pPr>
  </w:style>
  <w:style w:type="paragraph" w:styleId="a5">
    <w:name w:val="Plain Text"/>
    <w:basedOn w:val="a"/>
    <w:uiPriority w:val="99"/>
    <w:unhideWhenUsed/>
    <w:qFormat/>
    <w:rPr>
      <w:rFonts w:ascii="宋体" w:hAnsi="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rPr>
      <w:sz w:val="24"/>
    </w:rPr>
  </w:style>
  <w:style w:type="character" w:styleId="ad">
    <w:name w:val="Strong"/>
    <w:basedOn w:val="a1"/>
    <w:uiPriority w:val="22"/>
    <w:qFormat/>
    <w:rPr>
      <w:b/>
    </w:rPr>
  </w:style>
  <w:style w:type="character" w:styleId="ae">
    <w:name w:val="line number"/>
    <w:basedOn w:val="a1"/>
    <w:uiPriority w:val="99"/>
    <w:semiHidden/>
    <w:unhideWhenUsed/>
    <w:qFormat/>
  </w:style>
  <w:style w:type="character" w:styleId="af">
    <w:name w:val="annotation reference"/>
    <w:qFormat/>
    <w:rPr>
      <w:sz w:val="21"/>
      <w:szCs w:val="21"/>
    </w:rPr>
  </w:style>
  <w:style w:type="paragraph" w:customStyle="1" w:styleId="af0">
    <w:name w:val="节标题"/>
    <w:basedOn w:val="a"/>
    <w:next w:val="a"/>
    <w:qFormat/>
    <w:pPr>
      <w:spacing w:beforeLines="50" w:before="50" w:afterLines="50" w:after="50"/>
      <w:jc w:val="left"/>
    </w:pPr>
    <w:rPr>
      <w:rFonts w:eastAsia="微软雅黑"/>
      <w:b/>
      <w:sz w:val="28"/>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NormalCharacter">
    <w:name w:val="NormalCharacter"/>
    <w:semiHidden/>
    <w:qFormat/>
    <w:rPr>
      <w:kern w:val="2"/>
      <w:sz w:val="21"/>
      <w:szCs w:val="24"/>
      <w:lang w:val="en-US" w:eastAsia="zh-CN" w:bidi="ar-SA"/>
    </w:rPr>
  </w:style>
  <w:style w:type="character" w:customStyle="1" w:styleId="16">
    <w:name w:val="16"/>
    <w:qFormat/>
    <w:rPr>
      <w:rFonts w:ascii="Calibri" w:hAnsi="Calibri" w:cs="Calibri" w:hint="default"/>
    </w:rPr>
  </w:style>
  <w:style w:type="character" w:customStyle="1" w:styleId="a7">
    <w:name w:val="批注框文本 字符"/>
    <w:basedOn w:val="a1"/>
    <w:link w:val="a6"/>
    <w:uiPriority w:val="99"/>
    <w:semiHidden/>
    <w:qFormat/>
    <w:rPr>
      <w:kern w:val="2"/>
      <w:sz w:val="18"/>
      <w:szCs w:val="18"/>
    </w:rPr>
  </w:style>
  <w:style w:type="character" w:customStyle="1" w:styleId="edui-clickable2">
    <w:name w:val="edui-clickable2"/>
    <w:basedOn w:val="a1"/>
    <w:qFormat/>
    <w:rPr>
      <w:color w:val="0000FF"/>
      <w:u w:val="single"/>
    </w:rPr>
  </w:style>
  <w:style w:type="character" w:customStyle="1" w:styleId="edui-unclickable">
    <w:name w:val="edui-unclickable"/>
    <w:basedOn w:val="a1"/>
    <w:qFormat/>
    <w:rPr>
      <w:color w:val="808080"/>
    </w:rPr>
  </w:style>
  <w:style w:type="character" w:customStyle="1" w:styleId="checkbox-line-text1">
    <w:name w:val="checkbox-line-text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屈贝贝</dc:creator>
  <cp:lastModifiedBy>张诺</cp:lastModifiedBy>
  <cp:revision>10</cp:revision>
  <cp:lastPrinted>2024-10-15T08:54:00Z</cp:lastPrinted>
  <dcterms:created xsi:type="dcterms:W3CDTF">2024-09-23T13:03:00Z</dcterms:created>
  <dcterms:modified xsi:type="dcterms:W3CDTF">2025-09-01T08:00:00Z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13F330CEC19F47B68475B8AEADF30D0D_13</vt:lpwstr>
  </property>
  <property fmtid="{D5CDD505-2E9C-101B-9397-08002B2CF9AE}" pid="4" name="KSOTemplateDocerSaveRecord">
    <vt:lpwstr>eyJoZGlkIjoiZDMzNTllZDU5MjEyOTNiM2I5ZjU1MWVjOTgwNDdmYzUiLCJ1c2VySWQiOiI0MDY1MjEwNzgifQ==</vt:lpwstr>
  </property>
</Properties>
</file>