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9CF" w:rsidRDefault="009B4FD9">
      <w:pPr>
        <w:spacing w:line="520" w:lineRule="exact"/>
        <w:ind w:rightChars="-32" w:right="-102"/>
        <w:jc w:val="center"/>
        <w:rPr>
          <w:rFonts w:eastAsia="方正小标宋简体"/>
          <w:color w:val="000000"/>
          <w:sz w:val="44"/>
          <w:szCs w:val="44"/>
        </w:rPr>
      </w:pPr>
      <w:r>
        <w:rPr>
          <w:rFonts w:ascii="方正小标宋简体" w:eastAsia="方正小标宋简体" w:hAnsi="方正小标宋简体" w:cs="方正小标宋简体" w:hint="eastAsia"/>
          <w:color w:val="000000"/>
          <w:sz w:val="44"/>
          <w:szCs w:val="44"/>
        </w:rPr>
        <w:t>牵引床</w:t>
      </w:r>
      <w:r>
        <w:rPr>
          <w:rFonts w:ascii="方正小标宋简体" w:eastAsia="方正小标宋简体" w:hAnsi="方正小标宋简体" w:cs="方正小标宋简体" w:hint="eastAsia"/>
          <w:color w:val="000000"/>
          <w:sz w:val="44"/>
          <w:szCs w:val="44"/>
        </w:rPr>
        <w:t>注册审查指导原则</w:t>
      </w:r>
      <w:bookmarkStart w:id="0" w:name="_GoBack"/>
      <w:bookmarkEnd w:id="0"/>
    </w:p>
    <w:p w:rsidR="009079CF" w:rsidRDefault="009079CF">
      <w:pPr>
        <w:spacing w:line="520" w:lineRule="exact"/>
        <w:ind w:rightChars="-32" w:right="-102"/>
        <w:jc w:val="center"/>
        <w:rPr>
          <w:rFonts w:eastAsia="仿宋_GB2312"/>
          <w:color w:val="000000"/>
          <w:szCs w:val="32"/>
        </w:rPr>
      </w:pPr>
    </w:p>
    <w:p w:rsidR="009079CF" w:rsidRDefault="009B4FD9">
      <w:pPr>
        <w:spacing w:line="520" w:lineRule="exact"/>
        <w:ind w:firstLineChars="200" w:firstLine="640"/>
        <w:rPr>
          <w:rFonts w:eastAsia="仿宋_GB2312"/>
          <w:color w:val="000000"/>
          <w:szCs w:val="32"/>
        </w:rPr>
      </w:pPr>
      <w:r>
        <w:rPr>
          <w:rFonts w:eastAsia="仿宋_GB2312"/>
          <w:color w:val="000000"/>
          <w:szCs w:val="32"/>
        </w:rPr>
        <w:t>本指导原则旨在指导注册申请人对牵引床注册申报资料的准备及撰写，同时也为技术审评部门审评注册申报资料提供参考。</w:t>
      </w:r>
    </w:p>
    <w:p w:rsidR="009079CF" w:rsidRDefault="009B4FD9">
      <w:pPr>
        <w:spacing w:line="520" w:lineRule="exact"/>
        <w:ind w:firstLineChars="200" w:firstLine="640"/>
        <w:rPr>
          <w:rFonts w:eastAsia="仿宋_GB2312"/>
          <w:color w:val="000000"/>
          <w:szCs w:val="32"/>
        </w:rPr>
      </w:pPr>
      <w:r>
        <w:rPr>
          <w:rFonts w:eastAsia="仿宋_GB2312"/>
          <w:color w:val="000000"/>
          <w:szCs w:val="32"/>
        </w:rPr>
        <w:t>本指导原则是对牵引床的一般要求，申请人应依据产品的具体特性确定其中的内容是否适用。若不适用，需具体阐述其理由及相应的科学依据，并依据具体的产品特性对注册申报资料的内容进行充实和细化。</w:t>
      </w:r>
    </w:p>
    <w:p w:rsidR="009079CF" w:rsidRDefault="009B4FD9">
      <w:pPr>
        <w:spacing w:line="520" w:lineRule="exact"/>
        <w:ind w:firstLineChars="200" w:firstLine="640"/>
        <w:rPr>
          <w:rFonts w:eastAsia="仿宋_GB2312"/>
          <w:color w:val="000000"/>
          <w:szCs w:val="32"/>
        </w:rPr>
      </w:pPr>
      <w:r>
        <w:rPr>
          <w:rFonts w:eastAsia="仿宋_GB2312"/>
          <w:color w:val="000000"/>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r>
        <w:rPr>
          <w:rFonts w:eastAsia="仿宋_GB2312"/>
          <w:color w:val="000000"/>
          <w:szCs w:val="32"/>
        </w:rPr>
        <w:t>。</w:t>
      </w:r>
    </w:p>
    <w:p w:rsidR="009079CF" w:rsidRDefault="009B4FD9">
      <w:pPr>
        <w:spacing w:line="520" w:lineRule="exact"/>
        <w:ind w:firstLineChars="200" w:firstLine="640"/>
        <w:rPr>
          <w:rFonts w:eastAsia="仿宋_GB2312"/>
          <w:color w:val="000000"/>
          <w:szCs w:val="32"/>
        </w:rPr>
      </w:pPr>
      <w:r>
        <w:rPr>
          <w:rFonts w:eastAsia="仿宋_GB2312"/>
          <w:color w:val="000000"/>
          <w:szCs w:val="32"/>
        </w:rPr>
        <w:t>本指导原则是在现行法规和标准体系以及当前认知水平下制定</w:t>
      </w:r>
      <w:r>
        <w:rPr>
          <w:rFonts w:eastAsia="仿宋_GB2312"/>
          <w:color w:val="000000"/>
          <w:szCs w:val="32"/>
        </w:rPr>
        <w:t>，</w:t>
      </w:r>
      <w:r>
        <w:rPr>
          <w:rFonts w:eastAsia="仿宋_GB2312"/>
          <w:color w:val="000000"/>
          <w:szCs w:val="32"/>
        </w:rPr>
        <w:t>随着法规和标准的不断完善</w:t>
      </w:r>
      <w:r>
        <w:rPr>
          <w:rFonts w:eastAsia="仿宋_GB2312"/>
          <w:color w:val="000000"/>
          <w:szCs w:val="32"/>
        </w:rPr>
        <w:t>，以及科学技术的不断发展，相关内容也将适时进行调整。</w:t>
      </w:r>
    </w:p>
    <w:p w:rsidR="009079CF" w:rsidRDefault="009B4FD9">
      <w:pPr>
        <w:spacing w:line="520" w:lineRule="exact"/>
        <w:ind w:firstLineChars="200" w:firstLine="640"/>
        <w:rPr>
          <w:rFonts w:ascii="黑体" w:eastAsia="黑体" w:hAnsi="黑体" w:cs="黑体"/>
          <w:szCs w:val="32"/>
        </w:rPr>
      </w:pPr>
      <w:r>
        <w:rPr>
          <w:rFonts w:ascii="黑体" w:eastAsia="黑体" w:hAnsi="黑体" w:cs="黑体" w:hint="eastAsia"/>
          <w:szCs w:val="32"/>
        </w:rPr>
        <w:t>一、适用范围</w:t>
      </w:r>
    </w:p>
    <w:p w:rsidR="009079CF" w:rsidRDefault="009B4FD9">
      <w:pPr>
        <w:spacing w:line="520" w:lineRule="exact"/>
        <w:ind w:firstLineChars="200" w:firstLine="640"/>
        <w:rPr>
          <w:rFonts w:eastAsia="仿宋_GB2312"/>
          <w:color w:val="000000"/>
          <w:szCs w:val="32"/>
        </w:rPr>
      </w:pPr>
      <w:r>
        <w:rPr>
          <w:rFonts w:eastAsia="仿宋_GB2312"/>
          <w:color w:val="000000"/>
          <w:szCs w:val="32"/>
        </w:rPr>
        <w:t>本指导原则适用于</w:t>
      </w:r>
      <w:r>
        <w:rPr>
          <w:rFonts w:eastAsia="仿宋_GB2312"/>
          <w:color w:val="000000"/>
          <w:szCs w:val="32"/>
        </w:rPr>
        <w:t>通过床体承载患者，对其腰椎或颈椎进行</w:t>
      </w:r>
      <w:r>
        <w:rPr>
          <w:rFonts w:eastAsia="仿宋_GB2312"/>
          <w:color w:val="000000"/>
          <w:szCs w:val="32"/>
        </w:rPr>
        <w:t>牵引治疗</w:t>
      </w:r>
      <w:r>
        <w:rPr>
          <w:rFonts w:eastAsia="仿宋_GB2312"/>
          <w:color w:val="000000"/>
          <w:szCs w:val="32"/>
        </w:rPr>
        <w:t>的产品。</w:t>
      </w:r>
      <w:r>
        <w:rPr>
          <w:rFonts w:eastAsia="仿宋_GB2312"/>
          <w:color w:val="000000"/>
          <w:szCs w:val="32"/>
        </w:rPr>
        <w:t>按现行《医疗器械分类目录》</w:t>
      </w:r>
      <w:r>
        <w:rPr>
          <w:rFonts w:eastAsia="仿宋_GB2312"/>
          <w:color w:val="000000"/>
          <w:szCs w:val="32"/>
        </w:rPr>
        <w:t>，</w:t>
      </w:r>
      <w:r>
        <w:rPr>
          <w:rFonts w:eastAsia="仿宋_GB2312"/>
          <w:color w:val="000000"/>
          <w:szCs w:val="32"/>
          <w:lang w:val="zh-CN"/>
        </w:rPr>
        <w:t>该类产品分类编码为</w:t>
      </w:r>
      <w:r>
        <w:rPr>
          <w:rFonts w:eastAsia="仿宋_GB2312"/>
          <w:color w:val="000000"/>
          <w:szCs w:val="32"/>
        </w:rPr>
        <w:t>09-04-03</w:t>
      </w:r>
      <w:r>
        <w:rPr>
          <w:rFonts w:eastAsia="仿宋_GB2312"/>
          <w:color w:val="000000"/>
          <w:szCs w:val="32"/>
        </w:rPr>
        <w:t>，</w:t>
      </w:r>
      <w:r>
        <w:rPr>
          <w:rFonts w:eastAsia="仿宋_GB2312"/>
          <w:color w:val="000000"/>
          <w:szCs w:val="32"/>
          <w:lang w:val="zh-CN"/>
        </w:rPr>
        <w:t>管理类别</w:t>
      </w:r>
      <w:r>
        <w:rPr>
          <w:rFonts w:eastAsia="仿宋_GB2312"/>
          <w:color w:val="000000"/>
          <w:szCs w:val="32"/>
        </w:rPr>
        <w:t>为</w:t>
      </w:r>
      <w:r>
        <w:rPr>
          <w:rFonts w:eastAsia="仿宋_GB2312"/>
          <w:color w:val="000000"/>
          <w:szCs w:val="32"/>
        </w:rPr>
        <w:t>II</w:t>
      </w:r>
      <w:r>
        <w:rPr>
          <w:rFonts w:eastAsia="仿宋_GB2312"/>
          <w:color w:val="000000"/>
          <w:szCs w:val="32"/>
        </w:rPr>
        <w:t>类</w:t>
      </w:r>
      <w:r>
        <w:rPr>
          <w:rFonts w:eastAsia="仿宋_GB2312"/>
          <w:color w:val="000000"/>
          <w:szCs w:val="32"/>
        </w:rPr>
        <w:t>。本指导原则不包含配合骨针牵引</w:t>
      </w:r>
      <w:r>
        <w:rPr>
          <w:rFonts w:eastAsia="仿宋_GB2312"/>
          <w:color w:val="000000"/>
          <w:szCs w:val="32"/>
        </w:rPr>
        <w:t>和</w:t>
      </w:r>
      <w:r>
        <w:rPr>
          <w:rFonts w:eastAsia="仿宋_GB2312"/>
          <w:color w:val="000000"/>
          <w:szCs w:val="32"/>
        </w:rPr>
        <w:t>具备快速牵引功能的牵引床产品。不以床体承载的电动牵引装置类产品请参考《</w:t>
      </w:r>
      <w:r>
        <w:rPr>
          <w:rFonts w:eastAsia="仿宋_GB2312"/>
          <w:color w:val="000000"/>
          <w:szCs w:val="32"/>
        </w:rPr>
        <w:t>电动牵引装置注册审查指导原则</w:t>
      </w:r>
      <w:r>
        <w:rPr>
          <w:rFonts w:eastAsia="仿宋_GB2312"/>
          <w:color w:val="000000"/>
          <w:szCs w:val="32"/>
        </w:rPr>
        <w:t>》。</w:t>
      </w:r>
    </w:p>
    <w:p w:rsidR="009079CF" w:rsidRDefault="009B4FD9">
      <w:pPr>
        <w:spacing w:line="520" w:lineRule="exact"/>
        <w:ind w:firstLineChars="200" w:firstLine="640"/>
        <w:rPr>
          <w:rFonts w:eastAsia="仿宋_GB2312"/>
          <w:color w:val="000000"/>
          <w:szCs w:val="32"/>
        </w:rPr>
      </w:pPr>
      <w:r>
        <w:rPr>
          <w:rFonts w:eastAsia="仿宋_GB2312"/>
          <w:color w:val="000000"/>
          <w:szCs w:val="32"/>
        </w:rPr>
        <w:t>若产品包含本指导原则的适用部分，适用的内容可参考本指导原则。</w:t>
      </w:r>
    </w:p>
    <w:p w:rsidR="009079CF" w:rsidRDefault="009B4FD9">
      <w:pPr>
        <w:spacing w:line="520" w:lineRule="exact"/>
        <w:ind w:firstLineChars="200" w:firstLine="640"/>
        <w:rPr>
          <w:rFonts w:ascii="黑体" w:eastAsia="黑体" w:hAnsi="黑体" w:cs="黑体"/>
          <w:szCs w:val="32"/>
        </w:rPr>
      </w:pPr>
      <w:r>
        <w:rPr>
          <w:rFonts w:ascii="黑体" w:eastAsia="黑体" w:hAnsi="黑体" w:cs="黑体"/>
          <w:szCs w:val="32"/>
        </w:rPr>
        <w:lastRenderedPageBreak/>
        <w:t>二、注册审查要点</w:t>
      </w:r>
    </w:p>
    <w:p w:rsidR="009079CF" w:rsidRDefault="009B4FD9">
      <w:pPr>
        <w:pStyle w:val="af1"/>
        <w:overflowPunct w:val="0"/>
        <w:autoSpaceDE w:val="0"/>
        <w:autoSpaceDN w:val="0"/>
        <w:spacing w:line="520" w:lineRule="exact"/>
        <w:ind w:firstLine="640"/>
        <w:outlineLvl w:val="1"/>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w:t>
      </w:r>
      <w:r>
        <w:rPr>
          <w:rFonts w:ascii="楷体_GB2312" w:eastAsia="楷体_GB2312" w:hAnsi="楷体_GB2312" w:cs="楷体_GB2312" w:hint="eastAsia"/>
          <w:color w:val="000000"/>
          <w:szCs w:val="32"/>
        </w:rPr>
        <w:t>一</w:t>
      </w:r>
      <w:r>
        <w:rPr>
          <w:rFonts w:ascii="楷体_GB2312" w:eastAsia="楷体_GB2312" w:hAnsi="楷体_GB2312" w:cs="楷体_GB2312" w:hint="eastAsia"/>
          <w:color w:val="000000"/>
          <w:szCs w:val="32"/>
        </w:rPr>
        <w:t>)</w:t>
      </w:r>
      <w:r>
        <w:rPr>
          <w:rFonts w:ascii="楷体_GB2312" w:eastAsia="楷体_GB2312" w:hAnsi="楷体_GB2312" w:cs="楷体_GB2312" w:hint="eastAsia"/>
          <w:color w:val="000000"/>
          <w:szCs w:val="32"/>
        </w:rPr>
        <w:t>监管信息</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rPr>
        <w:t>1</w:t>
      </w:r>
      <w:r>
        <w:rPr>
          <w:rFonts w:eastAsia="仿宋_GB2312"/>
          <w:snapToGrid w:val="0"/>
          <w:kern w:val="0"/>
          <w:szCs w:val="32"/>
        </w:rPr>
        <w:t>.</w:t>
      </w:r>
      <w:r>
        <w:rPr>
          <w:rFonts w:eastAsia="仿宋_GB2312"/>
          <w:snapToGrid w:val="0"/>
          <w:kern w:val="0"/>
          <w:szCs w:val="32"/>
        </w:rPr>
        <w:t>产品名称</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rPr>
        <w:t>产品名称需符合《医疗器械通用名称命名规则》、《医疗器械通用名称命名指导原则》、《物理治疗器械通用名称命名指导原则》的要求。一般以</w:t>
      </w:r>
      <w:r>
        <w:rPr>
          <w:rFonts w:eastAsia="仿宋_GB2312"/>
          <w:snapToGrid w:val="0"/>
          <w:kern w:val="0"/>
          <w:szCs w:val="32"/>
        </w:rPr>
        <w:t>“</w:t>
      </w:r>
      <w:r>
        <w:rPr>
          <w:rFonts w:eastAsia="仿宋_GB2312"/>
          <w:snapToGrid w:val="0"/>
          <w:kern w:val="0"/>
          <w:szCs w:val="32"/>
        </w:rPr>
        <w:t>牵引床</w:t>
      </w:r>
      <w:r>
        <w:rPr>
          <w:rFonts w:eastAsia="仿宋_GB2312"/>
          <w:snapToGrid w:val="0"/>
          <w:kern w:val="0"/>
          <w:szCs w:val="32"/>
        </w:rPr>
        <w:t>”</w:t>
      </w:r>
      <w:r>
        <w:rPr>
          <w:rFonts w:eastAsia="仿宋_GB2312"/>
          <w:snapToGrid w:val="0"/>
          <w:kern w:val="0"/>
          <w:szCs w:val="32"/>
        </w:rPr>
        <w:t>为核心词，可按照产品类型、预期用途等增加特征词，例如：电动牵引床、手动牵引床、颈腰椎牵引床。</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rPr>
        <w:t>2</w:t>
      </w:r>
      <w:r>
        <w:rPr>
          <w:rFonts w:eastAsia="仿宋_GB2312"/>
          <w:snapToGrid w:val="0"/>
          <w:kern w:val="0"/>
          <w:szCs w:val="32"/>
        </w:rPr>
        <w:t>.</w:t>
      </w:r>
      <w:r>
        <w:rPr>
          <w:rFonts w:eastAsia="仿宋_GB2312"/>
          <w:snapToGrid w:val="0"/>
          <w:kern w:val="0"/>
          <w:szCs w:val="32"/>
        </w:rPr>
        <w:t>分类编码</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lang w:val="zh-CN"/>
        </w:rPr>
        <w:t>依据《医疗器械分类目录》，分类编码为</w:t>
      </w:r>
      <w:r>
        <w:rPr>
          <w:rFonts w:eastAsia="仿宋_GB2312"/>
          <w:snapToGrid w:val="0"/>
          <w:kern w:val="0"/>
          <w:szCs w:val="32"/>
        </w:rPr>
        <w:t>09-04-03</w:t>
      </w:r>
      <w:r>
        <w:rPr>
          <w:rFonts w:eastAsia="仿宋_GB2312"/>
          <w:snapToGrid w:val="0"/>
          <w:kern w:val="0"/>
          <w:szCs w:val="32"/>
        </w:rPr>
        <w:t>。</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rPr>
        <w:t>3</w:t>
      </w:r>
      <w:r>
        <w:rPr>
          <w:rFonts w:eastAsia="仿宋_GB2312"/>
          <w:snapToGrid w:val="0"/>
          <w:kern w:val="0"/>
          <w:szCs w:val="32"/>
        </w:rPr>
        <w:t>.</w:t>
      </w:r>
      <w:r>
        <w:rPr>
          <w:rFonts w:eastAsia="仿宋_GB2312"/>
          <w:snapToGrid w:val="0"/>
          <w:kern w:val="0"/>
          <w:szCs w:val="32"/>
        </w:rPr>
        <w:t>注册单元划分</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注册单元划分应按照《医疗器械注册单元划分指导原则》的相关要求，原则上以产品的工作原理、结构组成、性能指标和适用范围等为划分依据。</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动力提供</w:t>
      </w:r>
      <w:r>
        <w:rPr>
          <w:rFonts w:eastAsia="仿宋_GB2312"/>
          <w:snapToGrid w:val="0"/>
          <w:kern w:val="0"/>
          <w:szCs w:val="32"/>
        </w:rPr>
        <w:t>方式</w:t>
      </w:r>
      <w:r>
        <w:rPr>
          <w:rFonts w:eastAsia="仿宋_GB2312"/>
          <w:snapToGrid w:val="0"/>
          <w:kern w:val="0"/>
          <w:szCs w:val="32"/>
          <w:lang w:val="zh-CN"/>
        </w:rPr>
        <w:t>不同应划分为不同的注册单元，如：手动牵引床和电动牵引床应划分为不同注册单元。</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产品设计结构差异较大的，应划分为不同的注册单元。如床体结构差异较大，控制系统结构差异较大，应划分为不同的注册单元。</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电路结构差异较大的应划分为不同的注册单元，如：电击防护类型为</w:t>
      </w:r>
      <w:r>
        <w:rPr>
          <w:rFonts w:eastAsia="仿宋_GB2312"/>
          <w:snapToGrid w:val="0"/>
          <w:kern w:val="0"/>
          <w:szCs w:val="32"/>
          <w:lang w:val="zh-CN"/>
        </w:rPr>
        <w:t>I</w:t>
      </w:r>
      <w:r>
        <w:rPr>
          <w:rFonts w:eastAsia="仿宋_GB2312"/>
          <w:snapToGrid w:val="0"/>
          <w:kern w:val="0"/>
          <w:szCs w:val="32"/>
          <w:lang w:val="zh-CN"/>
        </w:rPr>
        <w:t>类和电击防护类型为</w:t>
      </w:r>
      <w:r>
        <w:rPr>
          <w:rFonts w:eastAsia="仿宋_GB2312"/>
          <w:snapToGrid w:val="0"/>
          <w:kern w:val="0"/>
          <w:szCs w:val="32"/>
          <w:lang w:val="zh-CN"/>
        </w:rPr>
        <w:t>II</w:t>
      </w:r>
      <w:r>
        <w:rPr>
          <w:rFonts w:eastAsia="仿宋_GB2312"/>
          <w:snapToGrid w:val="0"/>
          <w:kern w:val="0"/>
          <w:szCs w:val="32"/>
          <w:lang w:val="zh-CN"/>
        </w:rPr>
        <w:t>类的应划分为不同注册单元。</w:t>
      </w:r>
    </w:p>
    <w:p w:rsidR="009079CF" w:rsidRDefault="009B4FD9">
      <w:pPr>
        <w:pStyle w:val="af1"/>
        <w:overflowPunct w:val="0"/>
        <w:autoSpaceDE w:val="0"/>
        <w:autoSpaceDN w:val="0"/>
        <w:spacing w:line="520" w:lineRule="exact"/>
        <w:ind w:firstLine="640"/>
        <w:outlineLvl w:val="1"/>
        <w:rPr>
          <w:rFonts w:ascii="楷体_GB2312" w:eastAsia="楷体_GB2312" w:hAnsi="楷体_GB2312" w:cs="楷体_GB2312"/>
          <w:color w:val="000000"/>
          <w:szCs w:val="32"/>
        </w:rPr>
      </w:pPr>
      <w:r>
        <w:rPr>
          <w:rFonts w:ascii="楷体_GB2312" w:eastAsia="楷体_GB2312" w:hAnsi="楷体_GB2312" w:cs="楷体_GB2312"/>
          <w:color w:val="000000"/>
          <w:szCs w:val="32"/>
        </w:rPr>
        <w:t>(</w:t>
      </w:r>
      <w:r>
        <w:rPr>
          <w:rFonts w:ascii="楷体_GB2312" w:eastAsia="楷体_GB2312" w:hAnsi="楷体_GB2312" w:cs="楷体_GB2312"/>
          <w:color w:val="000000"/>
          <w:szCs w:val="32"/>
        </w:rPr>
        <w:t>二</w:t>
      </w:r>
      <w:r>
        <w:rPr>
          <w:rFonts w:ascii="楷体_GB2312" w:eastAsia="楷体_GB2312" w:hAnsi="楷体_GB2312" w:cs="楷体_GB2312"/>
          <w:color w:val="000000"/>
          <w:szCs w:val="32"/>
        </w:rPr>
        <w:t>)</w:t>
      </w:r>
      <w:r>
        <w:rPr>
          <w:rFonts w:ascii="楷体_GB2312" w:eastAsia="楷体_GB2312" w:hAnsi="楷体_GB2312" w:cs="楷体_GB2312"/>
          <w:color w:val="000000"/>
          <w:szCs w:val="32"/>
        </w:rPr>
        <w:t>综述资料</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rPr>
        <w:t>1.</w:t>
      </w:r>
      <w:r>
        <w:rPr>
          <w:rFonts w:eastAsia="仿宋_GB2312"/>
          <w:snapToGrid w:val="0"/>
          <w:kern w:val="0"/>
          <w:szCs w:val="32"/>
        </w:rPr>
        <w:t>产品描述</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rPr>
        <w:t>1.1</w:t>
      </w:r>
      <w:r>
        <w:rPr>
          <w:rFonts w:eastAsia="仿宋_GB2312"/>
          <w:snapToGrid w:val="0"/>
          <w:kern w:val="0"/>
          <w:szCs w:val="32"/>
        </w:rPr>
        <w:t>器械及操作原理描述</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1.</w:t>
      </w:r>
      <w:r>
        <w:rPr>
          <w:rFonts w:eastAsia="仿宋_GB2312"/>
          <w:snapToGrid w:val="0"/>
          <w:kern w:val="0"/>
          <w:szCs w:val="32"/>
        </w:rPr>
        <w:t>1.1</w:t>
      </w:r>
      <w:r>
        <w:rPr>
          <w:rFonts w:eastAsia="仿宋_GB2312"/>
          <w:snapToGrid w:val="0"/>
          <w:kern w:val="0"/>
          <w:szCs w:val="32"/>
          <w:lang w:val="zh-CN"/>
        </w:rPr>
        <w:t>工作原理</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lastRenderedPageBreak/>
        <w:t>电动牵引床的工作原理一般是采用牵引力反馈控制方式，将操作者输入的参数，通过控制系统转化为给定信号，通过比对给定信号与传感器反馈信号来控制电机运行，电机产生的力通过传动机构（</w:t>
      </w:r>
      <w:r>
        <w:rPr>
          <w:rFonts w:eastAsia="仿宋_GB2312"/>
          <w:snapToGrid w:val="0"/>
          <w:kern w:val="0"/>
          <w:szCs w:val="32"/>
        </w:rPr>
        <w:t>如</w:t>
      </w:r>
      <w:r>
        <w:rPr>
          <w:rFonts w:eastAsia="仿宋_GB2312"/>
          <w:snapToGrid w:val="0"/>
          <w:kern w:val="0"/>
          <w:szCs w:val="32"/>
          <w:lang w:val="zh-CN"/>
        </w:rPr>
        <w:t>推杆）带动床板运动或通过</w:t>
      </w:r>
      <w:r>
        <w:rPr>
          <w:rFonts w:eastAsia="仿宋_GB2312"/>
          <w:snapToGrid w:val="0"/>
          <w:kern w:val="0"/>
          <w:szCs w:val="32"/>
        </w:rPr>
        <w:t>牵引绳将牵引力传递给固定带</w:t>
      </w:r>
      <w:r>
        <w:rPr>
          <w:rFonts w:eastAsia="仿宋_GB2312"/>
          <w:snapToGrid w:val="0"/>
          <w:kern w:val="0"/>
          <w:szCs w:val="32"/>
          <w:lang w:val="zh-CN"/>
        </w:rPr>
        <w:t>。在牵引过程中由传感器检测实际牵引力的变化，及时反馈给控制系统，实时加力或减力，实现对患者颈椎、腰椎</w:t>
      </w:r>
      <w:r>
        <w:rPr>
          <w:rFonts w:eastAsia="仿宋_GB2312"/>
          <w:snapToGrid w:val="0"/>
          <w:kern w:val="0"/>
          <w:szCs w:val="32"/>
          <w:lang w:val="zh-CN"/>
        </w:rPr>
        <w:t>的牵引。</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手动牵引床的工作原理一般是操作者手动旋转手轮，手轮带动传动机构（</w:t>
      </w:r>
      <w:r>
        <w:rPr>
          <w:rFonts w:eastAsia="仿宋_GB2312"/>
          <w:snapToGrid w:val="0"/>
          <w:kern w:val="0"/>
          <w:szCs w:val="32"/>
        </w:rPr>
        <w:t>如</w:t>
      </w:r>
      <w:r>
        <w:rPr>
          <w:rFonts w:eastAsia="仿宋_GB2312"/>
          <w:snapToGrid w:val="0"/>
          <w:kern w:val="0"/>
          <w:szCs w:val="32"/>
          <w:lang w:val="zh-CN"/>
        </w:rPr>
        <w:t>推杆）使床板运动或拉动</w:t>
      </w:r>
      <w:r>
        <w:rPr>
          <w:rFonts w:eastAsia="仿宋_GB2312"/>
          <w:snapToGrid w:val="0"/>
          <w:kern w:val="0"/>
          <w:szCs w:val="32"/>
        </w:rPr>
        <w:t>牵引绳将牵引力传递给固定带</w:t>
      </w:r>
      <w:r>
        <w:rPr>
          <w:rFonts w:eastAsia="仿宋_GB2312"/>
          <w:snapToGrid w:val="0"/>
          <w:kern w:val="0"/>
          <w:szCs w:val="32"/>
          <w:lang w:val="zh-CN"/>
        </w:rPr>
        <w:t>，实现对患者颈椎、腰椎的牵引。</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注册申请人应详细说明产品的工作原理，说明力的产生方式，传动过程、牵引力的方向、牵引模式等。如明确力是由电动或手动产生，电动牵引床应说明电机类型（</w:t>
      </w:r>
      <w:r>
        <w:rPr>
          <w:rFonts w:eastAsia="仿宋_GB2312"/>
          <w:snapToGrid w:val="0"/>
          <w:kern w:val="0"/>
          <w:szCs w:val="32"/>
        </w:rPr>
        <w:t>如直线电机、伺服电机等</w:t>
      </w:r>
      <w:r>
        <w:rPr>
          <w:rFonts w:eastAsia="仿宋_GB2312"/>
          <w:snapToGrid w:val="0"/>
          <w:kern w:val="0"/>
          <w:szCs w:val="32"/>
          <w:lang w:val="zh-CN"/>
        </w:rPr>
        <w:t>），传动过程是利用传动机构带动床板运动或</w:t>
      </w:r>
      <w:r>
        <w:rPr>
          <w:rFonts w:eastAsia="仿宋_GB2312"/>
          <w:snapToGrid w:val="0"/>
          <w:kern w:val="0"/>
          <w:szCs w:val="32"/>
        </w:rPr>
        <w:t>牵引绳将牵引力传递给固定带等</w:t>
      </w:r>
      <w:r>
        <w:rPr>
          <w:rFonts w:eastAsia="仿宋_GB2312"/>
          <w:snapToGrid w:val="0"/>
          <w:kern w:val="0"/>
          <w:szCs w:val="32"/>
          <w:lang w:val="zh-CN"/>
        </w:rPr>
        <w:t>。可提供产品的工作原理图，并结合原理图阐述牵引床的各种动作的实现方式。</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1.</w:t>
      </w:r>
      <w:r>
        <w:rPr>
          <w:rFonts w:eastAsia="仿宋_GB2312"/>
          <w:snapToGrid w:val="0"/>
          <w:kern w:val="0"/>
          <w:szCs w:val="32"/>
        </w:rPr>
        <w:t>1.2</w:t>
      </w:r>
      <w:r>
        <w:rPr>
          <w:rFonts w:eastAsia="仿宋_GB2312"/>
          <w:snapToGrid w:val="0"/>
          <w:kern w:val="0"/>
          <w:szCs w:val="32"/>
          <w:lang w:val="zh-CN"/>
        </w:rPr>
        <w:t>作用机理</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将牵引力传递给患者，牵拉分离颈椎或腰椎关节面、牵伸周围软组织，增加椎间盘间隙，扩大椎间孔，进而减轻椎间压力；缓解肌肉痉挛，促进肌肉损伤恢复；缓解脊髓神经根的压迫，有利于神经根的水肿吸收；也可以改善脊柱曲度，恢复颈椎或腰椎正常序列和小关节功能。</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注册申请人应结合申报产品的实际情况，说明产品的作用机理。牵引床一般是由操作者调整好运动角度后再开始牵引，对于具有特殊牵引模式的产品，应详述牵引力、牵引速度和角度与临床应用的关联性及确定依据。</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lastRenderedPageBreak/>
        <w:t>1.</w:t>
      </w:r>
      <w:r>
        <w:rPr>
          <w:rFonts w:eastAsia="仿宋_GB2312"/>
          <w:snapToGrid w:val="0"/>
          <w:kern w:val="0"/>
          <w:szCs w:val="32"/>
        </w:rPr>
        <w:t>1.3</w:t>
      </w:r>
      <w:r>
        <w:rPr>
          <w:rFonts w:eastAsia="仿宋_GB2312"/>
          <w:snapToGrid w:val="0"/>
          <w:kern w:val="0"/>
          <w:szCs w:val="32"/>
          <w:lang w:val="zh-CN"/>
        </w:rPr>
        <w:t>结构及组成</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lang w:val="zh-CN"/>
        </w:rPr>
        <w:t>电动牵引床通常由控制系统（控制器和控制软件）、牵引动力</w:t>
      </w:r>
      <w:r>
        <w:rPr>
          <w:rFonts w:eastAsia="仿宋_GB2312"/>
          <w:snapToGrid w:val="0"/>
          <w:kern w:val="0"/>
          <w:szCs w:val="32"/>
          <w:lang w:val="zh-CN"/>
        </w:rPr>
        <w:t>系统（电机、传动机构、牵引绳）、患者固定系统（肋部固定带、髋部固定带、头颈部固定带、固定架等）和牵引床体等组成。常见产品结构示意图见图</w:t>
      </w:r>
      <w:r>
        <w:rPr>
          <w:rFonts w:eastAsia="仿宋_GB2312"/>
          <w:snapToGrid w:val="0"/>
          <w:kern w:val="0"/>
          <w:szCs w:val="32"/>
        </w:rPr>
        <w:t>1</w:t>
      </w:r>
      <w:r>
        <w:rPr>
          <w:rFonts w:eastAsia="仿宋_GB2312"/>
          <w:snapToGrid w:val="0"/>
          <w:kern w:val="0"/>
          <w:szCs w:val="32"/>
        </w:rPr>
        <w:t>至</w:t>
      </w:r>
      <w:r>
        <w:rPr>
          <w:rFonts w:eastAsia="仿宋_GB2312"/>
          <w:snapToGrid w:val="0"/>
          <w:kern w:val="0"/>
          <w:szCs w:val="32"/>
        </w:rPr>
        <w:t>3</w:t>
      </w:r>
      <w:r>
        <w:rPr>
          <w:rFonts w:eastAsia="仿宋_GB2312"/>
          <w:snapToGrid w:val="0"/>
          <w:kern w:val="0"/>
          <w:szCs w:val="32"/>
          <w:lang w:val="zh-CN"/>
        </w:rPr>
        <w:t>。</w:t>
      </w:r>
    </w:p>
    <w:p w:rsidR="009079CF" w:rsidRDefault="009B4FD9">
      <w:pPr>
        <w:pStyle w:val="a0"/>
        <w:jc w:val="center"/>
        <w:rPr>
          <w:rFonts w:ascii="Times New Roman" w:eastAsia="仿宋_GB2312" w:hAnsi="Times New Roman"/>
          <w:sz w:val="24"/>
          <w:szCs w:val="24"/>
        </w:rPr>
      </w:pPr>
      <w:r>
        <w:rPr>
          <w:rFonts w:ascii="Times New Roman" w:eastAsia="仿宋_GB2312" w:hAnsi="Times New Roman"/>
          <w:noProof/>
          <w:sz w:val="24"/>
          <w:szCs w:val="24"/>
        </w:rPr>
        <w:drawing>
          <wp:inline distT="0" distB="0" distL="114300" distR="114300">
            <wp:extent cx="3381375" cy="1757680"/>
            <wp:effectExtent l="0" t="0" r="6985" b="9525"/>
            <wp:docPr id="1" name="图片 1" descr="173332465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3324659136"/>
                    <pic:cNvPicPr>
                      <a:picLocks noChangeAspect="1"/>
                    </pic:cNvPicPr>
                  </pic:nvPicPr>
                  <pic:blipFill>
                    <a:blip r:embed="rId8"/>
                    <a:srcRect t="6798" r="-399"/>
                    <a:stretch>
                      <a:fillRect/>
                    </a:stretch>
                  </pic:blipFill>
                  <pic:spPr>
                    <a:xfrm>
                      <a:off x="0" y="0"/>
                      <a:ext cx="3381375" cy="1757680"/>
                    </a:xfrm>
                    <a:prstGeom prst="rect">
                      <a:avLst/>
                    </a:prstGeom>
                  </pic:spPr>
                </pic:pic>
              </a:graphicData>
            </a:graphic>
          </wp:inline>
        </w:drawing>
      </w:r>
    </w:p>
    <w:p w:rsidR="009079CF" w:rsidRDefault="009B4FD9">
      <w:pPr>
        <w:overflowPunct w:val="0"/>
        <w:autoSpaceDE w:val="0"/>
        <w:autoSpaceDN w:val="0"/>
        <w:spacing w:line="520" w:lineRule="exact"/>
        <w:jc w:val="center"/>
        <w:outlineLvl w:val="2"/>
        <w:rPr>
          <w:rFonts w:ascii="黑体" w:eastAsia="黑体" w:hAnsi="黑体" w:cs="黑体"/>
          <w:snapToGrid w:val="0"/>
          <w:kern w:val="0"/>
          <w:sz w:val="28"/>
          <w:szCs w:val="28"/>
        </w:rPr>
      </w:pPr>
      <w:r>
        <w:rPr>
          <w:rFonts w:ascii="黑体" w:eastAsia="黑体" w:hAnsi="黑体" w:cs="黑体" w:hint="eastAsia"/>
          <w:snapToGrid w:val="0"/>
          <w:kern w:val="0"/>
          <w:sz w:val="28"/>
          <w:szCs w:val="28"/>
        </w:rPr>
        <w:t>图</w:t>
      </w:r>
      <w:r>
        <w:rPr>
          <w:rFonts w:eastAsia="黑体"/>
          <w:snapToGrid w:val="0"/>
          <w:kern w:val="0"/>
          <w:sz w:val="28"/>
          <w:szCs w:val="28"/>
        </w:rPr>
        <w:t>1</w:t>
      </w:r>
      <w:r>
        <w:rPr>
          <w:rFonts w:ascii="黑体" w:eastAsia="黑体" w:hAnsi="黑体" w:cs="黑体" w:hint="eastAsia"/>
          <w:snapToGrid w:val="0"/>
          <w:kern w:val="0"/>
          <w:sz w:val="28"/>
          <w:szCs w:val="28"/>
        </w:rPr>
        <w:t xml:space="preserve"> </w:t>
      </w:r>
      <w:r>
        <w:rPr>
          <w:rFonts w:ascii="黑体" w:eastAsia="黑体" w:hAnsi="黑体" w:cs="黑体" w:hint="eastAsia"/>
          <w:snapToGrid w:val="0"/>
          <w:kern w:val="0"/>
          <w:sz w:val="28"/>
          <w:szCs w:val="28"/>
        </w:rPr>
        <w:t>水平牵引的牵引床</w:t>
      </w:r>
    </w:p>
    <w:p w:rsidR="009079CF" w:rsidRDefault="009079CF">
      <w:pPr>
        <w:pStyle w:val="a0"/>
        <w:spacing w:line="520" w:lineRule="exact"/>
        <w:jc w:val="center"/>
        <w:rPr>
          <w:rFonts w:ascii="Times New Roman" w:eastAsia="仿宋_GB2312" w:hAnsi="Times New Roman"/>
          <w:snapToGrid w:val="0"/>
          <w:sz w:val="32"/>
          <w:szCs w:val="32"/>
        </w:rPr>
      </w:pPr>
    </w:p>
    <w:p w:rsidR="009079CF" w:rsidRDefault="009B4FD9">
      <w:pPr>
        <w:pStyle w:val="a0"/>
        <w:jc w:val="center"/>
        <w:rPr>
          <w:rFonts w:ascii="Times New Roman" w:eastAsia="仿宋_GB2312" w:hAnsi="Times New Roman"/>
          <w:sz w:val="24"/>
          <w:szCs w:val="24"/>
        </w:rPr>
      </w:pPr>
      <w:r>
        <w:rPr>
          <w:rFonts w:ascii="Times New Roman" w:eastAsia="仿宋_GB2312" w:hAnsi="Times New Roman"/>
          <w:noProof/>
        </w:rPr>
        <w:drawing>
          <wp:inline distT="0" distB="0" distL="114300" distR="114300">
            <wp:extent cx="3364230" cy="1417955"/>
            <wp:effectExtent l="0" t="0" r="9525" b="13335"/>
            <wp:docPr id="7" name="图片 7" descr="XUFSMBC3Y1)5]`{8JQC@G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XUFSMBC3Y1)5]`{8JQC@GU4"/>
                    <pic:cNvPicPr>
                      <a:picLocks noChangeAspect="1"/>
                    </pic:cNvPicPr>
                  </pic:nvPicPr>
                  <pic:blipFill>
                    <a:blip r:embed="rId9"/>
                    <a:srcRect t="28559" r="248"/>
                    <a:stretch>
                      <a:fillRect/>
                    </a:stretch>
                  </pic:blipFill>
                  <pic:spPr>
                    <a:xfrm>
                      <a:off x="0" y="0"/>
                      <a:ext cx="3364230" cy="1417955"/>
                    </a:xfrm>
                    <a:prstGeom prst="rect">
                      <a:avLst/>
                    </a:prstGeom>
                  </pic:spPr>
                </pic:pic>
              </a:graphicData>
            </a:graphic>
          </wp:inline>
        </w:drawing>
      </w:r>
    </w:p>
    <w:p w:rsidR="009079CF" w:rsidRDefault="009B4FD9">
      <w:pPr>
        <w:overflowPunct w:val="0"/>
        <w:autoSpaceDE w:val="0"/>
        <w:autoSpaceDN w:val="0"/>
        <w:spacing w:line="520" w:lineRule="exact"/>
        <w:jc w:val="center"/>
        <w:outlineLvl w:val="2"/>
        <w:rPr>
          <w:rFonts w:ascii="黑体" w:eastAsia="黑体" w:hAnsi="黑体" w:cs="黑体"/>
          <w:snapToGrid w:val="0"/>
          <w:kern w:val="0"/>
          <w:sz w:val="28"/>
          <w:szCs w:val="28"/>
        </w:rPr>
      </w:pPr>
      <w:r>
        <w:rPr>
          <w:rFonts w:ascii="黑体" w:eastAsia="黑体" w:hAnsi="黑体" w:cs="黑体"/>
          <w:snapToGrid w:val="0"/>
          <w:kern w:val="0"/>
          <w:sz w:val="28"/>
          <w:szCs w:val="28"/>
        </w:rPr>
        <w:t>图</w:t>
      </w:r>
      <w:r>
        <w:rPr>
          <w:rFonts w:eastAsia="黑体"/>
          <w:snapToGrid w:val="0"/>
          <w:kern w:val="0"/>
          <w:sz w:val="28"/>
          <w:szCs w:val="28"/>
        </w:rPr>
        <w:t>2</w:t>
      </w:r>
      <w:r>
        <w:rPr>
          <w:rFonts w:ascii="黑体" w:eastAsia="黑体" w:hAnsi="黑体" w:cs="黑体"/>
          <w:snapToGrid w:val="0"/>
          <w:kern w:val="0"/>
          <w:sz w:val="28"/>
          <w:szCs w:val="28"/>
        </w:rPr>
        <w:t xml:space="preserve"> </w:t>
      </w:r>
      <w:r>
        <w:rPr>
          <w:rFonts w:ascii="黑体" w:eastAsia="黑体" w:hAnsi="黑体" w:cs="黑体"/>
          <w:snapToGrid w:val="0"/>
          <w:kern w:val="0"/>
          <w:sz w:val="28"/>
          <w:szCs w:val="28"/>
        </w:rPr>
        <w:t>具有</w:t>
      </w:r>
      <w:r>
        <w:rPr>
          <w:rFonts w:ascii="黑体" w:eastAsia="黑体" w:hAnsi="黑体" w:cs="黑体"/>
          <w:snapToGrid w:val="0"/>
          <w:kern w:val="0"/>
          <w:sz w:val="28"/>
          <w:szCs w:val="28"/>
          <w:lang w:val="zh-CN"/>
        </w:rPr>
        <w:t>角度牵引</w:t>
      </w:r>
      <w:r>
        <w:rPr>
          <w:rFonts w:ascii="黑体" w:eastAsia="黑体" w:hAnsi="黑体" w:cs="黑体"/>
          <w:snapToGrid w:val="0"/>
          <w:kern w:val="0"/>
          <w:sz w:val="28"/>
          <w:szCs w:val="28"/>
        </w:rPr>
        <w:t>的牵引床</w:t>
      </w:r>
    </w:p>
    <w:p w:rsidR="009079CF" w:rsidRDefault="009079CF">
      <w:pPr>
        <w:pStyle w:val="a0"/>
        <w:spacing w:line="520" w:lineRule="exact"/>
        <w:jc w:val="center"/>
        <w:rPr>
          <w:rFonts w:ascii="Times New Roman" w:eastAsia="仿宋_GB2312" w:hAnsi="Times New Roman"/>
          <w:snapToGrid w:val="0"/>
          <w:sz w:val="32"/>
          <w:szCs w:val="32"/>
        </w:rPr>
      </w:pPr>
    </w:p>
    <w:p w:rsidR="009079CF" w:rsidRDefault="009B4FD9">
      <w:pPr>
        <w:pStyle w:val="a0"/>
        <w:jc w:val="center"/>
        <w:rPr>
          <w:rFonts w:ascii="Times New Roman" w:eastAsia="仿宋_GB2312" w:hAnsi="Times New Roman"/>
        </w:rPr>
      </w:pPr>
      <w:r>
        <w:rPr>
          <w:rFonts w:ascii="Times New Roman" w:eastAsia="仿宋_GB2312" w:hAnsi="Times New Roman"/>
          <w:noProof/>
        </w:rPr>
        <w:drawing>
          <wp:inline distT="0" distB="0" distL="114300" distR="114300">
            <wp:extent cx="3145790" cy="2320925"/>
            <wp:effectExtent l="0" t="0" r="8890" b="1270"/>
            <wp:docPr id="2" name="图片 2" descr="产品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产品照片"/>
                    <pic:cNvPicPr>
                      <a:picLocks noChangeAspect="1"/>
                    </pic:cNvPicPr>
                  </pic:nvPicPr>
                  <pic:blipFill>
                    <a:blip r:embed="rId10"/>
                    <a:srcRect t="8112" r="24006" b="5212"/>
                    <a:stretch>
                      <a:fillRect/>
                    </a:stretch>
                  </pic:blipFill>
                  <pic:spPr>
                    <a:xfrm>
                      <a:off x="0" y="0"/>
                      <a:ext cx="3145790" cy="2320925"/>
                    </a:xfrm>
                    <a:prstGeom prst="rect">
                      <a:avLst/>
                    </a:prstGeom>
                  </pic:spPr>
                </pic:pic>
              </a:graphicData>
            </a:graphic>
          </wp:inline>
        </w:drawing>
      </w:r>
    </w:p>
    <w:p w:rsidR="009079CF" w:rsidRDefault="009B4FD9">
      <w:pPr>
        <w:overflowPunct w:val="0"/>
        <w:autoSpaceDE w:val="0"/>
        <w:autoSpaceDN w:val="0"/>
        <w:spacing w:line="520" w:lineRule="exact"/>
        <w:jc w:val="center"/>
        <w:outlineLvl w:val="2"/>
        <w:rPr>
          <w:rFonts w:eastAsia="仿宋_GB2312"/>
          <w:szCs w:val="32"/>
        </w:rPr>
      </w:pPr>
      <w:r>
        <w:rPr>
          <w:rFonts w:ascii="黑体" w:eastAsia="黑体" w:hAnsi="黑体" w:cs="黑体"/>
          <w:snapToGrid w:val="0"/>
          <w:kern w:val="0"/>
          <w:sz w:val="28"/>
          <w:szCs w:val="28"/>
        </w:rPr>
        <w:t>图</w:t>
      </w:r>
      <w:r>
        <w:rPr>
          <w:rFonts w:eastAsia="黑体"/>
          <w:snapToGrid w:val="0"/>
          <w:kern w:val="0"/>
          <w:sz w:val="28"/>
          <w:szCs w:val="28"/>
        </w:rPr>
        <w:t>3</w:t>
      </w:r>
      <w:r>
        <w:rPr>
          <w:rFonts w:ascii="黑体" w:eastAsia="黑体" w:hAnsi="黑体" w:cs="黑体"/>
          <w:snapToGrid w:val="0"/>
          <w:kern w:val="0"/>
          <w:sz w:val="28"/>
          <w:szCs w:val="28"/>
        </w:rPr>
        <w:t xml:space="preserve"> </w:t>
      </w:r>
      <w:r>
        <w:rPr>
          <w:rFonts w:ascii="黑体" w:eastAsia="黑体" w:hAnsi="黑体" w:cs="黑体"/>
          <w:snapToGrid w:val="0"/>
          <w:kern w:val="0"/>
          <w:sz w:val="28"/>
          <w:szCs w:val="28"/>
        </w:rPr>
        <w:t>牵引绳将牵引力传递给固定带的牵引床</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rPr>
        <w:lastRenderedPageBreak/>
        <w:t>手动牵引床产品通常由牵引动力系统（手轮、传动机构、牵引绳、牵引力指示装置）、患者固定系统（肋部固定带、髋部固定带、头颈部固定带、固定架等）和牵引床体等组成。常见产品结构示意图见图</w:t>
      </w:r>
      <w:r>
        <w:rPr>
          <w:rFonts w:eastAsia="仿宋_GB2312"/>
          <w:snapToGrid w:val="0"/>
          <w:kern w:val="0"/>
          <w:szCs w:val="32"/>
        </w:rPr>
        <w:t>4</w:t>
      </w:r>
      <w:r>
        <w:rPr>
          <w:rFonts w:eastAsia="仿宋_GB2312"/>
          <w:snapToGrid w:val="0"/>
          <w:kern w:val="0"/>
          <w:szCs w:val="32"/>
        </w:rPr>
        <w:t>。</w:t>
      </w:r>
    </w:p>
    <w:p w:rsidR="009079CF" w:rsidRDefault="009B4FD9">
      <w:pPr>
        <w:jc w:val="center"/>
        <w:rPr>
          <w:rFonts w:eastAsia="仿宋_GB2312"/>
          <w:kern w:val="0"/>
          <w:szCs w:val="32"/>
        </w:rPr>
      </w:pPr>
      <w:r>
        <w:rPr>
          <w:rFonts w:eastAsia="仿宋_GB2312"/>
          <w:noProof/>
        </w:rPr>
        <w:drawing>
          <wp:inline distT="0" distB="0" distL="114300" distR="114300">
            <wp:extent cx="3197860" cy="1607820"/>
            <wp:effectExtent l="0" t="0" r="635" b="13335"/>
            <wp:docPr id="5" name="图片 3" descr="手动牵引床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手动牵引床01"/>
                    <pic:cNvPicPr>
                      <a:picLocks noChangeAspect="1"/>
                    </pic:cNvPicPr>
                  </pic:nvPicPr>
                  <pic:blipFill>
                    <a:blip r:embed="rId11"/>
                    <a:stretch>
                      <a:fillRect/>
                    </a:stretch>
                  </pic:blipFill>
                  <pic:spPr>
                    <a:xfrm>
                      <a:off x="0" y="0"/>
                      <a:ext cx="3197860" cy="1607820"/>
                    </a:xfrm>
                    <a:prstGeom prst="rect">
                      <a:avLst/>
                    </a:prstGeom>
                  </pic:spPr>
                </pic:pic>
              </a:graphicData>
            </a:graphic>
          </wp:inline>
        </w:drawing>
      </w:r>
    </w:p>
    <w:p w:rsidR="009079CF" w:rsidRDefault="009B4FD9">
      <w:pPr>
        <w:overflowPunct w:val="0"/>
        <w:autoSpaceDE w:val="0"/>
        <w:autoSpaceDN w:val="0"/>
        <w:spacing w:line="520" w:lineRule="exact"/>
        <w:jc w:val="center"/>
        <w:outlineLvl w:val="2"/>
        <w:rPr>
          <w:rFonts w:ascii="黑体" w:eastAsia="黑体" w:hAnsi="黑体" w:cs="黑体"/>
          <w:snapToGrid w:val="0"/>
          <w:kern w:val="0"/>
          <w:sz w:val="28"/>
          <w:szCs w:val="28"/>
          <w:lang w:val="zh-CN"/>
        </w:rPr>
      </w:pPr>
      <w:r>
        <w:rPr>
          <w:rFonts w:ascii="黑体" w:eastAsia="黑体" w:hAnsi="黑体" w:cs="黑体"/>
          <w:snapToGrid w:val="0"/>
          <w:kern w:val="0"/>
          <w:sz w:val="28"/>
          <w:szCs w:val="28"/>
          <w:lang w:val="zh-CN"/>
        </w:rPr>
        <w:t>图</w:t>
      </w:r>
      <w:r>
        <w:rPr>
          <w:rFonts w:eastAsia="黑体"/>
          <w:snapToGrid w:val="0"/>
          <w:kern w:val="0"/>
          <w:sz w:val="28"/>
          <w:szCs w:val="28"/>
        </w:rPr>
        <w:t>4</w:t>
      </w:r>
      <w:r>
        <w:rPr>
          <w:rFonts w:ascii="黑体" w:eastAsia="黑体" w:hAnsi="黑体" w:cs="黑体"/>
          <w:snapToGrid w:val="0"/>
          <w:kern w:val="0"/>
          <w:sz w:val="28"/>
          <w:szCs w:val="28"/>
          <w:lang w:val="zh-CN"/>
        </w:rPr>
        <w:t xml:space="preserve"> </w:t>
      </w:r>
      <w:r>
        <w:rPr>
          <w:rFonts w:ascii="黑体" w:eastAsia="黑体" w:hAnsi="黑体" w:cs="黑体"/>
          <w:snapToGrid w:val="0"/>
          <w:kern w:val="0"/>
          <w:sz w:val="28"/>
          <w:szCs w:val="28"/>
          <w:lang w:val="zh-CN"/>
        </w:rPr>
        <w:t>手动牵引床产品示意图</w:t>
      </w:r>
    </w:p>
    <w:p w:rsidR="009079CF" w:rsidRDefault="009079CF">
      <w:pPr>
        <w:overflowPunct w:val="0"/>
        <w:autoSpaceDE w:val="0"/>
        <w:autoSpaceDN w:val="0"/>
        <w:spacing w:line="520" w:lineRule="exact"/>
        <w:jc w:val="center"/>
        <w:outlineLvl w:val="2"/>
        <w:rPr>
          <w:rFonts w:eastAsia="仿宋_GB2312"/>
          <w:snapToGrid w:val="0"/>
          <w:kern w:val="0"/>
          <w:sz w:val="28"/>
          <w:szCs w:val="28"/>
        </w:rPr>
      </w:pP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注：上述结构示意图仅供参考，具体产品结构组成应根据实际产品确定，并提供图示说明。</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1.</w:t>
      </w:r>
      <w:r>
        <w:rPr>
          <w:rFonts w:eastAsia="仿宋_GB2312"/>
          <w:snapToGrid w:val="0"/>
          <w:kern w:val="0"/>
          <w:szCs w:val="32"/>
        </w:rPr>
        <w:t>2</w:t>
      </w:r>
      <w:r>
        <w:rPr>
          <w:rFonts w:eastAsia="仿宋_GB2312"/>
          <w:snapToGrid w:val="0"/>
          <w:kern w:val="0"/>
          <w:szCs w:val="32"/>
          <w:lang w:val="zh-CN"/>
        </w:rPr>
        <w:t>型号规格</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应明确申报产品的型号规格及其划分原则。对于存在多种型号规格的产品，应当明确各型号规格的区别。应当采用对比表或带有说明性文字的图片、图表，描述各种型号规格的结构组成（或配置）、功能、产品特征和运行模式、技术参数等内容。</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1.</w:t>
      </w:r>
      <w:r>
        <w:rPr>
          <w:rFonts w:eastAsia="仿宋_GB2312"/>
          <w:snapToGrid w:val="0"/>
          <w:kern w:val="0"/>
          <w:szCs w:val="32"/>
        </w:rPr>
        <w:t>3</w:t>
      </w:r>
      <w:r>
        <w:rPr>
          <w:rFonts w:eastAsia="仿宋_GB2312"/>
          <w:snapToGrid w:val="0"/>
          <w:kern w:val="0"/>
          <w:szCs w:val="32"/>
          <w:lang w:val="zh-CN"/>
        </w:rPr>
        <w:t>包装说明</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应当描述产品包装的类型、材质等，以及与该产品一起销售的配件包装情况，包括运输包装的信息。</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1.</w:t>
      </w:r>
      <w:r>
        <w:rPr>
          <w:rFonts w:eastAsia="仿宋_GB2312"/>
          <w:snapToGrid w:val="0"/>
          <w:kern w:val="0"/>
          <w:szCs w:val="32"/>
        </w:rPr>
        <w:t>4</w:t>
      </w:r>
      <w:r>
        <w:rPr>
          <w:rFonts w:eastAsia="仿宋_GB2312"/>
          <w:snapToGrid w:val="0"/>
          <w:kern w:val="0"/>
          <w:szCs w:val="32"/>
          <w:lang w:val="zh-CN"/>
        </w:rPr>
        <w:t>研发历程</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若存在可以参考的同类产品或前代产品，应阐述申请注册的产品开发的背景和目的。</w:t>
      </w:r>
      <w:r>
        <w:rPr>
          <w:rFonts w:eastAsia="仿宋_GB2312"/>
          <w:snapToGrid w:val="0"/>
          <w:kern w:val="0"/>
          <w:szCs w:val="32"/>
          <w:lang w:val="zh-CN"/>
        </w:rPr>
        <w:t>对于同类产品，应说明选择其作为研究开发所参考的原因。应列表比较说明申报产品与同</w:t>
      </w:r>
      <w:r>
        <w:rPr>
          <w:rFonts w:eastAsia="仿宋_GB2312"/>
          <w:snapToGrid w:val="0"/>
          <w:kern w:val="0"/>
          <w:szCs w:val="32"/>
          <w:lang w:val="zh-CN"/>
        </w:rPr>
        <w:lastRenderedPageBreak/>
        <w:t>类产品或前代产品在工作原理、结构组成、性能指标、适用范围等方面的异同，并重点说明申报产品的新功能、新应用、新特征。</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2.</w:t>
      </w:r>
      <w:r>
        <w:rPr>
          <w:rFonts w:eastAsia="仿宋_GB2312"/>
          <w:snapToGrid w:val="0"/>
          <w:kern w:val="0"/>
          <w:szCs w:val="32"/>
          <w:lang w:val="zh-CN"/>
        </w:rPr>
        <w:t>适用范围和禁忌证</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2.1</w:t>
      </w:r>
      <w:r>
        <w:rPr>
          <w:rFonts w:eastAsia="仿宋_GB2312"/>
          <w:snapToGrid w:val="0"/>
          <w:kern w:val="0"/>
          <w:szCs w:val="32"/>
          <w:lang w:val="zh-CN"/>
        </w:rPr>
        <w:t>适用范围</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应当关注目标用户及其操作该产品应当具备的技能</w:t>
      </w:r>
      <w:r>
        <w:rPr>
          <w:rFonts w:eastAsia="仿宋_GB2312"/>
          <w:snapToGrid w:val="0"/>
          <w:kern w:val="0"/>
          <w:szCs w:val="32"/>
          <w:lang w:val="zh-CN"/>
        </w:rPr>
        <w:t>/</w:t>
      </w:r>
      <w:r>
        <w:rPr>
          <w:rFonts w:eastAsia="仿宋_GB2312"/>
          <w:snapToGrid w:val="0"/>
          <w:kern w:val="0"/>
          <w:szCs w:val="32"/>
          <w:lang w:val="zh-CN"/>
        </w:rPr>
        <w:t>知识</w:t>
      </w:r>
      <w:r>
        <w:rPr>
          <w:rFonts w:eastAsia="仿宋_GB2312"/>
          <w:snapToGrid w:val="0"/>
          <w:kern w:val="0"/>
          <w:szCs w:val="32"/>
          <w:lang w:val="zh-CN"/>
        </w:rPr>
        <w:t>/</w:t>
      </w:r>
      <w:r>
        <w:rPr>
          <w:rFonts w:eastAsia="仿宋_GB2312"/>
          <w:snapToGrid w:val="0"/>
          <w:kern w:val="0"/>
          <w:szCs w:val="32"/>
          <w:lang w:val="zh-CN"/>
        </w:rPr>
        <w:t>培训。</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适用范围应给出明确的应用部位及用途，一般描述为：用于对患者颈椎和</w:t>
      </w:r>
      <w:r>
        <w:rPr>
          <w:rFonts w:eastAsia="仿宋_GB2312"/>
          <w:snapToGrid w:val="0"/>
          <w:kern w:val="0"/>
          <w:szCs w:val="32"/>
          <w:lang w:val="zh-CN"/>
        </w:rPr>
        <w:t>/</w:t>
      </w:r>
      <w:r>
        <w:rPr>
          <w:rFonts w:eastAsia="仿宋_GB2312"/>
          <w:snapToGrid w:val="0"/>
          <w:kern w:val="0"/>
          <w:szCs w:val="32"/>
          <w:lang w:val="zh-CN"/>
        </w:rPr>
        <w:t>或腰椎进行牵引治疗。</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2.2</w:t>
      </w:r>
      <w:r>
        <w:rPr>
          <w:rFonts w:eastAsia="仿宋_GB2312"/>
          <w:snapToGrid w:val="0"/>
          <w:kern w:val="0"/>
          <w:szCs w:val="32"/>
          <w:lang w:val="zh-CN"/>
        </w:rPr>
        <w:t>预期使用环境</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需明确对申报产品预期使用的地点和可能影响其安全性和有效性的环境条件的要求。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2.3</w:t>
      </w:r>
      <w:r>
        <w:rPr>
          <w:rFonts w:eastAsia="仿宋_GB2312"/>
          <w:snapToGrid w:val="0"/>
          <w:kern w:val="0"/>
          <w:szCs w:val="32"/>
          <w:lang w:val="zh-CN"/>
        </w:rPr>
        <w:t>适用人群</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应详述产品的适用人群。</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2.</w:t>
      </w:r>
      <w:r>
        <w:rPr>
          <w:rFonts w:eastAsia="仿宋_GB2312"/>
          <w:snapToGrid w:val="0"/>
          <w:kern w:val="0"/>
          <w:szCs w:val="32"/>
        </w:rPr>
        <w:t>4</w:t>
      </w:r>
      <w:r>
        <w:rPr>
          <w:rFonts w:eastAsia="仿宋_GB2312"/>
          <w:snapToGrid w:val="0"/>
          <w:kern w:val="0"/>
          <w:szCs w:val="32"/>
          <w:lang w:val="zh-CN"/>
        </w:rPr>
        <w:t>禁忌</w:t>
      </w:r>
      <w:r>
        <w:rPr>
          <w:rFonts w:eastAsia="仿宋_GB2312"/>
          <w:snapToGrid w:val="0"/>
          <w:kern w:val="0"/>
          <w:szCs w:val="32"/>
        </w:rPr>
        <w:t>证</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重度骨质疏松患者。脊髓严重受压、脊髓明显水肿及变性患者。</w:t>
      </w:r>
      <w:r>
        <w:rPr>
          <w:rFonts w:eastAsia="仿宋_GB2312"/>
          <w:snapToGrid w:val="0"/>
          <w:kern w:val="0"/>
          <w:szCs w:val="32"/>
        </w:rPr>
        <w:t>马尾神经综合征患者。</w:t>
      </w:r>
      <w:r>
        <w:rPr>
          <w:rFonts w:eastAsia="仿宋_GB2312"/>
          <w:snapToGrid w:val="0"/>
          <w:kern w:val="0"/>
          <w:szCs w:val="32"/>
          <w:lang w:val="zh-CN"/>
        </w:rPr>
        <w:t>感染性疾患。脊柱肿瘤及肿瘤样疾患。严重心脑血管及内脏疾患。高烧及出血倾向者。严重呼吸系统疾病、睡眠呼吸暂停综合征等呼吸功能障碍患者。</w:t>
      </w:r>
      <w:r>
        <w:rPr>
          <w:rFonts w:eastAsia="仿宋_GB2312"/>
          <w:snapToGrid w:val="0"/>
          <w:kern w:val="0"/>
          <w:szCs w:val="32"/>
        </w:rPr>
        <w:t>颈椎不稳患者。颞下颌关节炎患者。</w:t>
      </w:r>
      <w:r>
        <w:rPr>
          <w:rFonts w:eastAsia="仿宋_GB2312"/>
          <w:snapToGrid w:val="0"/>
          <w:kern w:val="0"/>
          <w:szCs w:val="32"/>
          <w:lang w:val="zh-CN"/>
        </w:rPr>
        <w:t>其他骨折患者。全身状态不佳、生活不能自理患者。牵引后可能症状加重的患者。孕妇。</w:t>
      </w:r>
      <w:r>
        <w:rPr>
          <w:rFonts w:eastAsia="仿宋_GB2312"/>
          <w:snapToGrid w:val="0"/>
          <w:kern w:val="0"/>
          <w:szCs w:val="32"/>
        </w:rPr>
        <w:t>如有外伤史患者，应在影像学检查排除可能导致症状加重的情况（如强直性脊柱炎骨折等）后进行牵引。</w:t>
      </w:r>
    </w:p>
    <w:p w:rsidR="009079CF" w:rsidRDefault="009B4FD9">
      <w:pPr>
        <w:pStyle w:val="af1"/>
        <w:overflowPunct w:val="0"/>
        <w:autoSpaceDE w:val="0"/>
        <w:autoSpaceDN w:val="0"/>
        <w:spacing w:line="520" w:lineRule="exact"/>
        <w:ind w:firstLine="640"/>
        <w:outlineLvl w:val="1"/>
        <w:rPr>
          <w:rFonts w:ascii="楷体_GB2312" w:eastAsia="楷体_GB2312" w:hAnsi="楷体_GB2312" w:cs="楷体_GB2312"/>
          <w:color w:val="000000"/>
          <w:szCs w:val="32"/>
        </w:rPr>
      </w:pPr>
      <w:r>
        <w:rPr>
          <w:rFonts w:ascii="楷体_GB2312" w:eastAsia="楷体_GB2312" w:hAnsi="楷体_GB2312" w:cs="楷体_GB2312"/>
          <w:color w:val="000000"/>
          <w:szCs w:val="32"/>
        </w:rPr>
        <w:t>(</w:t>
      </w:r>
      <w:r>
        <w:rPr>
          <w:rFonts w:ascii="楷体_GB2312" w:eastAsia="楷体_GB2312" w:hAnsi="楷体_GB2312" w:cs="楷体_GB2312"/>
          <w:color w:val="000000"/>
          <w:szCs w:val="32"/>
        </w:rPr>
        <w:t>三</w:t>
      </w:r>
      <w:r>
        <w:rPr>
          <w:rFonts w:ascii="楷体_GB2312" w:eastAsia="楷体_GB2312" w:hAnsi="楷体_GB2312" w:cs="楷体_GB2312"/>
          <w:color w:val="000000"/>
          <w:szCs w:val="32"/>
        </w:rPr>
        <w:t>)</w:t>
      </w:r>
      <w:r>
        <w:rPr>
          <w:rFonts w:ascii="楷体_GB2312" w:eastAsia="楷体_GB2312" w:hAnsi="楷体_GB2312" w:cs="楷体_GB2312"/>
          <w:color w:val="000000"/>
          <w:szCs w:val="32"/>
        </w:rPr>
        <w:t>非临床资料</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1.</w:t>
      </w:r>
      <w:r>
        <w:rPr>
          <w:rFonts w:eastAsia="仿宋_GB2312"/>
          <w:snapToGrid w:val="0"/>
          <w:kern w:val="0"/>
          <w:szCs w:val="32"/>
          <w:lang w:val="zh-CN"/>
        </w:rPr>
        <w:t>产品风险管理资料</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依据</w:t>
      </w:r>
      <w:r>
        <w:rPr>
          <w:rFonts w:eastAsia="仿宋_GB2312"/>
          <w:snapToGrid w:val="0"/>
          <w:kern w:val="0"/>
          <w:szCs w:val="32"/>
          <w:lang w:val="zh-CN"/>
        </w:rPr>
        <w:t xml:space="preserve">GB/T </w:t>
      </w:r>
      <w:r>
        <w:rPr>
          <w:rFonts w:eastAsia="仿宋_GB2312"/>
          <w:snapToGrid w:val="0"/>
          <w:kern w:val="0"/>
          <w:szCs w:val="32"/>
          <w:lang w:val="zh-CN"/>
        </w:rPr>
        <w:t>42062</w:t>
      </w:r>
      <w:r>
        <w:rPr>
          <w:rFonts w:eastAsia="仿宋_GB2312"/>
          <w:snapToGrid w:val="0"/>
          <w:kern w:val="0"/>
          <w:szCs w:val="32"/>
          <w:lang w:val="zh-CN"/>
        </w:rPr>
        <w:t>，提供产品风险管理报告。风险管理活</w:t>
      </w:r>
      <w:r>
        <w:rPr>
          <w:rFonts w:eastAsia="仿宋_GB2312"/>
          <w:snapToGrid w:val="0"/>
          <w:kern w:val="0"/>
          <w:szCs w:val="32"/>
          <w:lang w:val="zh-CN"/>
        </w:rPr>
        <w:lastRenderedPageBreak/>
        <w:t>动要贯穿产品设计、生产、上市后使用及产品处理的整个生命周期。风险管理报告可包含风险分析、风险评价、风险控制、风险监测。审查要点包括：</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w:t>
      </w:r>
      <w:r>
        <w:rPr>
          <w:rFonts w:eastAsia="仿宋_GB2312"/>
          <w:snapToGrid w:val="0"/>
          <w:kern w:val="0"/>
          <w:szCs w:val="32"/>
          <w:lang w:val="zh-CN"/>
        </w:rPr>
        <w:t>1</w:t>
      </w:r>
      <w:r>
        <w:rPr>
          <w:rFonts w:eastAsia="仿宋_GB2312"/>
          <w:snapToGrid w:val="0"/>
          <w:kern w:val="0"/>
          <w:szCs w:val="32"/>
          <w:lang w:val="zh-CN"/>
        </w:rPr>
        <w:t>）是否正确识别与产品安全有关的特征。</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w:t>
      </w:r>
      <w:r>
        <w:rPr>
          <w:rFonts w:eastAsia="仿宋_GB2312"/>
          <w:snapToGrid w:val="0"/>
          <w:kern w:val="0"/>
          <w:szCs w:val="32"/>
          <w:lang w:val="zh-CN"/>
        </w:rPr>
        <w:t>2</w:t>
      </w:r>
      <w:r>
        <w:rPr>
          <w:rFonts w:eastAsia="仿宋_GB2312"/>
          <w:snapToGrid w:val="0"/>
          <w:kern w:val="0"/>
          <w:szCs w:val="32"/>
          <w:lang w:val="zh-CN"/>
        </w:rPr>
        <w:t>）是否系统识别正常和故障两种条件下的可预见危险（源）。</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w:t>
      </w:r>
      <w:r>
        <w:rPr>
          <w:rFonts w:eastAsia="仿宋_GB2312"/>
          <w:snapToGrid w:val="0"/>
          <w:kern w:val="0"/>
          <w:szCs w:val="32"/>
          <w:lang w:val="zh-CN"/>
        </w:rPr>
        <w:t>3</w:t>
      </w:r>
      <w:r>
        <w:rPr>
          <w:rFonts w:eastAsia="仿宋_GB2312"/>
          <w:snapToGrid w:val="0"/>
          <w:kern w:val="0"/>
          <w:szCs w:val="32"/>
          <w:lang w:val="zh-CN"/>
        </w:rPr>
        <w:t>）是否利用风险管理计划中规定的可接受准则，对风险进行评价并进行风险控制，也包括综合剩余风险的可接受性评价及生产和生产后监视相关方法。</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附件</w:t>
      </w:r>
      <w:r>
        <w:rPr>
          <w:rFonts w:eastAsia="仿宋_GB2312"/>
          <w:snapToGrid w:val="0"/>
          <w:kern w:val="0"/>
          <w:szCs w:val="32"/>
        </w:rPr>
        <w:t>1</w:t>
      </w:r>
      <w:r>
        <w:rPr>
          <w:rFonts w:eastAsia="仿宋_GB2312"/>
          <w:snapToGrid w:val="0"/>
          <w:kern w:val="0"/>
          <w:szCs w:val="32"/>
          <w:lang w:val="zh-CN"/>
        </w:rPr>
        <w:t>给出了牵引床常见的可预见事件序列、危险情况和可能的伤害示例。由于产品的工作原理、结构组成</w:t>
      </w:r>
      <w:r>
        <w:rPr>
          <w:rFonts w:eastAsia="仿宋_GB2312"/>
          <w:snapToGrid w:val="0"/>
          <w:kern w:val="0"/>
          <w:szCs w:val="32"/>
          <w:lang w:val="zh-CN"/>
        </w:rPr>
        <w:t>、性能指标等存在差异，所以这些风险要素并不是全部，注册申请人应在产品整个生命周期内建立、形成文件并保持一个持续的过程，用以判定与医疗器械有关的危险（源）、估计和评价相关的风险、控制这些风险并监视上述控制的有效性，以充分保证产品的安全和有效。</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能量危害</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电能：电动牵引床产品漏电流、电介质强度、接地阻抗等不符合医疗器械产品电气安全要求。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电磁能：电动牵引床产品不满足医疗器械产品电磁兼容性要求，特别是在电磁干扰条件下，出现产品性能的改变，如：意外运动、非预期的牵引力改变等。</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机械能：牵引床的受力部件能力丧失，如：</w:t>
      </w:r>
      <w:r>
        <w:rPr>
          <w:rFonts w:eastAsia="仿宋_GB2312"/>
          <w:snapToGrid w:val="0"/>
          <w:kern w:val="0"/>
          <w:szCs w:val="32"/>
          <w:lang w:val="zh-CN"/>
        </w:rPr>
        <w:t>牵引绳变形或断裂、传动机构变形或断裂、患者固定带脱开，导致患者牵引状态发生意外改变，牵引后不回位。</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声能：主要指噪声引起的危害。</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lastRenderedPageBreak/>
        <w:t>生物学危害</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与患者接触部分的材料不能满足生物相容性要求，对患者造成过敏、刺激、细胞毒性等问题。</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信息危害</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电动牵引床控制系统标识缺失或不正确，导致操作者错误设定牵引力，牵引方向及角度，牵引速度等。</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未明确产品预期使用环境、操作人员、适用范围及适应症等内容，造成产品的误用。</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未明确产品使用寿命和产品维护检查期限，造成产品超出安全使用期限误用。</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牵引力变化速率过快的危害</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牵引力变化速率过快属于牵引床产品的重大风险来源，牵引速度过快会降低患者自身抵抗牵引力冲击的能力和对疼痛感的反应时间，同时也会降低操作者反应时间，故在风险分析时应对牵引力变化速率的设定和临床及理论依据予以重点评估。</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2</w:t>
      </w:r>
      <w:r>
        <w:rPr>
          <w:rFonts w:eastAsia="仿宋_GB2312"/>
          <w:snapToGrid w:val="0"/>
          <w:kern w:val="0"/>
          <w:szCs w:val="32"/>
        </w:rPr>
        <w:t>.</w:t>
      </w:r>
      <w:r>
        <w:rPr>
          <w:rFonts w:eastAsia="仿宋_GB2312"/>
          <w:snapToGrid w:val="0"/>
          <w:kern w:val="0"/>
          <w:szCs w:val="32"/>
          <w:lang w:val="zh-CN"/>
        </w:rPr>
        <w:t>医疗器械安全和性能基本原则清单</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参考《医疗器械安全和性能基本原则符合性技术指南》的要求，明确《医疗器械安全和性能基本原则清单》中各项要求的适用性。对于不适用的要求，应当逐项说明不适用的理由。对于适用的要求，应逐项说明为符合要求所采用的方法，以及证明其符合性的文件。对于包含在产品注册申报资料中的</w:t>
      </w:r>
      <w:r>
        <w:rPr>
          <w:rFonts w:eastAsia="仿宋_GB2312"/>
          <w:snapToGrid w:val="0"/>
          <w:kern w:val="0"/>
          <w:szCs w:val="32"/>
          <w:lang w:val="zh-CN"/>
        </w:rPr>
        <w:t>文件，应当说明其在申报资料中的具体位置；对于未包含在产品注册申报资料中的文件，应当注明该证据文件名称及其在质量管理体系文件中的编号备查。</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3.</w:t>
      </w:r>
      <w:r>
        <w:rPr>
          <w:rFonts w:eastAsia="仿宋_GB2312"/>
          <w:snapToGrid w:val="0"/>
          <w:kern w:val="0"/>
          <w:szCs w:val="32"/>
          <w:lang w:val="zh-CN"/>
        </w:rPr>
        <w:t>产品技术要求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lastRenderedPageBreak/>
        <w:t>按照《医疗器械产品技术要求编写指导原则》进行编制。根据产品的技术特点制定相应的技术要求，但性能指标不得低于相关国家标准、行业标准的有关要求，如有不适用条款，应说明理由。</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产品技术要求应明确产品规格型号及划分说明。存在多种型号的，应明确不同型号之间的差异。若产品包含软件组件，应注明软件发布版本、软件版本命名规则，其中软件版本命名规则需与质量管理体系保持一致</w:t>
      </w:r>
      <w:r>
        <w:rPr>
          <w:rFonts w:eastAsia="仿宋_GB2312"/>
          <w:snapToGrid w:val="0"/>
          <w:kern w:val="0"/>
          <w:szCs w:val="32"/>
          <w:lang w:val="zh-CN"/>
        </w:rPr>
        <w:t>。</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3.1</w:t>
      </w:r>
      <w:r>
        <w:rPr>
          <w:rFonts w:eastAsia="仿宋_GB2312"/>
          <w:snapToGrid w:val="0"/>
          <w:kern w:val="0"/>
          <w:szCs w:val="32"/>
          <w:lang w:val="zh-CN"/>
        </w:rPr>
        <w:t>电动牵引床主要性能指标</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电动牵引床考参考</w:t>
      </w:r>
      <w:r>
        <w:rPr>
          <w:rFonts w:eastAsia="仿宋_GB2312"/>
          <w:snapToGrid w:val="0"/>
          <w:kern w:val="0"/>
          <w:szCs w:val="32"/>
          <w:lang w:val="zh-CN"/>
        </w:rPr>
        <w:t>YY/T 0697</w:t>
      </w:r>
      <w:r>
        <w:rPr>
          <w:rFonts w:eastAsia="仿宋_GB2312"/>
          <w:snapToGrid w:val="0"/>
          <w:kern w:val="0"/>
          <w:szCs w:val="32"/>
          <w:lang w:val="zh-CN"/>
        </w:rPr>
        <w:t>和</w:t>
      </w:r>
      <w:r>
        <w:rPr>
          <w:rFonts w:eastAsia="仿宋_GB2312"/>
          <w:snapToGrid w:val="0"/>
          <w:kern w:val="0"/>
          <w:szCs w:val="32"/>
          <w:lang w:val="zh-CN"/>
        </w:rPr>
        <w:t>YY</w:t>
      </w:r>
      <w:r>
        <w:rPr>
          <w:rFonts w:eastAsia="仿宋_GB2312"/>
          <w:snapToGrid w:val="0"/>
          <w:kern w:val="0"/>
          <w:szCs w:val="32"/>
        </w:rPr>
        <w:t>/</w:t>
      </w:r>
      <w:r>
        <w:rPr>
          <w:rFonts w:eastAsia="仿宋_GB2312"/>
          <w:snapToGrid w:val="0"/>
          <w:kern w:val="0"/>
          <w:szCs w:val="32"/>
          <w:lang w:val="zh-CN"/>
        </w:rPr>
        <w:t>T 1491</w:t>
      </w:r>
      <w:r>
        <w:rPr>
          <w:rFonts w:eastAsia="仿宋_GB2312"/>
          <w:snapToGrid w:val="0"/>
          <w:kern w:val="0"/>
          <w:szCs w:val="32"/>
          <w:lang w:val="zh-CN"/>
        </w:rPr>
        <w:t>制定性能指标。主要性能指标如下：</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3.1.1</w:t>
      </w:r>
      <w:r>
        <w:rPr>
          <w:rFonts w:eastAsia="仿宋_GB2312"/>
          <w:snapToGrid w:val="0"/>
          <w:kern w:val="0"/>
          <w:szCs w:val="32"/>
          <w:lang w:val="zh-CN"/>
        </w:rPr>
        <w:t>牵引模式：应制定内置模式、自定义模式（若适用）、输出指示、数据公布的要求。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3.1.2</w:t>
      </w:r>
      <w:r>
        <w:rPr>
          <w:rFonts w:eastAsia="仿宋_GB2312"/>
          <w:snapToGrid w:val="0"/>
          <w:kern w:val="0"/>
          <w:szCs w:val="32"/>
          <w:lang w:val="zh-CN"/>
        </w:rPr>
        <w:t>牵引力：应制定牵引力设置、输出准确性、输出稳定性、输出限值、监测准确性（若适用）、牵引力变化速率、危险输出的防止（若适用）的要求。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3.1.3</w:t>
      </w:r>
      <w:r>
        <w:rPr>
          <w:rFonts w:eastAsia="仿宋_GB2312"/>
          <w:snapToGrid w:val="0"/>
          <w:kern w:val="0"/>
          <w:szCs w:val="32"/>
        </w:rPr>
        <w:t>设备其他指标：</w:t>
      </w:r>
      <w:r>
        <w:rPr>
          <w:rFonts w:eastAsia="仿宋_GB2312"/>
          <w:snapToGrid w:val="0"/>
          <w:kern w:val="0"/>
          <w:szCs w:val="32"/>
          <w:lang w:val="zh-CN"/>
        </w:rPr>
        <w:t>应制定计时、紧急保护措施、角度牵引（如适用）、工作噪声、外观及结构的要求。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3.1.4</w:t>
      </w:r>
      <w:r>
        <w:rPr>
          <w:rFonts w:eastAsia="仿宋_GB2312"/>
          <w:snapToGrid w:val="0"/>
          <w:kern w:val="0"/>
          <w:szCs w:val="32"/>
          <w:lang w:val="zh-CN"/>
        </w:rPr>
        <w:t>牵引用床：应制定规格尺寸、运动角度（若适用）、运动速度（若适用）、腿板（若适用）、头板（若适用）、稳定性、承载、连接牢固度的要求。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3.1.5</w:t>
      </w:r>
      <w:r>
        <w:rPr>
          <w:rFonts w:eastAsia="仿宋_GB2312"/>
          <w:snapToGrid w:val="0"/>
          <w:kern w:val="0"/>
          <w:szCs w:val="32"/>
          <w:lang w:val="zh-CN"/>
        </w:rPr>
        <w:t>固定带：应制定承载、耐用性、可靠性、锁扣牢固度、连接件的要求。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3.1.6</w:t>
      </w:r>
      <w:r>
        <w:rPr>
          <w:rFonts w:eastAsia="仿宋_GB2312"/>
          <w:snapToGrid w:val="0"/>
          <w:kern w:val="0"/>
          <w:szCs w:val="32"/>
          <w:lang w:val="zh-CN"/>
        </w:rPr>
        <w:t>应制定固定架的要求（若适用）。</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3.1.7</w:t>
      </w:r>
      <w:r>
        <w:rPr>
          <w:rFonts w:eastAsia="仿宋_GB2312"/>
          <w:snapToGrid w:val="0"/>
          <w:kern w:val="0"/>
          <w:szCs w:val="32"/>
          <w:lang w:val="zh-CN"/>
        </w:rPr>
        <w:t>滑轮（若适用）：应制定稳定性、保护装置、检查与维护的要求。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lastRenderedPageBreak/>
        <w:t>3.1.8</w:t>
      </w:r>
      <w:r>
        <w:rPr>
          <w:rFonts w:eastAsia="仿宋_GB2312"/>
          <w:snapToGrid w:val="0"/>
          <w:kern w:val="0"/>
          <w:szCs w:val="32"/>
          <w:lang w:val="zh-CN"/>
        </w:rPr>
        <w:t>外观：应包含牵引用床、固定带、软包、突出物外观的要求。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3.1.9</w:t>
      </w:r>
      <w:r>
        <w:rPr>
          <w:rFonts w:eastAsia="仿宋_GB2312"/>
          <w:snapToGrid w:val="0"/>
          <w:kern w:val="0"/>
          <w:szCs w:val="32"/>
          <w:lang w:val="zh-CN"/>
        </w:rPr>
        <w:t>软件：应按照《医疗器械软件注册技术审查指导原则》</w:t>
      </w:r>
      <w:r>
        <w:rPr>
          <w:rFonts w:eastAsia="仿宋_GB2312"/>
          <w:snapToGrid w:val="0"/>
          <w:kern w:val="0"/>
          <w:szCs w:val="32"/>
          <w:lang w:val="zh-CN"/>
        </w:rPr>
        <w:t>(2022</w:t>
      </w:r>
      <w:r>
        <w:rPr>
          <w:rFonts w:eastAsia="仿宋_GB2312"/>
          <w:snapToGrid w:val="0"/>
          <w:kern w:val="0"/>
          <w:szCs w:val="32"/>
          <w:lang w:val="zh-CN"/>
        </w:rPr>
        <w:t>年修订版</w:t>
      </w:r>
      <w:r>
        <w:rPr>
          <w:rFonts w:eastAsia="仿宋_GB2312"/>
          <w:snapToGrid w:val="0"/>
          <w:kern w:val="0"/>
          <w:szCs w:val="32"/>
          <w:lang w:val="zh-CN"/>
        </w:rPr>
        <w:t>)</w:t>
      </w:r>
      <w:r>
        <w:rPr>
          <w:rFonts w:eastAsia="仿宋_GB2312"/>
          <w:snapToGrid w:val="0"/>
          <w:kern w:val="0"/>
          <w:szCs w:val="32"/>
          <w:lang w:val="zh-CN"/>
        </w:rPr>
        <w:t>列明软件性能指标。</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3.1.10</w:t>
      </w:r>
      <w:r>
        <w:rPr>
          <w:rFonts w:eastAsia="仿宋_GB2312"/>
          <w:snapToGrid w:val="0"/>
          <w:kern w:val="0"/>
          <w:szCs w:val="32"/>
          <w:lang w:val="zh-CN"/>
        </w:rPr>
        <w:t>电气安全：通用安全</w:t>
      </w:r>
      <w:r>
        <w:rPr>
          <w:rFonts w:eastAsia="仿宋_GB2312"/>
          <w:snapToGrid w:val="0"/>
          <w:kern w:val="0"/>
          <w:szCs w:val="32"/>
          <w:lang w:val="zh-CN"/>
        </w:rPr>
        <w:t>应符合</w:t>
      </w:r>
      <w:r>
        <w:rPr>
          <w:rFonts w:eastAsia="仿宋_GB2312"/>
          <w:snapToGrid w:val="0"/>
          <w:kern w:val="0"/>
          <w:szCs w:val="32"/>
          <w:lang w:val="zh-CN"/>
        </w:rPr>
        <w:t>GB 9706.1</w:t>
      </w:r>
      <w:r>
        <w:rPr>
          <w:rFonts w:eastAsia="仿宋_GB2312"/>
          <w:snapToGrid w:val="0"/>
          <w:kern w:val="0"/>
          <w:szCs w:val="32"/>
          <w:lang w:val="zh-CN"/>
        </w:rPr>
        <w:t>标准的要求。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3.1.11</w:t>
      </w:r>
      <w:r>
        <w:rPr>
          <w:rFonts w:eastAsia="仿宋_GB2312"/>
          <w:snapToGrid w:val="0"/>
          <w:kern w:val="0"/>
          <w:szCs w:val="32"/>
          <w:lang w:val="zh-CN"/>
        </w:rPr>
        <w:t>电磁兼容性：应符合</w:t>
      </w:r>
      <w:r>
        <w:rPr>
          <w:rFonts w:eastAsia="仿宋_GB2312"/>
          <w:snapToGrid w:val="0"/>
          <w:kern w:val="0"/>
          <w:szCs w:val="32"/>
          <w:lang w:val="zh-CN"/>
        </w:rPr>
        <w:t>YY 9706.102</w:t>
      </w:r>
      <w:r>
        <w:rPr>
          <w:rFonts w:eastAsia="仿宋_GB2312"/>
          <w:snapToGrid w:val="0"/>
          <w:kern w:val="0"/>
          <w:szCs w:val="32"/>
          <w:lang w:val="zh-CN"/>
        </w:rPr>
        <w:t>标准的要求。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3.1.12</w:t>
      </w:r>
      <w:r>
        <w:rPr>
          <w:rFonts w:eastAsia="仿宋_GB2312"/>
          <w:snapToGrid w:val="0"/>
          <w:kern w:val="0"/>
          <w:szCs w:val="32"/>
        </w:rPr>
        <w:t>如有附加功能应根据临床功能补充相应性能指标，符合相关标准要求。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3.2</w:t>
      </w:r>
      <w:r>
        <w:rPr>
          <w:rFonts w:eastAsia="仿宋_GB2312"/>
          <w:snapToGrid w:val="0"/>
          <w:kern w:val="0"/>
          <w:szCs w:val="32"/>
          <w:lang w:val="zh-CN"/>
        </w:rPr>
        <w:t>手动牵引床主要性能指标</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rPr>
        <w:t>3.2.1</w:t>
      </w:r>
      <w:r>
        <w:rPr>
          <w:rFonts w:eastAsia="仿宋_GB2312"/>
          <w:snapToGrid w:val="0"/>
          <w:kern w:val="0"/>
          <w:szCs w:val="32"/>
          <w:lang w:val="zh-CN"/>
        </w:rPr>
        <w:t>牵引力：应制定最大牵引距离或最大牵引力、</w:t>
      </w:r>
      <w:r>
        <w:rPr>
          <w:rFonts w:eastAsia="仿宋_GB2312"/>
          <w:snapToGrid w:val="0"/>
          <w:kern w:val="0"/>
          <w:szCs w:val="32"/>
        </w:rPr>
        <w:t>测力计测量范围（</w:t>
      </w:r>
      <w:r>
        <w:rPr>
          <w:rFonts w:eastAsia="仿宋_GB2312"/>
          <w:snapToGrid w:val="0"/>
          <w:kern w:val="0"/>
          <w:szCs w:val="32"/>
          <w:lang w:val="zh-CN"/>
        </w:rPr>
        <w:t>若适用</w:t>
      </w:r>
      <w:r>
        <w:rPr>
          <w:rFonts w:eastAsia="仿宋_GB2312"/>
          <w:snapToGrid w:val="0"/>
          <w:kern w:val="0"/>
          <w:szCs w:val="32"/>
        </w:rPr>
        <w:t>）、测量准确性、测量稳定性</w:t>
      </w:r>
      <w:r>
        <w:rPr>
          <w:rFonts w:eastAsia="仿宋_GB2312"/>
          <w:snapToGrid w:val="0"/>
          <w:kern w:val="0"/>
          <w:szCs w:val="32"/>
          <w:lang w:val="zh-CN"/>
        </w:rPr>
        <w:t>的要求</w:t>
      </w:r>
      <w:r>
        <w:rPr>
          <w:rFonts w:eastAsia="仿宋_GB2312"/>
          <w:snapToGrid w:val="0"/>
          <w:kern w:val="0"/>
          <w:szCs w:val="32"/>
        </w:rPr>
        <w:t>。</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3.2.2</w:t>
      </w:r>
      <w:r>
        <w:rPr>
          <w:rFonts w:eastAsia="仿宋_GB2312"/>
          <w:snapToGrid w:val="0"/>
          <w:kern w:val="0"/>
          <w:szCs w:val="32"/>
          <w:lang w:val="zh-CN"/>
        </w:rPr>
        <w:t>牵引用床：应制定规格尺寸</w:t>
      </w:r>
      <w:r>
        <w:rPr>
          <w:rFonts w:eastAsia="仿宋_GB2312"/>
          <w:snapToGrid w:val="0"/>
          <w:kern w:val="0"/>
          <w:szCs w:val="32"/>
        </w:rPr>
        <w:t>、</w:t>
      </w:r>
      <w:r>
        <w:rPr>
          <w:rFonts w:eastAsia="仿宋_GB2312"/>
          <w:snapToGrid w:val="0"/>
          <w:kern w:val="0"/>
          <w:szCs w:val="32"/>
          <w:lang w:val="zh-CN"/>
        </w:rPr>
        <w:t>腿板使用性（若适用）、</w:t>
      </w:r>
      <w:r>
        <w:rPr>
          <w:rFonts w:eastAsia="仿宋_GB2312"/>
          <w:snapToGrid w:val="0"/>
          <w:kern w:val="0"/>
          <w:szCs w:val="32"/>
        </w:rPr>
        <w:t>头板</w:t>
      </w:r>
      <w:r>
        <w:rPr>
          <w:rFonts w:eastAsia="仿宋_GB2312"/>
          <w:snapToGrid w:val="0"/>
          <w:kern w:val="0"/>
          <w:szCs w:val="32"/>
          <w:lang w:val="zh-CN"/>
        </w:rPr>
        <w:t>使用性</w:t>
      </w:r>
      <w:r>
        <w:rPr>
          <w:rFonts w:eastAsia="仿宋_GB2312"/>
          <w:snapToGrid w:val="0"/>
          <w:kern w:val="0"/>
          <w:szCs w:val="32"/>
        </w:rPr>
        <w:t>（</w:t>
      </w:r>
      <w:r>
        <w:rPr>
          <w:rFonts w:eastAsia="仿宋_GB2312"/>
          <w:snapToGrid w:val="0"/>
          <w:kern w:val="0"/>
          <w:szCs w:val="32"/>
          <w:lang w:val="zh-CN"/>
        </w:rPr>
        <w:t>若适用</w:t>
      </w:r>
      <w:r>
        <w:rPr>
          <w:rFonts w:eastAsia="仿宋_GB2312"/>
          <w:snapToGrid w:val="0"/>
          <w:kern w:val="0"/>
          <w:szCs w:val="32"/>
        </w:rPr>
        <w:t>）、</w:t>
      </w:r>
      <w:r>
        <w:rPr>
          <w:rFonts w:eastAsia="仿宋_GB2312"/>
          <w:snapToGrid w:val="0"/>
          <w:kern w:val="0"/>
          <w:szCs w:val="32"/>
          <w:lang w:val="zh-CN"/>
        </w:rPr>
        <w:t>稳定性、承载、连接牢固度的要求。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3.2.3</w:t>
      </w:r>
      <w:r>
        <w:rPr>
          <w:rFonts w:eastAsia="仿宋_GB2312"/>
          <w:snapToGrid w:val="0"/>
          <w:kern w:val="0"/>
          <w:szCs w:val="32"/>
          <w:lang w:val="zh-CN"/>
        </w:rPr>
        <w:t>固定带：应制定承载、耐用性、可靠性、锁扣牢固度、连接件的要求。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3.2.4</w:t>
      </w:r>
      <w:r>
        <w:rPr>
          <w:rFonts w:eastAsia="仿宋_GB2312"/>
          <w:snapToGrid w:val="0"/>
          <w:kern w:val="0"/>
          <w:szCs w:val="32"/>
        </w:rPr>
        <w:t>其他</w:t>
      </w:r>
      <w:r>
        <w:rPr>
          <w:rFonts w:eastAsia="仿宋_GB2312"/>
          <w:snapToGrid w:val="0"/>
          <w:kern w:val="0"/>
          <w:szCs w:val="32"/>
          <w:lang w:val="zh-CN"/>
        </w:rPr>
        <w:t>（若适用）：应制定固定架、滑轮或弹簧使用性能的要求。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3.2.5</w:t>
      </w:r>
      <w:r>
        <w:rPr>
          <w:rFonts w:eastAsia="仿宋_GB2312"/>
          <w:snapToGrid w:val="0"/>
          <w:kern w:val="0"/>
          <w:szCs w:val="32"/>
          <w:lang w:val="zh-CN"/>
        </w:rPr>
        <w:t>外观：应包含牵引用床、固定带、软包、突出物外观的要求。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4</w:t>
      </w:r>
      <w:r>
        <w:rPr>
          <w:rFonts w:eastAsia="仿宋_GB2312"/>
          <w:snapToGrid w:val="0"/>
          <w:kern w:val="0"/>
          <w:szCs w:val="32"/>
          <w:lang w:val="zh-CN"/>
        </w:rPr>
        <w:t>.</w:t>
      </w:r>
      <w:r>
        <w:rPr>
          <w:rFonts w:eastAsia="仿宋_GB2312"/>
          <w:snapToGrid w:val="0"/>
          <w:kern w:val="0"/>
          <w:szCs w:val="32"/>
          <w:lang w:val="zh-CN"/>
        </w:rPr>
        <w:t>产品检验报告</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注册申请人应按照产品技术要求进行检验，并提交检验报告。应说明检验用型号规格的典型性。</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典型型号产品原则上应是同一注册单元内能够代表本单元内其他产品安全性和有效性的产品，应考虑功能最齐全、结构组成最复杂、风险最高的产品。如果典型型号产品不能覆盖其他型号的全部性能指标和安全指标，则可对不能覆盖</w:t>
      </w:r>
      <w:r>
        <w:rPr>
          <w:rFonts w:eastAsia="仿宋_GB2312"/>
          <w:snapToGrid w:val="0"/>
          <w:kern w:val="0"/>
          <w:szCs w:val="32"/>
          <w:lang w:val="zh-CN"/>
        </w:rPr>
        <w:lastRenderedPageBreak/>
        <w:t>的部分指标进行差异检测。</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5</w:t>
      </w:r>
      <w:r>
        <w:rPr>
          <w:rFonts w:eastAsia="仿宋_GB2312"/>
          <w:snapToGrid w:val="0"/>
          <w:kern w:val="0"/>
          <w:szCs w:val="32"/>
          <w:lang w:val="zh-CN"/>
        </w:rPr>
        <w:t>.</w:t>
      </w:r>
      <w:r>
        <w:rPr>
          <w:rFonts w:eastAsia="仿宋_GB2312"/>
          <w:snapToGrid w:val="0"/>
          <w:kern w:val="0"/>
          <w:szCs w:val="32"/>
          <w:lang w:val="zh-CN"/>
        </w:rPr>
        <w:t>研究资料</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5.1</w:t>
      </w:r>
      <w:r>
        <w:rPr>
          <w:rFonts w:eastAsia="仿宋_GB2312"/>
          <w:snapToGrid w:val="0"/>
          <w:kern w:val="0"/>
          <w:szCs w:val="32"/>
        </w:rPr>
        <w:t>产品</w:t>
      </w:r>
      <w:r>
        <w:rPr>
          <w:rFonts w:eastAsia="仿宋_GB2312"/>
          <w:snapToGrid w:val="0"/>
          <w:kern w:val="0"/>
          <w:szCs w:val="32"/>
          <w:lang w:val="zh-CN"/>
        </w:rPr>
        <w:t>性能研究</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应根据产品</w:t>
      </w:r>
      <w:r>
        <w:rPr>
          <w:rFonts w:eastAsia="仿宋_GB2312"/>
          <w:snapToGrid w:val="0"/>
          <w:kern w:val="0"/>
          <w:szCs w:val="32"/>
          <w:lang w:val="zh-CN"/>
        </w:rPr>
        <w:t>的工作原理详述性能指标的确定依据。产品性能指标的确定依据应明确、具体，并应描述其所考虑的实际临床应用出发点，以及相关指标和临床使用的关联性。还应考虑设计输入来源以及临床意义，明确申报产品所采用的标准或方法、采用的原因及理论基础。注册申请人还可根据产品自身特点引用其他相关的标准（国际标准、行业标准等）。若适用的强制性标准中有不适用的条款，还应说明不适用理由。</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电动牵引床应对牵引力变化速率，紧急状态下牵引力松弛和回退力进行研究，并提供其确定依据及相关验证资料。</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应提供紧急保护措施研究，详述紧急停止控制原理，操作方法及患者安全性保护措施，并提供确定依据及相关验证资料。</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应详细提供牵引模式中各个阶段（如渐进期、牵引相、间歇相、渐退期）的确定依据及相关验证资料。建议结合各种牵引模式的牵引力大小、牵引时间长短和牵引速度快慢等内容进行分析。</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如产品具有特殊牵引模式，应提供各模式的牵引力、牵引速度及牵引范围（如角度或转动范围）的确定依据及相关验证资料。</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手动牵引床应提供最大运动距离或最大牵引力研究，并提供确定依据及相关验证资料。</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如申报产品预期与其他医疗器械、药品、非医疗器械</w:t>
      </w:r>
      <w:r>
        <w:rPr>
          <w:rFonts w:eastAsia="仿宋_GB2312"/>
          <w:snapToGrid w:val="0"/>
          <w:kern w:val="0"/>
          <w:szCs w:val="32"/>
          <w:lang w:val="zh-CN"/>
        </w:rPr>
        <w:t>产</w:t>
      </w:r>
      <w:r>
        <w:rPr>
          <w:rFonts w:eastAsia="仿宋_GB2312"/>
          <w:snapToGrid w:val="0"/>
          <w:kern w:val="0"/>
          <w:szCs w:val="32"/>
          <w:lang w:val="zh-CN"/>
        </w:rPr>
        <w:lastRenderedPageBreak/>
        <w:t>品联合使用实现同一预期用途，应当提供证明联合使用安全有效的研究资料，包括互联基本信息（连接类型、接口、协议、最低性能）、联合使用风险及控制措施、联合使用上的限制、兼容性研究等。</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lang w:val="zh-CN"/>
        </w:rPr>
        <w:t>申报产品若同时具备其他功能，应提交详细资料说明工作原理并提交相应的验证资料。</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5.2</w:t>
      </w:r>
      <w:r>
        <w:rPr>
          <w:rFonts w:eastAsia="仿宋_GB2312"/>
          <w:snapToGrid w:val="0"/>
          <w:kern w:val="0"/>
          <w:szCs w:val="32"/>
          <w:lang w:val="zh-CN"/>
        </w:rPr>
        <w:t>电气系统安全性研究</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电动牵引床应提供电气安全性、机械和环境保护以及电磁兼容性的研究资料，说明适用的标准以及开展的研究。</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5.3</w:t>
      </w:r>
      <w:r>
        <w:rPr>
          <w:rFonts w:eastAsia="仿宋_GB2312"/>
          <w:snapToGrid w:val="0"/>
          <w:kern w:val="0"/>
          <w:szCs w:val="32"/>
          <w:lang w:val="zh-CN"/>
        </w:rPr>
        <w:t>软件研究</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电动牵引床若包含软件组件，应按照《医疗器械软件注册审查指导原则》（</w:t>
      </w:r>
      <w:r>
        <w:rPr>
          <w:rFonts w:eastAsia="仿宋_GB2312"/>
          <w:snapToGrid w:val="0"/>
          <w:kern w:val="0"/>
          <w:szCs w:val="32"/>
          <w:lang w:val="zh-CN"/>
        </w:rPr>
        <w:t>2022</w:t>
      </w:r>
      <w:r>
        <w:rPr>
          <w:rFonts w:eastAsia="仿宋_GB2312"/>
          <w:snapToGrid w:val="0"/>
          <w:kern w:val="0"/>
          <w:szCs w:val="32"/>
          <w:lang w:val="zh-CN"/>
        </w:rPr>
        <w:t>年修订版）的要求提交软件研究报告。</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应</w:t>
      </w:r>
      <w:r>
        <w:rPr>
          <w:rFonts w:eastAsia="仿宋_GB2312"/>
          <w:snapToGrid w:val="0"/>
          <w:kern w:val="0"/>
          <w:szCs w:val="32"/>
          <w:lang w:val="zh-CN"/>
        </w:rPr>
        <w:t>按照《医疗器械网络安全注册审查指导原则》（</w:t>
      </w:r>
      <w:r>
        <w:rPr>
          <w:rFonts w:eastAsia="仿宋_GB2312"/>
          <w:snapToGrid w:val="0"/>
          <w:kern w:val="0"/>
          <w:szCs w:val="32"/>
          <w:lang w:val="zh-CN"/>
        </w:rPr>
        <w:t>2022</w:t>
      </w:r>
      <w:r>
        <w:rPr>
          <w:rFonts w:eastAsia="仿宋_GB2312"/>
          <w:snapToGrid w:val="0"/>
          <w:kern w:val="0"/>
          <w:szCs w:val="32"/>
          <w:lang w:val="zh-CN"/>
        </w:rPr>
        <w:t>年修订版）（如适用）的要求提交网络安全研究报告。</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5.4</w:t>
      </w:r>
      <w:r>
        <w:rPr>
          <w:rFonts w:eastAsia="仿宋_GB2312"/>
          <w:snapToGrid w:val="0"/>
          <w:kern w:val="0"/>
          <w:szCs w:val="32"/>
          <w:lang w:val="zh-CN"/>
        </w:rPr>
        <w:t>生物学特性研究</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牵引床的床面、固定带、固定架等部件可能会与患者的表面完好皮肤存在短期（</w:t>
      </w:r>
      <w:r>
        <w:rPr>
          <w:rFonts w:eastAsia="仿宋_GB2312"/>
          <w:snapToGrid w:val="0"/>
          <w:kern w:val="0"/>
          <w:szCs w:val="32"/>
          <w:lang w:val="zh-CN"/>
        </w:rPr>
        <w:t>≤24h</w:t>
      </w:r>
      <w:r>
        <w:rPr>
          <w:rFonts w:eastAsia="仿宋_GB2312"/>
          <w:snapToGrid w:val="0"/>
          <w:kern w:val="0"/>
          <w:szCs w:val="32"/>
          <w:lang w:val="zh-CN"/>
        </w:rPr>
        <w:t>）直接接触，应进行生物相容性评价。生物相容性评价可根据</w:t>
      </w:r>
      <w:r>
        <w:rPr>
          <w:rFonts w:eastAsia="仿宋_GB2312"/>
          <w:snapToGrid w:val="0"/>
          <w:kern w:val="0"/>
          <w:szCs w:val="32"/>
          <w:lang w:val="zh-CN"/>
        </w:rPr>
        <w:t>GB/T 16886</w:t>
      </w:r>
      <w:r>
        <w:rPr>
          <w:rFonts w:eastAsia="仿宋_GB2312"/>
          <w:snapToGrid w:val="0"/>
          <w:kern w:val="0"/>
          <w:szCs w:val="32"/>
          <w:lang w:val="zh-CN"/>
        </w:rPr>
        <w:t>系列标准要求进行。应评价的项目至少包括：细胞毒性、致敏反应、刺激反应。</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目前市场上的牵引床产品的床体框架、固定架多为普通钢材或不锈钢制成；设备外壳一般为</w:t>
      </w:r>
      <w:r>
        <w:rPr>
          <w:rFonts w:eastAsia="仿宋_GB2312"/>
          <w:snapToGrid w:val="0"/>
          <w:kern w:val="0"/>
          <w:szCs w:val="32"/>
          <w:lang w:val="zh-CN"/>
        </w:rPr>
        <w:t>ABS</w:t>
      </w:r>
      <w:r>
        <w:rPr>
          <w:rFonts w:eastAsia="仿宋_GB2312"/>
          <w:snapToGrid w:val="0"/>
          <w:kern w:val="0"/>
          <w:szCs w:val="32"/>
          <w:lang w:val="zh-CN"/>
        </w:rPr>
        <w:t>材料或普通钢材制成；操作按键一般选用高分子材料（</w:t>
      </w:r>
      <w:r>
        <w:rPr>
          <w:rFonts w:eastAsia="仿宋_GB2312"/>
          <w:snapToGrid w:val="0"/>
          <w:kern w:val="0"/>
          <w:szCs w:val="32"/>
          <w:lang w:val="zh-CN"/>
        </w:rPr>
        <w:t>PET</w:t>
      </w:r>
      <w:r>
        <w:rPr>
          <w:rFonts w:eastAsia="仿宋_GB2312"/>
          <w:snapToGrid w:val="0"/>
          <w:kern w:val="0"/>
          <w:szCs w:val="32"/>
          <w:lang w:val="zh-CN"/>
        </w:rPr>
        <w:t>、</w:t>
      </w:r>
      <w:r>
        <w:rPr>
          <w:rFonts w:eastAsia="仿宋_GB2312"/>
          <w:snapToGrid w:val="0"/>
          <w:kern w:val="0"/>
          <w:szCs w:val="32"/>
          <w:lang w:val="zh-CN"/>
        </w:rPr>
        <w:t>PC</w:t>
      </w:r>
      <w:r>
        <w:rPr>
          <w:rFonts w:eastAsia="仿宋_GB2312"/>
          <w:snapToGrid w:val="0"/>
          <w:kern w:val="0"/>
          <w:szCs w:val="32"/>
          <w:lang w:val="zh-CN"/>
        </w:rPr>
        <w:t>、</w:t>
      </w:r>
      <w:r>
        <w:rPr>
          <w:rFonts w:eastAsia="仿宋_GB2312"/>
          <w:snapToGrid w:val="0"/>
          <w:kern w:val="0"/>
          <w:szCs w:val="32"/>
          <w:lang w:val="zh-CN"/>
        </w:rPr>
        <w:t>PVC</w:t>
      </w:r>
      <w:r>
        <w:rPr>
          <w:rFonts w:eastAsia="仿宋_GB2312"/>
          <w:snapToGrid w:val="0"/>
          <w:kern w:val="0"/>
          <w:szCs w:val="32"/>
          <w:lang w:val="zh-CN"/>
        </w:rPr>
        <w:t>或</w:t>
      </w:r>
      <w:r>
        <w:rPr>
          <w:rFonts w:eastAsia="仿宋_GB2312"/>
          <w:snapToGrid w:val="0"/>
          <w:kern w:val="0"/>
          <w:szCs w:val="32"/>
          <w:lang w:val="zh-CN"/>
        </w:rPr>
        <w:t>ABS</w:t>
      </w:r>
      <w:r>
        <w:rPr>
          <w:rFonts w:eastAsia="仿宋_GB2312"/>
          <w:snapToGrid w:val="0"/>
          <w:kern w:val="0"/>
          <w:szCs w:val="32"/>
          <w:lang w:val="zh-CN"/>
        </w:rPr>
        <w:t>）制成；固定带、床面多为皮革或布料制成；需电镀的部件镀层多为镀锌或镀铬；需喷涂的部件涂层多为环氧树脂材料。</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lastRenderedPageBreak/>
        <w:t>注册申请人应论证所使用材料的安全使用史，应能够说明制造上述部件时所用的原材料、化学物（助剂、添加剂等）和加工过程；应能够提供上述部件在同等接触条件或更为恶劣接触条件下的应用情况，或能够提供上述部件已经开展的符合生物相容性要求的评价资料。若上述</w:t>
      </w:r>
      <w:r>
        <w:rPr>
          <w:rFonts w:eastAsia="仿宋_GB2312"/>
          <w:snapToGrid w:val="0"/>
          <w:kern w:val="0"/>
          <w:szCs w:val="32"/>
          <w:lang w:val="zh-CN"/>
        </w:rPr>
        <w:t>部件为外购部件，可认可合格供方出具证明资料，证明其已经确立了安全使用史。（注：含有未经使用的新材料、化学物或加工过程的部件不适用于本条款。）</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若采用未确立安全使用史的新材料制造上述部件，则应按照</w:t>
      </w:r>
      <w:r>
        <w:rPr>
          <w:rFonts w:eastAsia="仿宋_GB2312"/>
          <w:snapToGrid w:val="0"/>
          <w:kern w:val="0"/>
          <w:szCs w:val="32"/>
          <w:lang w:val="zh-CN"/>
        </w:rPr>
        <w:t>GB/T 16886</w:t>
      </w:r>
      <w:r>
        <w:rPr>
          <w:rFonts w:eastAsia="仿宋_GB2312"/>
          <w:snapToGrid w:val="0"/>
          <w:kern w:val="0"/>
          <w:szCs w:val="32"/>
          <w:lang w:val="zh-CN"/>
        </w:rPr>
        <w:t>系列标准要求给出的生物学评价研究资料，必要时开展生物学试验。</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5.5</w:t>
      </w:r>
      <w:r>
        <w:rPr>
          <w:rFonts w:eastAsia="仿宋_GB2312"/>
          <w:snapToGrid w:val="0"/>
          <w:kern w:val="0"/>
          <w:szCs w:val="32"/>
          <w:lang w:val="zh-CN"/>
        </w:rPr>
        <w:t>清洁和消毒研究</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应当明确推荐的清洁和消毒工艺（方法和参数）、工艺的确定依据以及验证的相关研究资料。</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rPr>
        <w:t>5.6</w:t>
      </w:r>
      <w:r>
        <w:rPr>
          <w:rFonts w:eastAsia="仿宋_GB2312"/>
          <w:snapToGrid w:val="0"/>
          <w:kern w:val="0"/>
          <w:szCs w:val="32"/>
        </w:rPr>
        <w:t>可用性工程研究</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应参考《医疗器械可用性工程注册审查指导原则》，按照中、低使用风险医疗器械要求提交使用错误评估报告，包括基本信</w:t>
      </w:r>
      <w:r>
        <w:rPr>
          <w:rFonts w:eastAsia="仿宋_GB2312"/>
          <w:snapToGrid w:val="0"/>
          <w:kern w:val="0"/>
          <w:szCs w:val="32"/>
          <w:lang w:val="zh-CN"/>
        </w:rPr>
        <w:t>息、使用风险级别、核心要素、同类医疗器械上市后使用问题分析、使用风险管理、结论等内容。若前期已开展可用性工程工作，亦可提交可用性工程研究报告，用于替代使用错误评估报告。</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lang w:val="zh-CN"/>
        </w:rPr>
        <w:t>对于患者在专业医生的指导下使用的情况，需根据产品的特征、操作方法、周边环境等因素考虑在该情况下使用的风险，可开展相关研究。同时还应结合可预见的误操作、非常规使用、超范围使用等情形考虑产品的使用风险，设计必要的安全机制。</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lastRenderedPageBreak/>
        <w:t>5.7</w:t>
      </w:r>
      <w:r>
        <w:rPr>
          <w:rFonts w:eastAsia="仿宋_GB2312"/>
          <w:snapToGrid w:val="0"/>
          <w:kern w:val="0"/>
          <w:szCs w:val="32"/>
          <w:lang w:val="zh-CN"/>
        </w:rPr>
        <w:t>使用环境研究</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使用环境属于产品适用范围中很重要的一部分，取决于产品需求、设计以及所开展的相关验证确认工作。应基于产品</w:t>
      </w:r>
      <w:r>
        <w:rPr>
          <w:rFonts w:eastAsia="仿宋_GB2312"/>
          <w:snapToGrid w:val="0"/>
          <w:kern w:val="0"/>
          <w:szCs w:val="32"/>
          <w:lang w:val="zh-CN"/>
        </w:rPr>
        <w:t>的技术特点、操作人员等内容，结合产品临床使用风险，确定合理的预期使用环境，针对产品所宣称的预期使用环境，提供与之相适应的安全有效性验证资料。验证资料应充分考虑不同使用环境风险与受益情况。</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目前产品中，电动牵引床产品因其牵引力较大，产品具有多种牵引模式，具有较高风险，需由专业医务人员进行操作，应仅限在专业医疗机构环境下使用；手动牵引床一般牵引模式单一，需结合产品特点，考虑产品的使用风险，患者需在专业医生的指导下使用。</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6.</w:t>
      </w:r>
      <w:r>
        <w:rPr>
          <w:rFonts w:eastAsia="仿宋_GB2312"/>
          <w:snapToGrid w:val="0"/>
          <w:kern w:val="0"/>
          <w:szCs w:val="32"/>
          <w:lang w:val="zh-CN"/>
        </w:rPr>
        <w:t>稳定性研究</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6</w:t>
      </w:r>
      <w:r>
        <w:rPr>
          <w:rFonts w:eastAsia="仿宋_GB2312"/>
          <w:snapToGrid w:val="0"/>
          <w:kern w:val="0"/>
          <w:szCs w:val="32"/>
          <w:lang w:val="zh-CN"/>
        </w:rPr>
        <w:t>.1</w:t>
      </w:r>
      <w:r>
        <w:rPr>
          <w:rFonts w:eastAsia="仿宋_GB2312"/>
          <w:snapToGrid w:val="0"/>
          <w:kern w:val="0"/>
          <w:szCs w:val="32"/>
          <w:lang w:val="zh-CN"/>
        </w:rPr>
        <w:t>使用稳定性</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提供产品的使用稳定性</w:t>
      </w:r>
      <w:r>
        <w:rPr>
          <w:rFonts w:eastAsia="仿宋_GB2312"/>
          <w:snapToGrid w:val="0"/>
          <w:kern w:val="0"/>
          <w:szCs w:val="32"/>
        </w:rPr>
        <w:t>、</w:t>
      </w:r>
      <w:r>
        <w:rPr>
          <w:rFonts w:eastAsia="仿宋_GB2312"/>
          <w:snapToGrid w:val="0"/>
          <w:kern w:val="0"/>
          <w:szCs w:val="32"/>
          <w:lang w:val="zh-CN"/>
        </w:rPr>
        <w:t>可靠性研究资料，证明在规定的使用期限</w:t>
      </w:r>
      <w:r>
        <w:rPr>
          <w:rFonts w:eastAsia="仿宋_GB2312"/>
          <w:snapToGrid w:val="0"/>
          <w:kern w:val="0"/>
          <w:szCs w:val="32"/>
          <w:lang w:val="zh-CN"/>
        </w:rPr>
        <w:t>内，在正常使用、维护和校准（如适用）情况下，产品的性能功能可以满足临床使用要求。电动牵引床可参考《有源医疗器械使用期限技术审查指导原则》的要求开展研究。</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若依据分析关键部件寿命来确定产品使用期限，关键部件至少应包括电机、传感器、控制器、测力计（手动）等。产品若具有可更换部件，应明确定期保养维护时间和更换频次，且应给出支持性资料。</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rPr>
        <w:t>6</w:t>
      </w:r>
      <w:r>
        <w:rPr>
          <w:rFonts w:eastAsia="仿宋_GB2312"/>
          <w:snapToGrid w:val="0"/>
          <w:kern w:val="0"/>
          <w:szCs w:val="32"/>
          <w:lang w:val="zh-CN"/>
        </w:rPr>
        <w:t>.</w:t>
      </w:r>
      <w:r>
        <w:rPr>
          <w:rFonts w:eastAsia="仿宋_GB2312"/>
          <w:snapToGrid w:val="0"/>
          <w:kern w:val="0"/>
          <w:szCs w:val="32"/>
        </w:rPr>
        <w:t>2</w:t>
      </w:r>
      <w:r>
        <w:rPr>
          <w:rFonts w:eastAsia="仿宋_GB2312"/>
          <w:snapToGrid w:val="0"/>
          <w:kern w:val="0"/>
          <w:szCs w:val="32"/>
          <w:lang w:val="zh-CN"/>
        </w:rPr>
        <w:t>运输稳定性</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提供产品的运输稳定性和包装研究资料，证明在规定的运输条件下，运输过程中的环境条件（例如：震动、振动、</w:t>
      </w:r>
      <w:r>
        <w:rPr>
          <w:rFonts w:eastAsia="仿宋_GB2312"/>
          <w:snapToGrid w:val="0"/>
          <w:kern w:val="0"/>
          <w:szCs w:val="32"/>
          <w:lang w:val="zh-CN"/>
        </w:rPr>
        <w:lastRenderedPageBreak/>
        <w:t>温度和湿度的波动）不会对产品的特性和性能，包括完整性和清洁度，造成不利影响。</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电动牵引床可参照</w:t>
      </w:r>
      <w:r>
        <w:rPr>
          <w:rFonts w:eastAsia="仿宋_GB2312"/>
          <w:snapToGrid w:val="0"/>
          <w:kern w:val="0"/>
          <w:szCs w:val="32"/>
          <w:lang w:val="zh-CN"/>
        </w:rPr>
        <w:t>GB/T 14710</w:t>
      </w:r>
      <w:r>
        <w:rPr>
          <w:rFonts w:eastAsia="仿宋_GB2312"/>
          <w:snapToGrid w:val="0"/>
          <w:kern w:val="0"/>
          <w:szCs w:val="32"/>
          <w:lang w:val="zh-CN"/>
        </w:rPr>
        <w:t>标准的要求及产品使用（温度、湿度、气压、电源）、运输、储存条件开展环境试验研究。</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rPr>
        <w:t>7</w:t>
      </w:r>
      <w:r>
        <w:rPr>
          <w:rFonts w:eastAsia="仿宋_GB2312"/>
          <w:snapToGrid w:val="0"/>
          <w:kern w:val="0"/>
          <w:szCs w:val="32"/>
          <w:lang w:val="zh-CN"/>
        </w:rPr>
        <w:t>.</w:t>
      </w:r>
      <w:r>
        <w:rPr>
          <w:rFonts w:eastAsia="仿宋_GB2312"/>
          <w:snapToGrid w:val="0"/>
          <w:kern w:val="0"/>
          <w:szCs w:val="32"/>
          <w:lang w:val="zh-CN"/>
        </w:rPr>
        <w:t>其他资料</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根据《免于进行临床评价医疗器械目录》（</w:t>
      </w:r>
      <w:r>
        <w:rPr>
          <w:rFonts w:eastAsia="仿宋_GB2312"/>
          <w:snapToGrid w:val="0"/>
          <w:kern w:val="0"/>
          <w:szCs w:val="32"/>
        </w:rPr>
        <w:t>2025</w:t>
      </w:r>
      <w:r>
        <w:rPr>
          <w:rFonts w:eastAsia="仿宋_GB2312"/>
          <w:snapToGrid w:val="0"/>
          <w:kern w:val="0"/>
          <w:szCs w:val="32"/>
        </w:rPr>
        <w:t>年</w:t>
      </w:r>
      <w:r>
        <w:rPr>
          <w:rFonts w:eastAsia="仿宋_GB2312"/>
          <w:snapToGrid w:val="0"/>
          <w:kern w:val="0"/>
          <w:szCs w:val="32"/>
          <w:lang w:val="zh-CN"/>
        </w:rPr>
        <w:t>）（</w:t>
      </w:r>
      <w:r>
        <w:rPr>
          <w:rFonts w:eastAsia="仿宋_GB2312"/>
          <w:snapToGrid w:val="0"/>
          <w:kern w:val="0"/>
          <w:szCs w:val="32"/>
        </w:rPr>
        <w:t>以下简称《目录》</w:t>
      </w:r>
      <w:r>
        <w:rPr>
          <w:rFonts w:eastAsia="仿宋_GB2312"/>
          <w:snapToGrid w:val="0"/>
          <w:kern w:val="0"/>
          <w:szCs w:val="32"/>
          <w:lang w:val="zh-CN"/>
        </w:rPr>
        <w:t>）</w:t>
      </w:r>
      <w:r>
        <w:rPr>
          <w:rFonts w:eastAsia="仿宋_GB2312"/>
          <w:snapToGrid w:val="0"/>
          <w:kern w:val="0"/>
          <w:szCs w:val="32"/>
        </w:rPr>
        <w:t>描述，免于临床评价的</w:t>
      </w:r>
      <w:r>
        <w:rPr>
          <w:rFonts w:eastAsia="仿宋_GB2312"/>
          <w:snapToGrid w:val="0"/>
          <w:kern w:val="0"/>
          <w:szCs w:val="32"/>
          <w:lang w:val="zh-CN"/>
        </w:rPr>
        <w:t>电动颈腰椎牵引装置、手动牵引床</w:t>
      </w:r>
      <w:r>
        <w:rPr>
          <w:rFonts w:eastAsia="仿宋_GB2312"/>
          <w:snapToGrid w:val="0"/>
          <w:kern w:val="0"/>
          <w:szCs w:val="32"/>
        </w:rPr>
        <w:t>产品</w:t>
      </w:r>
      <w:r>
        <w:rPr>
          <w:rFonts w:eastAsia="仿宋_GB2312"/>
          <w:snapToGrid w:val="0"/>
          <w:kern w:val="0"/>
          <w:szCs w:val="32"/>
          <w:lang w:val="zh-CN"/>
        </w:rPr>
        <w:t>，应按照《列入免于临床评价医疗器械目录产品对比说明技术指导原则》的要求开展申报</w:t>
      </w:r>
      <w:r>
        <w:rPr>
          <w:rFonts w:eastAsia="仿宋_GB2312"/>
          <w:snapToGrid w:val="0"/>
          <w:kern w:val="0"/>
          <w:szCs w:val="32"/>
          <w:lang w:val="zh-CN"/>
        </w:rPr>
        <w:t>产品与《目录》所述产品的等同性论证。应关注申报产品与《目录》中描述的牵引部位、牵引方向、</w:t>
      </w:r>
      <w:r>
        <w:rPr>
          <w:rFonts w:eastAsia="仿宋_GB2312"/>
          <w:snapToGrid w:val="0"/>
          <w:kern w:val="0"/>
          <w:szCs w:val="32"/>
        </w:rPr>
        <w:t>牵引模式</w:t>
      </w:r>
      <w:r>
        <w:rPr>
          <w:rFonts w:eastAsia="仿宋_GB2312"/>
          <w:snapToGrid w:val="0"/>
          <w:kern w:val="0"/>
          <w:szCs w:val="32"/>
          <w:lang w:val="zh-CN"/>
        </w:rPr>
        <w:t>是否一致。</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对于属于《目录》中的产品，注册申请人需提交申报产品与《目录》中已获准境内注册医疗器械的对比说明。提交的资料应能证明二者具有基本等同性。应关注申报产品的牵引模式、牵引力范围和牵引力变化速率与所对比的已上市同类产品是否具有等同性。若经对比，申报产品与对比产品存在差异，还应提交差异部分对安全有效性影响的分析研究资料，应能证明差异未引起安全有效性问题，带来的风险可控。若无法证明，则应开展临床评价。</w:t>
      </w:r>
    </w:p>
    <w:p w:rsidR="009079CF" w:rsidRDefault="009B4FD9">
      <w:pPr>
        <w:pStyle w:val="af1"/>
        <w:overflowPunct w:val="0"/>
        <w:autoSpaceDE w:val="0"/>
        <w:autoSpaceDN w:val="0"/>
        <w:spacing w:line="520" w:lineRule="exact"/>
        <w:ind w:firstLine="640"/>
        <w:outlineLvl w:val="1"/>
        <w:rPr>
          <w:rFonts w:ascii="楷体_GB2312" w:eastAsia="楷体_GB2312" w:hAnsi="楷体_GB2312" w:cs="楷体_GB2312"/>
          <w:color w:val="000000"/>
          <w:szCs w:val="32"/>
        </w:rPr>
      </w:pPr>
      <w:r>
        <w:rPr>
          <w:rFonts w:ascii="楷体_GB2312" w:eastAsia="楷体_GB2312" w:hAnsi="楷体_GB2312" w:cs="楷体_GB2312"/>
          <w:color w:val="000000"/>
          <w:szCs w:val="32"/>
        </w:rPr>
        <w:t>(</w:t>
      </w:r>
      <w:r>
        <w:rPr>
          <w:rFonts w:ascii="楷体_GB2312" w:eastAsia="楷体_GB2312" w:hAnsi="楷体_GB2312" w:cs="楷体_GB2312"/>
          <w:color w:val="000000"/>
          <w:szCs w:val="32"/>
        </w:rPr>
        <w:t>四</w:t>
      </w:r>
      <w:r>
        <w:rPr>
          <w:rFonts w:ascii="楷体_GB2312" w:eastAsia="楷体_GB2312" w:hAnsi="楷体_GB2312" w:cs="楷体_GB2312"/>
          <w:color w:val="000000"/>
          <w:szCs w:val="32"/>
        </w:rPr>
        <w:t>)</w:t>
      </w:r>
      <w:r>
        <w:rPr>
          <w:rFonts w:ascii="楷体_GB2312" w:eastAsia="楷体_GB2312" w:hAnsi="楷体_GB2312" w:cs="楷体_GB2312"/>
          <w:color w:val="000000"/>
          <w:szCs w:val="32"/>
        </w:rPr>
        <w:t>临床评价资料</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lang w:val="zh-CN"/>
        </w:rPr>
        <w:t>若无法证明申报产品与《目录》所述的产品具有基本等同性，则应开展临床评价。不属于列入《目录》中的内容，注册申请人应当依据所申报产品的结构组成、性能参数、功能和预期用途等，参考《医疗器械临床评价技术指导原则》</w:t>
      </w:r>
      <w:r>
        <w:rPr>
          <w:rFonts w:eastAsia="仿宋_GB2312"/>
          <w:snapToGrid w:val="0"/>
          <w:kern w:val="0"/>
          <w:szCs w:val="32"/>
        </w:rPr>
        <w:t>相关要求提交临床评价资料。</w:t>
      </w:r>
    </w:p>
    <w:p w:rsidR="009079CF" w:rsidRDefault="009B4FD9">
      <w:pPr>
        <w:pStyle w:val="af1"/>
        <w:overflowPunct w:val="0"/>
        <w:autoSpaceDE w:val="0"/>
        <w:autoSpaceDN w:val="0"/>
        <w:spacing w:line="520" w:lineRule="exact"/>
        <w:ind w:firstLine="640"/>
        <w:outlineLvl w:val="1"/>
        <w:rPr>
          <w:rFonts w:ascii="楷体_GB2312" w:eastAsia="楷体_GB2312" w:hAnsi="楷体_GB2312" w:cs="楷体_GB2312"/>
          <w:color w:val="000000"/>
          <w:szCs w:val="32"/>
        </w:rPr>
      </w:pPr>
      <w:r>
        <w:rPr>
          <w:rFonts w:ascii="楷体_GB2312" w:eastAsia="楷体_GB2312" w:hAnsi="楷体_GB2312" w:cs="楷体_GB2312"/>
          <w:color w:val="000000"/>
          <w:szCs w:val="32"/>
        </w:rPr>
        <w:lastRenderedPageBreak/>
        <w:t>(</w:t>
      </w:r>
      <w:r>
        <w:rPr>
          <w:rFonts w:ascii="楷体_GB2312" w:eastAsia="楷体_GB2312" w:hAnsi="楷体_GB2312" w:cs="楷体_GB2312"/>
          <w:color w:val="000000"/>
          <w:szCs w:val="32"/>
        </w:rPr>
        <w:t>五</w:t>
      </w:r>
      <w:r>
        <w:rPr>
          <w:rFonts w:ascii="楷体_GB2312" w:eastAsia="楷体_GB2312" w:hAnsi="楷体_GB2312" w:cs="楷体_GB2312"/>
          <w:color w:val="000000"/>
          <w:szCs w:val="32"/>
        </w:rPr>
        <w:t>)</w:t>
      </w:r>
      <w:r>
        <w:rPr>
          <w:rFonts w:ascii="楷体_GB2312" w:eastAsia="楷体_GB2312" w:hAnsi="楷体_GB2312" w:cs="楷体_GB2312"/>
          <w:color w:val="000000"/>
          <w:szCs w:val="32"/>
        </w:rPr>
        <w:t>产品说明书和标签样稿</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说明书、标签和包装标识需符合《医疗器械说明书和标签管理规定》、</w:t>
      </w:r>
      <w:r>
        <w:rPr>
          <w:rFonts w:eastAsia="仿宋_GB2312"/>
          <w:snapToGrid w:val="0"/>
          <w:kern w:val="0"/>
          <w:szCs w:val="32"/>
          <w:lang w:val="zh-CN"/>
        </w:rPr>
        <w:t>YY/T 0466.1</w:t>
      </w:r>
      <w:r>
        <w:rPr>
          <w:rFonts w:eastAsia="仿宋_GB2312"/>
          <w:snapToGrid w:val="0"/>
          <w:kern w:val="0"/>
          <w:szCs w:val="32"/>
          <w:lang w:val="zh-CN"/>
        </w:rPr>
        <w:t>、</w:t>
      </w:r>
      <w:r>
        <w:rPr>
          <w:rFonts w:eastAsia="仿宋_GB2312"/>
          <w:snapToGrid w:val="0"/>
          <w:kern w:val="0"/>
          <w:szCs w:val="32"/>
          <w:lang w:val="zh-CN"/>
        </w:rPr>
        <w:t>YY/T 1491</w:t>
      </w:r>
      <w:r>
        <w:rPr>
          <w:rFonts w:eastAsia="仿宋_GB2312"/>
          <w:snapToGrid w:val="0"/>
          <w:kern w:val="0"/>
          <w:szCs w:val="32"/>
          <w:lang w:val="zh-CN"/>
        </w:rPr>
        <w:t>、</w:t>
      </w:r>
      <w:r>
        <w:rPr>
          <w:rFonts w:eastAsia="仿宋_GB2312"/>
          <w:snapToGrid w:val="0"/>
          <w:kern w:val="0"/>
          <w:szCs w:val="32"/>
          <w:lang w:val="zh-CN"/>
        </w:rPr>
        <w:t>YY/T 0697</w:t>
      </w:r>
      <w:r>
        <w:rPr>
          <w:rFonts w:eastAsia="仿宋_GB2312"/>
          <w:snapToGrid w:val="0"/>
          <w:kern w:val="0"/>
          <w:szCs w:val="32"/>
          <w:lang w:val="zh-CN"/>
        </w:rPr>
        <w:t>（如适用）、</w:t>
      </w:r>
      <w:r>
        <w:rPr>
          <w:rFonts w:eastAsia="仿宋_GB2312"/>
          <w:snapToGrid w:val="0"/>
          <w:kern w:val="0"/>
          <w:szCs w:val="32"/>
          <w:lang w:val="zh-CN"/>
        </w:rPr>
        <w:t>GB 9706.1</w:t>
      </w:r>
      <w:r>
        <w:rPr>
          <w:rFonts w:eastAsia="仿宋_GB2312"/>
          <w:snapToGrid w:val="0"/>
          <w:kern w:val="0"/>
          <w:szCs w:val="32"/>
          <w:lang w:val="zh-CN"/>
        </w:rPr>
        <w:t>（如适用）和</w:t>
      </w:r>
      <w:r>
        <w:rPr>
          <w:rFonts w:eastAsia="仿宋_GB2312"/>
          <w:snapToGrid w:val="0"/>
          <w:kern w:val="0"/>
          <w:szCs w:val="32"/>
          <w:lang w:val="zh-CN"/>
        </w:rPr>
        <w:t>YY 9706.102</w:t>
      </w:r>
      <w:r>
        <w:rPr>
          <w:rFonts w:eastAsia="仿宋_GB2312"/>
          <w:snapToGrid w:val="0"/>
          <w:kern w:val="0"/>
          <w:szCs w:val="32"/>
          <w:lang w:val="zh-CN"/>
        </w:rPr>
        <w:t>（如适用）相关要求的规定。说明书除符合上述规</w:t>
      </w:r>
      <w:r>
        <w:rPr>
          <w:rFonts w:eastAsia="仿宋_GB2312"/>
          <w:snapToGrid w:val="0"/>
          <w:kern w:val="0"/>
          <w:szCs w:val="32"/>
          <w:lang w:val="zh-CN"/>
        </w:rPr>
        <w:t>定外，还应包括但不限于以下内容：</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lang w:val="zh-CN"/>
        </w:rPr>
        <w:t>产品特定人群使用的说明以及需要在医护人员的监护下使用的说明。</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lang w:val="zh-CN"/>
        </w:rPr>
        <w:t>产品技术要求的主要性能指标中明确需要在说明书中明示的内容</w:t>
      </w:r>
      <w:r>
        <w:rPr>
          <w:rFonts w:ascii="Times New Roman" w:eastAsia="仿宋_GB2312" w:hAnsi="Times New Roman"/>
          <w:snapToGrid w:val="0"/>
          <w:sz w:val="32"/>
          <w:szCs w:val="32"/>
        </w:rPr>
        <w:t>，如不同牵引模式输出参数等</w:t>
      </w:r>
      <w:r>
        <w:rPr>
          <w:rFonts w:ascii="Times New Roman" w:eastAsia="仿宋_GB2312" w:hAnsi="Times New Roman"/>
          <w:snapToGrid w:val="0"/>
          <w:sz w:val="32"/>
          <w:szCs w:val="32"/>
          <w:lang w:val="zh-CN"/>
        </w:rPr>
        <w:t>。</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lang w:val="zh-CN"/>
        </w:rPr>
        <w:t>安装及调试：安装及调试说明中应明确安装时对地面的要求。</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lang w:val="zh-CN"/>
        </w:rPr>
        <w:t>使用方法：应明确产品使用场景、使用方法和环境条件；详细说明产品的具体使用方法及图示；牵引模式的选择应详细说明。</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lang w:val="zh-CN"/>
        </w:rPr>
        <w:t>注意事项、警示及提示：应明确异常情况下的紧急处理措施；特殊情况下（停电、意外移动等）的注意事项；可能出现的误操作及误操作可能造成的伤害，特别应说明牵引模式选择的注</w:t>
      </w:r>
      <w:r>
        <w:rPr>
          <w:rFonts w:ascii="Times New Roman" w:eastAsia="仿宋_GB2312" w:hAnsi="Times New Roman"/>
          <w:snapToGrid w:val="0"/>
          <w:sz w:val="32"/>
          <w:szCs w:val="32"/>
          <w:lang w:val="zh-CN"/>
        </w:rPr>
        <w:t>意事项；若使用其他零部件或材料会降低最低安全性，相关的配件或材料是否被说明；安全使用期限；预期使用条件等内容。</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lang w:val="zh-CN"/>
        </w:rPr>
        <w:t>应明确产品配件清单，若固定带、固定架等部件可由用户自行更换，应明确其更换方法及注意事项。应说明验证固定装置是否已被可靠连接的方法。</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lang w:val="zh-CN"/>
        </w:rPr>
        <w:t>警告信息：例如在无人监护情况下禁止使用的警告，不当操作可能带来安全隐患的警告。</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lang w:val="zh-CN"/>
        </w:rPr>
        <w:lastRenderedPageBreak/>
        <w:t>安全工作载荷。</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lang w:val="zh-CN"/>
        </w:rPr>
        <w:t>整体尺寸和重量，包括主体部分的重量。</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lang w:val="zh-CN"/>
        </w:rPr>
        <w:t>产品附件。</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lang w:val="zh-CN"/>
        </w:rPr>
        <w:t>依据相关研究资料明确产品清洁、消毒方法。</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手动牵引床一般牵引模式单一，但需结合产品特点，考虑产品的使用风险，患者需在专业医生的指导下使用。说明书中相关信息和说明应简明易于理解和使用，并可对结果做出解释，建议多采用图示方式予以说明。注意事项还应包含以下内容：</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lang w:val="zh-CN"/>
        </w:rPr>
        <w:t>说明不适宜使用该产品的人群（如禁忌证等）。患者应先临床诊断</w:t>
      </w:r>
      <w:r>
        <w:rPr>
          <w:rFonts w:ascii="Times New Roman" w:eastAsia="仿宋_GB2312" w:hAnsi="Times New Roman"/>
          <w:snapToGrid w:val="0"/>
          <w:sz w:val="32"/>
          <w:szCs w:val="32"/>
        </w:rPr>
        <w:t>所患病症，</w:t>
      </w:r>
      <w:r>
        <w:rPr>
          <w:rFonts w:ascii="Times New Roman" w:eastAsia="仿宋_GB2312" w:hAnsi="Times New Roman"/>
          <w:snapToGrid w:val="0"/>
          <w:sz w:val="32"/>
          <w:szCs w:val="32"/>
          <w:lang w:val="zh-CN"/>
        </w:rPr>
        <w:t>确认是否可使用该产品，使用后应定期复查。</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rPr>
        <w:t>应</w:t>
      </w:r>
      <w:r>
        <w:rPr>
          <w:rFonts w:ascii="Times New Roman" w:eastAsia="仿宋_GB2312" w:hAnsi="Times New Roman"/>
          <w:snapToGrid w:val="0"/>
          <w:sz w:val="32"/>
          <w:szCs w:val="32"/>
          <w:lang w:val="zh-CN"/>
        </w:rPr>
        <w:t>根据专业医生</w:t>
      </w:r>
      <w:r>
        <w:rPr>
          <w:rFonts w:ascii="Times New Roman" w:eastAsia="仿宋_GB2312" w:hAnsi="Times New Roman"/>
          <w:snapToGrid w:val="0"/>
          <w:sz w:val="32"/>
          <w:szCs w:val="32"/>
        </w:rPr>
        <w:t>推荐的牵引力和牵引时间进行治疗。</w:t>
      </w:r>
      <w:r>
        <w:rPr>
          <w:rFonts w:ascii="Times New Roman" w:eastAsia="仿宋_GB2312" w:hAnsi="Times New Roman"/>
          <w:snapToGrid w:val="0"/>
          <w:sz w:val="32"/>
          <w:szCs w:val="32"/>
          <w:lang w:val="zh-CN"/>
        </w:rPr>
        <w:t>如果使用后出现异常或不适，应立刻停止使用，</w:t>
      </w:r>
      <w:r>
        <w:rPr>
          <w:rFonts w:ascii="Times New Roman" w:eastAsia="仿宋_GB2312" w:hAnsi="Times New Roman"/>
          <w:snapToGrid w:val="0"/>
          <w:sz w:val="32"/>
          <w:szCs w:val="32"/>
        </w:rPr>
        <w:t>必要时</w:t>
      </w:r>
      <w:r>
        <w:rPr>
          <w:rFonts w:ascii="Times New Roman" w:eastAsia="仿宋_GB2312" w:hAnsi="Times New Roman"/>
          <w:snapToGrid w:val="0"/>
          <w:sz w:val="32"/>
          <w:szCs w:val="32"/>
          <w:lang w:val="zh-CN"/>
        </w:rPr>
        <w:t>就医治疗。</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lang w:val="zh-CN"/>
        </w:rPr>
        <w:t>应明确测量牵引力的部件或方法。应给出测量准确性降低或部件（如固定带、手轮等）性能降低的检查方法、更换条件和要求。</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lang w:val="zh-CN"/>
        </w:rPr>
        <w:t>给出完整的设备操作方法和操作流程，详细说明固定带固定位置和确认正确固定的方法，以及在预期环境下使用的常见风险和相关注意事项，对不能正常运行或出现故障时发出的警告做出说明。</w:t>
      </w:r>
    </w:p>
    <w:p w:rsidR="009079CF" w:rsidRDefault="009B4FD9">
      <w:pPr>
        <w:pStyle w:val="a0"/>
        <w:numPr>
          <w:ilvl w:val="0"/>
          <w:numId w:val="1"/>
        </w:numPr>
        <w:tabs>
          <w:tab w:val="left" w:pos="640"/>
        </w:tabs>
        <w:spacing w:line="520" w:lineRule="exact"/>
        <w:jc w:val="both"/>
        <w:rPr>
          <w:rFonts w:ascii="Times New Roman" w:eastAsia="仿宋_GB2312" w:hAnsi="Times New Roman"/>
          <w:snapToGrid w:val="0"/>
          <w:sz w:val="32"/>
          <w:szCs w:val="32"/>
          <w:lang w:val="zh-CN"/>
        </w:rPr>
      </w:pPr>
      <w:r>
        <w:rPr>
          <w:rFonts w:ascii="Times New Roman" w:eastAsia="仿宋_GB2312" w:hAnsi="Times New Roman"/>
          <w:snapToGrid w:val="0"/>
          <w:sz w:val="32"/>
          <w:szCs w:val="32"/>
          <w:lang w:val="zh-CN"/>
        </w:rPr>
        <w:t>应给出牵引力过大对人体危害的警告。</w:t>
      </w:r>
    </w:p>
    <w:p w:rsidR="009079CF" w:rsidRDefault="009B4FD9">
      <w:pPr>
        <w:pStyle w:val="af1"/>
        <w:overflowPunct w:val="0"/>
        <w:autoSpaceDE w:val="0"/>
        <w:autoSpaceDN w:val="0"/>
        <w:spacing w:line="520" w:lineRule="exact"/>
        <w:ind w:firstLine="640"/>
        <w:outlineLvl w:val="1"/>
        <w:rPr>
          <w:rFonts w:ascii="楷体_GB2312" w:eastAsia="楷体_GB2312" w:hAnsi="楷体_GB2312" w:cs="楷体_GB2312"/>
          <w:color w:val="000000"/>
          <w:szCs w:val="32"/>
        </w:rPr>
      </w:pPr>
      <w:r>
        <w:rPr>
          <w:rFonts w:ascii="楷体_GB2312" w:eastAsia="楷体_GB2312" w:hAnsi="楷体_GB2312" w:cs="楷体_GB2312"/>
          <w:color w:val="000000"/>
          <w:szCs w:val="32"/>
        </w:rPr>
        <w:t>（六）质量管理体系文件</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bookmarkStart w:id="1" w:name="_Hlk136954644"/>
      <w:r>
        <w:rPr>
          <w:rFonts w:eastAsia="仿宋_GB2312"/>
          <w:snapToGrid w:val="0"/>
          <w:kern w:val="0"/>
          <w:szCs w:val="32"/>
          <w:lang w:val="zh-CN"/>
        </w:rPr>
        <w:t>依据《医疗器械注册申报资料要求和批准证明文件格式》的公告</w:t>
      </w:r>
      <w:bookmarkEnd w:id="1"/>
      <w:r>
        <w:rPr>
          <w:rFonts w:eastAsia="仿宋_GB2312"/>
          <w:snapToGrid w:val="0"/>
          <w:kern w:val="0"/>
          <w:szCs w:val="32"/>
          <w:lang w:val="zh-CN"/>
        </w:rPr>
        <w:t>提供申报注册产品的质量管理体系文件。</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lastRenderedPageBreak/>
        <w:t>1.</w:t>
      </w:r>
      <w:r>
        <w:rPr>
          <w:rFonts w:eastAsia="仿宋_GB2312"/>
          <w:snapToGrid w:val="0"/>
          <w:kern w:val="0"/>
          <w:szCs w:val="32"/>
          <w:lang w:val="zh-CN"/>
        </w:rPr>
        <w:t>产品生产制造相关要求</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应当明确产品生产工艺过程，工艺过程可采用流程图</w:t>
      </w:r>
      <w:r>
        <w:rPr>
          <w:rFonts w:eastAsia="仿宋_GB2312"/>
          <w:snapToGrid w:val="0"/>
          <w:kern w:val="0"/>
          <w:szCs w:val="32"/>
          <w:lang w:val="zh-CN"/>
        </w:rPr>
        <w:t>的形式，且应结合产品实际生产过程细化产品生产工艺介绍，应能体现出外协加工部分（如有）、半成品加工过程。工艺流程图中应明示关键工序、特殊过程（如有）、过程控制点、使用的相关设备以及对设备精度的要求等，并说明其每道工序的操作说明及接收和放行标准，同时对过程控制要点进行详细说明。应提供产品主要元器件清单，清单中包括所用主要元器件的信息（如：型号规格、供应商名称和地址等）。</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2.</w:t>
      </w:r>
      <w:r>
        <w:rPr>
          <w:rFonts w:eastAsia="仿宋_GB2312"/>
          <w:snapToGrid w:val="0"/>
          <w:kern w:val="0"/>
          <w:szCs w:val="32"/>
          <w:lang w:val="zh-CN"/>
        </w:rPr>
        <w:t>生产场地</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应详细说明产品生产场地地址、生产工艺布局、生产环境要求及周边情况。有多个研制、生产场地，应当概述每个研制、生产场地的实际情况。</w:t>
      </w:r>
    </w:p>
    <w:p w:rsidR="009079CF" w:rsidRDefault="009B4FD9">
      <w:pPr>
        <w:spacing w:line="520" w:lineRule="exact"/>
        <w:ind w:firstLineChars="200" w:firstLine="640"/>
        <w:rPr>
          <w:rFonts w:ascii="黑体" w:eastAsia="黑体" w:hAnsi="黑体" w:cs="黑体"/>
          <w:szCs w:val="32"/>
          <w:lang w:val="zh-CN"/>
        </w:rPr>
      </w:pPr>
      <w:r>
        <w:rPr>
          <w:rFonts w:ascii="黑体" w:eastAsia="黑体" w:hAnsi="黑体" w:cs="黑体"/>
          <w:szCs w:val="32"/>
          <w:lang w:val="zh-CN"/>
        </w:rPr>
        <w:t>三、参考文献</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[1]</w:t>
      </w:r>
      <w:r>
        <w:rPr>
          <w:rFonts w:eastAsia="仿宋_GB2312"/>
          <w:snapToGrid w:val="0"/>
          <w:kern w:val="0"/>
          <w:szCs w:val="32"/>
          <w:lang w:val="en"/>
        </w:rPr>
        <w:t>中华人民共和国国务院</w:t>
      </w:r>
      <w:r>
        <w:rPr>
          <w:rFonts w:eastAsia="仿宋_GB2312"/>
          <w:snapToGrid w:val="0"/>
          <w:kern w:val="0"/>
          <w:szCs w:val="32"/>
          <w:lang w:val="en"/>
        </w:rPr>
        <w:t>.</w:t>
      </w:r>
      <w:r>
        <w:rPr>
          <w:rFonts w:eastAsia="仿宋_GB2312"/>
          <w:snapToGrid w:val="0"/>
          <w:kern w:val="0"/>
          <w:szCs w:val="32"/>
          <w:lang w:val="zh-CN"/>
        </w:rPr>
        <w:t>医疗器械监督管理条例</w:t>
      </w:r>
      <w:r>
        <w:rPr>
          <w:rFonts w:eastAsia="仿宋_GB2312"/>
          <w:snapToGrid w:val="0"/>
          <w:kern w:val="0"/>
          <w:szCs w:val="32"/>
          <w:lang w:val="zh-CN"/>
        </w:rPr>
        <w:t>:</w:t>
      </w:r>
      <w:r>
        <w:rPr>
          <w:rFonts w:eastAsia="仿宋_GB2312"/>
          <w:snapToGrid w:val="0"/>
          <w:kern w:val="0"/>
          <w:szCs w:val="32"/>
          <w:lang w:val="en"/>
        </w:rPr>
        <w:t>中华人民共和国国务院令第</w:t>
      </w:r>
      <w:r>
        <w:rPr>
          <w:rFonts w:eastAsia="仿宋_GB2312"/>
          <w:snapToGrid w:val="0"/>
          <w:kern w:val="0"/>
          <w:szCs w:val="32"/>
          <w:lang w:val="en"/>
        </w:rPr>
        <w:t>739</w:t>
      </w:r>
      <w:r>
        <w:rPr>
          <w:rFonts w:eastAsia="仿宋_GB2312"/>
          <w:snapToGrid w:val="0"/>
          <w:kern w:val="0"/>
          <w:szCs w:val="32"/>
          <w:lang w:val="en"/>
        </w:rPr>
        <w:t>号</w:t>
      </w:r>
      <w:r>
        <w:rPr>
          <w:rFonts w:eastAsia="仿宋_GB2312"/>
          <w:snapToGrid w:val="0"/>
          <w:kern w:val="0"/>
          <w:szCs w:val="32"/>
          <w:lang w:val="zh-CN"/>
        </w:rPr>
        <w:t>[Z].</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[2]</w:t>
      </w:r>
      <w:r>
        <w:rPr>
          <w:rFonts w:eastAsia="仿宋_GB2312"/>
          <w:snapToGrid w:val="0"/>
          <w:kern w:val="0"/>
          <w:szCs w:val="32"/>
          <w:lang w:val="zh-CN"/>
        </w:rPr>
        <w:t>国家市场监督管理总局</w:t>
      </w:r>
      <w:r>
        <w:rPr>
          <w:rFonts w:eastAsia="仿宋_GB2312"/>
          <w:snapToGrid w:val="0"/>
          <w:kern w:val="0"/>
          <w:szCs w:val="32"/>
          <w:lang w:val="zh-CN"/>
        </w:rPr>
        <w:t>.</w:t>
      </w:r>
      <w:r>
        <w:rPr>
          <w:rFonts w:eastAsia="仿宋_GB2312"/>
          <w:snapToGrid w:val="0"/>
          <w:kern w:val="0"/>
          <w:szCs w:val="32"/>
          <w:lang w:val="zh-CN"/>
        </w:rPr>
        <w:t>医疗器械注册与备案管理办法</w:t>
      </w:r>
      <w:r>
        <w:rPr>
          <w:rFonts w:eastAsia="仿宋_GB2312"/>
          <w:snapToGrid w:val="0"/>
          <w:kern w:val="0"/>
          <w:szCs w:val="32"/>
          <w:lang w:val="zh-CN"/>
        </w:rPr>
        <w:t>:</w:t>
      </w:r>
      <w:r>
        <w:rPr>
          <w:rFonts w:eastAsia="仿宋_GB2312"/>
          <w:snapToGrid w:val="0"/>
          <w:kern w:val="0"/>
          <w:szCs w:val="32"/>
          <w:lang w:val="zh-CN"/>
        </w:rPr>
        <w:t>国家市场监督管理总局令第</w:t>
      </w:r>
      <w:r>
        <w:rPr>
          <w:rFonts w:eastAsia="仿宋_GB2312"/>
          <w:snapToGrid w:val="0"/>
          <w:kern w:val="0"/>
          <w:szCs w:val="32"/>
          <w:lang w:val="zh-CN"/>
        </w:rPr>
        <w:t>47</w:t>
      </w:r>
      <w:r>
        <w:rPr>
          <w:rFonts w:eastAsia="仿宋_GB2312"/>
          <w:snapToGrid w:val="0"/>
          <w:kern w:val="0"/>
          <w:szCs w:val="32"/>
          <w:lang w:val="zh-CN"/>
        </w:rPr>
        <w:t>号</w:t>
      </w:r>
      <w:r>
        <w:rPr>
          <w:rFonts w:eastAsia="仿宋_GB2312"/>
          <w:snapToGrid w:val="0"/>
          <w:kern w:val="0"/>
          <w:szCs w:val="32"/>
          <w:lang w:val="en"/>
        </w:rPr>
        <w:t>[Z]</w:t>
      </w:r>
      <w:r>
        <w:rPr>
          <w:rFonts w:eastAsia="仿宋_GB2312"/>
          <w:snapToGrid w:val="0"/>
          <w:kern w:val="0"/>
          <w:szCs w:val="32"/>
          <w:lang w:val="zh-CN"/>
        </w:rPr>
        <w:t>.</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w:t>
      </w:r>
      <w:r>
        <w:rPr>
          <w:rFonts w:eastAsia="仿宋_GB2312"/>
          <w:snapToGrid w:val="0"/>
          <w:kern w:val="0"/>
          <w:szCs w:val="32"/>
        </w:rPr>
        <w:t>3</w:t>
      </w:r>
      <w:r>
        <w:rPr>
          <w:rFonts w:eastAsia="仿宋_GB2312"/>
          <w:snapToGrid w:val="0"/>
          <w:kern w:val="0"/>
          <w:szCs w:val="32"/>
          <w:lang w:val="zh-CN"/>
        </w:rPr>
        <w:t>]</w:t>
      </w:r>
      <w:r>
        <w:rPr>
          <w:rFonts w:eastAsia="仿宋_GB2312"/>
          <w:snapToGrid w:val="0"/>
          <w:kern w:val="0"/>
          <w:szCs w:val="32"/>
          <w:lang w:val="zh-CN"/>
        </w:rPr>
        <w:t>国家食品药品监督管理总局</w:t>
      </w:r>
      <w:r>
        <w:rPr>
          <w:rFonts w:eastAsia="仿宋_GB2312"/>
          <w:snapToGrid w:val="0"/>
          <w:kern w:val="0"/>
          <w:szCs w:val="32"/>
          <w:lang w:val="zh-CN"/>
        </w:rPr>
        <w:t>.</w:t>
      </w:r>
      <w:r>
        <w:rPr>
          <w:rFonts w:eastAsia="仿宋_GB2312"/>
          <w:snapToGrid w:val="0"/>
          <w:kern w:val="0"/>
          <w:szCs w:val="32"/>
          <w:lang w:val="zh-CN"/>
        </w:rPr>
        <w:t>医疗器械说明书和标签管理规定</w:t>
      </w:r>
      <w:r>
        <w:rPr>
          <w:rFonts w:eastAsia="仿宋_GB2312"/>
          <w:snapToGrid w:val="0"/>
          <w:kern w:val="0"/>
          <w:szCs w:val="32"/>
          <w:lang w:val="zh-CN"/>
        </w:rPr>
        <w:t>:</w:t>
      </w:r>
      <w:r>
        <w:rPr>
          <w:rFonts w:eastAsia="仿宋_GB2312"/>
          <w:snapToGrid w:val="0"/>
          <w:kern w:val="0"/>
          <w:szCs w:val="32"/>
          <w:lang w:val="zh-CN"/>
        </w:rPr>
        <w:t>国家食品药品监督管理总局令第</w:t>
      </w:r>
      <w:r>
        <w:rPr>
          <w:rFonts w:eastAsia="仿宋_GB2312"/>
          <w:snapToGrid w:val="0"/>
          <w:kern w:val="0"/>
          <w:szCs w:val="32"/>
          <w:lang w:val="zh-CN"/>
        </w:rPr>
        <w:t>6</w:t>
      </w:r>
      <w:r>
        <w:rPr>
          <w:rFonts w:eastAsia="仿宋_GB2312"/>
          <w:snapToGrid w:val="0"/>
          <w:kern w:val="0"/>
          <w:szCs w:val="32"/>
          <w:lang w:val="zh-CN"/>
        </w:rPr>
        <w:t>号</w:t>
      </w:r>
      <w:r>
        <w:rPr>
          <w:rFonts w:eastAsia="仿宋_GB2312"/>
          <w:snapToGrid w:val="0"/>
          <w:kern w:val="0"/>
          <w:szCs w:val="32"/>
          <w:lang w:val="zh-CN"/>
        </w:rPr>
        <w:t>[Z].</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w:t>
      </w:r>
      <w:r>
        <w:rPr>
          <w:rFonts w:eastAsia="仿宋_GB2312"/>
          <w:snapToGrid w:val="0"/>
          <w:kern w:val="0"/>
          <w:szCs w:val="32"/>
        </w:rPr>
        <w:t>4</w:t>
      </w:r>
      <w:r>
        <w:rPr>
          <w:rFonts w:eastAsia="仿宋_GB2312"/>
          <w:snapToGrid w:val="0"/>
          <w:kern w:val="0"/>
          <w:szCs w:val="32"/>
          <w:lang w:val="zh-CN"/>
        </w:rPr>
        <w:t>]</w:t>
      </w:r>
      <w:r>
        <w:rPr>
          <w:rFonts w:eastAsia="仿宋_GB2312"/>
          <w:snapToGrid w:val="0"/>
          <w:kern w:val="0"/>
          <w:szCs w:val="32"/>
          <w:lang w:val="zh-CN"/>
        </w:rPr>
        <w:t>国家药品监督管理局</w:t>
      </w:r>
      <w:r>
        <w:rPr>
          <w:rFonts w:eastAsia="仿宋_GB2312"/>
          <w:snapToGrid w:val="0"/>
          <w:kern w:val="0"/>
          <w:szCs w:val="32"/>
          <w:lang w:val="zh-CN"/>
        </w:rPr>
        <w:t>.</w:t>
      </w:r>
      <w:r>
        <w:rPr>
          <w:rFonts w:eastAsia="仿宋_GB2312"/>
          <w:snapToGrid w:val="0"/>
          <w:kern w:val="0"/>
          <w:szCs w:val="32"/>
          <w:lang w:val="zh-CN"/>
        </w:rPr>
        <w:t>医疗器械注册申报资料要求和批准证明文件格式</w:t>
      </w:r>
      <w:r>
        <w:rPr>
          <w:rFonts w:eastAsia="仿宋_GB2312"/>
          <w:snapToGrid w:val="0"/>
          <w:kern w:val="0"/>
          <w:szCs w:val="32"/>
          <w:lang w:val="zh-CN"/>
        </w:rPr>
        <w:t>:</w:t>
      </w:r>
      <w:r>
        <w:rPr>
          <w:rFonts w:eastAsia="仿宋_GB2312"/>
          <w:snapToGrid w:val="0"/>
          <w:kern w:val="0"/>
          <w:szCs w:val="32"/>
          <w:lang w:val="zh-CN"/>
        </w:rPr>
        <w:t>国家药监局公告</w:t>
      </w:r>
      <w:r>
        <w:rPr>
          <w:rFonts w:eastAsia="仿宋_GB2312"/>
          <w:snapToGrid w:val="0"/>
          <w:kern w:val="0"/>
          <w:szCs w:val="32"/>
          <w:lang w:val="zh-CN"/>
        </w:rPr>
        <w:t>2021</w:t>
      </w:r>
      <w:r>
        <w:rPr>
          <w:rFonts w:eastAsia="仿宋_GB2312"/>
          <w:snapToGrid w:val="0"/>
          <w:kern w:val="0"/>
          <w:szCs w:val="32"/>
          <w:lang w:val="zh-CN"/>
        </w:rPr>
        <w:t>年第</w:t>
      </w:r>
      <w:r>
        <w:rPr>
          <w:rFonts w:eastAsia="仿宋_GB2312"/>
          <w:snapToGrid w:val="0"/>
          <w:kern w:val="0"/>
          <w:szCs w:val="32"/>
          <w:lang w:val="zh-CN"/>
        </w:rPr>
        <w:t>121</w:t>
      </w:r>
      <w:r>
        <w:rPr>
          <w:rFonts w:eastAsia="仿宋_GB2312"/>
          <w:snapToGrid w:val="0"/>
          <w:kern w:val="0"/>
          <w:szCs w:val="32"/>
          <w:lang w:val="zh-CN"/>
        </w:rPr>
        <w:t>号</w:t>
      </w:r>
      <w:r>
        <w:rPr>
          <w:rFonts w:eastAsia="仿宋_GB2312"/>
          <w:snapToGrid w:val="0"/>
          <w:kern w:val="0"/>
          <w:szCs w:val="32"/>
          <w:lang w:val="en"/>
        </w:rPr>
        <w:t>[Z]</w:t>
      </w:r>
      <w:r>
        <w:rPr>
          <w:rFonts w:eastAsia="仿宋_GB2312"/>
          <w:snapToGrid w:val="0"/>
          <w:kern w:val="0"/>
          <w:szCs w:val="32"/>
          <w:lang w:val="zh-CN"/>
        </w:rPr>
        <w:t>.</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w:t>
      </w:r>
      <w:r>
        <w:rPr>
          <w:rFonts w:eastAsia="仿宋_GB2312"/>
          <w:snapToGrid w:val="0"/>
          <w:kern w:val="0"/>
          <w:szCs w:val="32"/>
        </w:rPr>
        <w:t>5</w:t>
      </w:r>
      <w:r>
        <w:rPr>
          <w:rFonts w:eastAsia="仿宋_GB2312"/>
          <w:snapToGrid w:val="0"/>
          <w:kern w:val="0"/>
          <w:szCs w:val="32"/>
          <w:lang w:val="zh-CN"/>
        </w:rPr>
        <w:t>]</w:t>
      </w:r>
      <w:r>
        <w:rPr>
          <w:rFonts w:eastAsia="仿宋_GB2312"/>
          <w:snapToGrid w:val="0"/>
          <w:kern w:val="0"/>
          <w:szCs w:val="32"/>
          <w:lang w:val="zh-CN"/>
        </w:rPr>
        <w:t>国家药品监督管理局</w:t>
      </w:r>
      <w:r>
        <w:rPr>
          <w:rFonts w:eastAsia="仿宋_GB2312"/>
          <w:snapToGrid w:val="0"/>
          <w:kern w:val="0"/>
          <w:szCs w:val="32"/>
          <w:lang w:val="zh-CN"/>
        </w:rPr>
        <w:t>.</w:t>
      </w:r>
      <w:r>
        <w:rPr>
          <w:rFonts w:eastAsia="仿宋_GB2312"/>
          <w:snapToGrid w:val="0"/>
          <w:kern w:val="0"/>
          <w:szCs w:val="32"/>
          <w:lang w:val="zh-CN"/>
        </w:rPr>
        <w:t>医疗器械注册自检管理规定</w:t>
      </w:r>
      <w:r>
        <w:rPr>
          <w:rFonts w:eastAsia="仿宋_GB2312"/>
          <w:snapToGrid w:val="0"/>
          <w:kern w:val="0"/>
          <w:szCs w:val="32"/>
          <w:lang w:val="zh-CN"/>
        </w:rPr>
        <w:t>:</w:t>
      </w:r>
      <w:r>
        <w:rPr>
          <w:rFonts w:eastAsia="仿宋_GB2312"/>
          <w:snapToGrid w:val="0"/>
          <w:kern w:val="0"/>
          <w:szCs w:val="32"/>
          <w:lang w:val="zh-CN"/>
        </w:rPr>
        <w:t>国家药监局公告</w:t>
      </w:r>
      <w:r>
        <w:rPr>
          <w:rFonts w:eastAsia="仿宋_GB2312"/>
          <w:snapToGrid w:val="0"/>
          <w:kern w:val="0"/>
          <w:szCs w:val="32"/>
          <w:lang w:val="zh-CN"/>
        </w:rPr>
        <w:t>2021</w:t>
      </w:r>
      <w:r>
        <w:rPr>
          <w:rFonts w:eastAsia="仿宋_GB2312"/>
          <w:snapToGrid w:val="0"/>
          <w:kern w:val="0"/>
          <w:szCs w:val="32"/>
          <w:lang w:val="zh-CN"/>
        </w:rPr>
        <w:t>年第</w:t>
      </w:r>
      <w:r>
        <w:rPr>
          <w:rFonts w:eastAsia="仿宋_GB2312"/>
          <w:snapToGrid w:val="0"/>
          <w:kern w:val="0"/>
          <w:szCs w:val="32"/>
          <w:lang w:val="zh-CN"/>
        </w:rPr>
        <w:t>126</w:t>
      </w:r>
      <w:r>
        <w:rPr>
          <w:rFonts w:eastAsia="仿宋_GB2312"/>
          <w:snapToGrid w:val="0"/>
          <w:kern w:val="0"/>
          <w:szCs w:val="32"/>
          <w:lang w:val="zh-CN"/>
        </w:rPr>
        <w:t>号</w:t>
      </w:r>
      <w:r>
        <w:rPr>
          <w:rFonts w:eastAsia="仿宋_GB2312"/>
          <w:snapToGrid w:val="0"/>
          <w:kern w:val="0"/>
          <w:szCs w:val="32"/>
          <w:lang w:val="zh-CN"/>
        </w:rPr>
        <w:t>[Z]</w:t>
      </w:r>
      <w:r>
        <w:rPr>
          <w:rFonts w:eastAsia="仿宋_GB2312"/>
          <w:snapToGrid w:val="0"/>
          <w:kern w:val="0"/>
          <w:szCs w:val="32"/>
          <w:lang w:val="zh-CN"/>
        </w:rPr>
        <w:t>.</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[6]</w:t>
      </w:r>
      <w:r>
        <w:rPr>
          <w:rFonts w:eastAsia="仿宋_GB2312"/>
          <w:snapToGrid w:val="0"/>
          <w:kern w:val="0"/>
          <w:szCs w:val="32"/>
          <w:lang w:val="zh-CN"/>
        </w:rPr>
        <w:t>国家食品药品监督管理总局</w:t>
      </w:r>
      <w:r>
        <w:rPr>
          <w:rFonts w:eastAsia="仿宋_GB2312"/>
          <w:snapToGrid w:val="0"/>
          <w:kern w:val="0"/>
          <w:szCs w:val="32"/>
          <w:lang w:val="zh-CN"/>
        </w:rPr>
        <w:t>.</w:t>
      </w:r>
      <w:r>
        <w:rPr>
          <w:rFonts w:eastAsia="仿宋_GB2312"/>
          <w:snapToGrid w:val="0"/>
          <w:kern w:val="0"/>
          <w:szCs w:val="32"/>
          <w:lang w:val="zh-CN"/>
        </w:rPr>
        <w:t>医疗器械通用名称命名规则</w:t>
      </w:r>
      <w:r>
        <w:rPr>
          <w:rFonts w:eastAsia="仿宋_GB2312"/>
          <w:snapToGrid w:val="0"/>
          <w:kern w:val="0"/>
          <w:szCs w:val="32"/>
          <w:lang w:val="zh-CN"/>
        </w:rPr>
        <w:t>:</w:t>
      </w:r>
      <w:r>
        <w:rPr>
          <w:rFonts w:eastAsia="仿宋_GB2312"/>
          <w:snapToGrid w:val="0"/>
          <w:kern w:val="0"/>
          <w:szCs w:val="32"/>
          <w:lang w:val="zh-CN"/>
        </w:rPr>
        <w:t>国家食品药品监督管理总局令第</w:t>
      </w:r>
      <w:r>
        <w:rPr>
          <w:rFonts w:eastAsia="仿宋_GB2312"/>
          <w:snapToGrid w:val="0"/>
          <w:kern w:val="0"/>
          <w:szCs w:val="32"/>
          <w:lang w:val="zh-CN"/>
        </w:rPr>
        <w:t>19</w:t>
      </w:r>
      <w:r>
        <w:rPr>
          <w:rFonts w:eastAsia="仿宋_GB2312"/>
          <w:snapToGrid w:val="0"/>
          <w:kern w:val="0"/>
          <w:szCs w:val="32"/>
          <w:lang w:val="zh-CN"/>
        </w:rPr>
        <w:t>号</w:t>
      </w:r>
      <w:r>
        <w:rPr>
          <w:rFonts w:eastAsia="仿宋_GB2312"/>
          <w:snapToGrid w:val="0"/>
          <w:kern w:val="0"/>
          <w:szCs w:val="32"/>
          <w:lang w:val="zh-CN"/>
        </w:rPr>
        <w:t>[Z].</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lastRenderedPageBreak/>
        <w:t>[7]</w:t>
      </w:r>
      <w:r>
        <w:rPr>
          <w:rFonts w:eastAsia="仿宋_GB2312"/>
          <w:snapToGrid w:val="0"/>
          <w:kern w:val="0"/>
          <w:szCs w:val="32"/>
          <w:lang w:val="zh-CN"/>
        </w:rPr>
        <w:t>国家食品药品监督管理总局</w:t>
      </w:r>
      <w:r>
        <w:rPr>
          <w:rFonts w:eastAsia="仿宋_GB2312"/>
          <w:snapToGrid w:val="0"/>
          <w:kern w:val="0"/>
          <w:szCs w:val="32"/>
          <w:lang w:val="zh-CN"/>
        </w:rPr>
        <w:t>.</w:t>
      </w:r>
      <w:r>
        <w:rPr>
          <w:rFonts w:eastAsia="仿宋_GB2312"/>
          <w:snapToGrid w:val="0"/>
          <w:kern w:val="0"/>
          <w:szCs w:val="32"/>
          <w:lang w:val="zh-CN"/>
        </w:rPr>
        <w:t>医疗器械分类目录</w:t>
      </w:r>
      <w:r>
        <w:rPr>
          <w:rFonts w:eastAsia="仿宋_GB2312"/>
          <w:snapToGrid w:val="0"/>
          <w:kern w:val="0"/>
          <w:szCs w:val="32"/>
          <w:lang w:val="zh-CN"/>
        </w:rPr>
        <w:t>:</w:t>
      </w:r>
      <w:r>
        <w:rPr>
          <w:rFonts w:eastAsia="仿宋_GB2312"/>
          <w:snapToGrid w:val="0"/>
          <w:kern w:val="0"/>
          <w:szCs w:val="32"/>
          <w:lang w:val="zh-CN"/>
        </w:rPr>
        <w:t>国家食品药品监督管理总局公告</w:t>
      </w:r>
      <w:r>
        <w:rPr>
          <w:rFonts w:eastAsia="仿宋_GB2312"/>
          <w:snapToGrid w:val="0"/>
          <w:kern w:val="0"/>
          <w:szCs w:val="32"/>
          <w:lang w:val="zh-CN"/>
        </w:rPr>
        <w:t>2017</w:t>
      </w:r>
      <w:r>
        <w:rPr>
          <w:rFonts w:eastAsia="仿宋_GB2312"/>
          <w:snapToGrid w:val="0"/>
          <w:kern w:val="0"/>
          <w:szCs w:val="32"/>
          <w:lang w:val="zh-CN"/>
        </w:rPr>
        <w:t>年第</w:t>
      </w:r>
      <w:r>
        <w:rPr>
          <w:rFonts w:eastAsia="仿宋_GB2312"/>
          <w:snapToGrid w:val="0"/>
          <w:kern w:val="0"/>
          <w:szCs w:val="32"/>
          <w:lang w:val="zh-CN"/>
        </w:rPr>
        <w:t>104</w:t>
      </w:r>
      <w:r>
        <w:rPr>
          <w:rFonts w:eastAsia="仿宋_GB2312"/>
          <w:snapToGrid w:val="0"/>
          <w:kern w:val="0"/>
          <w:szCs w:val="32"/>
          <w:lang w:val="zh-CN"/>
        </w:rPr>
        <w:t>号</w:t>
      </w:r>
      <w:r>
        <w:rPr>
          <w:rFonts w:eastAsia="仿宋_GB2312"/>
          <w:snapToGrid w:val="0"/>
          <w:kern w:val="0"/>
          <w:szCs w:val="32"/>
          <w:lang w:val="zh-CN"/>
        </w:rPr>
        <w:t>[Z].</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[8]</w:t>
      </w:r>
      <w:r>
        <w:rPr>
          <w:rFonts w:eastAsia="仿宋_GB2312"/>
          <w:snapToGrid w:val="0"/>
          <w:kern w:val="0"/>
          <w:szCs w:val="32"/>
          <w:lang w:val="zh-CN"/>
        </w:rPr>
        <w:t>国家药品监督管理局</w:t>
      </w:r>
      <w:r>
        <w:rPr>
          <w:rFonts w:eastAsia="仿宋_GB2312"/>
          <w:snapToGrid w:val="0"/>
          <w:kern w:val="0"/>
          <w:szCs w:val="32"/>
          <w:lang w:val="zh-CN"/>
        </w:rPr>
        <w:t>.</w:t>
      </w:r>
      <w:r>
        <w:rPr>
          <w:rFonts w:eastAsia="仿宋_GB2312"/>
          <w:snapToGrid w:val="0"/>
          <w:kern w:val="0"/>
          <w:szCs w:val="32"/>
          <w:lang w:val="zh-CN"/>
        </w:rPr>
        <w:t>医疗器械安全和性能的基本原则</w:t>
      </w:r>
      <w:r>
        <w:rPr>
          <w:rFonts w:eastAsia="仿宋_GB2312"/>
          <w:snapToGrid w:val="0"/>
          <w:kern w:val="0"/>
          <w:szCs w:val="32"/>
          <w:lang w:val="zh-CN"/>
        </w:rPr>
        <w:t>:</w:t>
      </w:r>
      <w:r>
        <w:rPr>
          <w:rFonts w:eastAsia="仿宋_GB2312"/>
          <w:snapToGrid w:val="0"/>
          <w:kern w:val="0"/>
          <w:szCs w:val="32"/>
          <w:lang w:val="zh-CN"/>
        </w:rPr>
        <w:t>国家药监局通告</w:t>
      </w:r>
      <w:r>
        <w:rPr>
          <w:rFonts w:eastAsia="仿宋_GB2312"/>
          <w:snapToGrid w:val="0"/>
          <w:kern w:val="0"/>
          <w:szCs w:val="32"/>
          <w:lang w:val="zh-CN"/>
        </w:rPr>
        <w:t>2020</w:t>
      </w:r>
      <w:r>
        <w:rPr>
          <w:rFonts w:eastAsia="仿宋_GB2312"/>
          <w:snapToGrid w:val="0"/>
          <w:kern w:val="0"/>
          <w:szCs w:val="32"/>
          <w:lang w:val="zh-CN"/>
        </w:rPr>
        <w:t>年第</w:t>
      </w:r>
      <w:r>
        <w:rPr>
          <w:rFonts w:eastAsia="仿宋_GB2312"/>
          <w:snapToGrid w:val="0"/>
          <w:kern w:val="0"/>
          <w:szCs w:val="32"/>
          <w:lang w:val="zh-CN"/>
        </w:rPr>
        <w:t>18</w:t>
      </w:r>
      <w:r>
        <w:rPr>
          <w:rFonts w:eastAsia="仿宋_GB2312"/>
          <w:snapToGrid w:val="0"/>
          <w:kern w:val="0"/>
          <w:szCs w:val="32"/>
          <w:lang w:val="zh-CN"/>
        </w:rPr>
        <w:t>号</w:t>
      </w:r>
      <w:r>
        <w:rPr>
          <w:rFonts w:eastAsia="仿宋_GB2312"/>
          <w:snapToGrid w:val="0"/>
          <w:kern w:val="0"/>
          <w:szCs w:val="32"/>
          <w:lang w:val="zh-CN"/>
        </w:rPr>
        <w:t>[Z].</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[9]</w:t>
      </w:r>
      <w:r>
        <w:rPr>
          <w:rFonts w:eastAsia="仿宋_GB2312"/>
          <w:snapToGrid w:val="0"/>
          <w:kern w:val="0"/>
          <w:szCs w:val="32"/>
          <w:lang w:val="zh-CN"/>
        </w:rPr>
        <w:t>国家药品监督管理局</w:t>
      </w:r>
      <w:r>
        <w:rPr>
          <w:rFonts w:eastAsia="仿宋_GB2312"/>
          <w:snapToGrid w:val="0"/>
          <w:kern w:val="0"/>
          <w:szCs w:val="32"/>
          <w:lang w:val="zh-CN"/>
        </w:rPr>
        <w:t>.</w:t>
      </w:r>
      <w:r>
        <w:rPr>
          <w:rFonts w:eastAsia="仿宋_GB2312"/>
          <w:snapToGrid w:val="0"/>
          <w:kern w:val="0"/>
          <w:szCs w:val="32"/>
          <w:lang w:val="zh-CN"/>
        </w:rPr>
        <w:t>医疗器械产品技术要求编写指导原则</w:t>
      </w:r>
      <w:r>
        <w:rPr>
          <w:rFonts w:eastAsia="仿宋_GB2312"/>
          <w:snapToGrid w:val="0"/>
          <w:kern w:val="0"/>
          <w:szCs w:val="32"/>
          <w:lang w:val="zh-CN"/>
        </w:rPr>
        <w:t>:</w:t>
      </w:r>
      <w:r>
        <w:rPr>
          <w:rFonts w:eastAsia="仿宋_GB2312"/>
          <w:snapToGrid w:val="0"/>
          <w:kern w:val="0"/>
          <w:szCs w:val="32"/>
          <w:lang w:val="zh-CN"/>
        </w:rPr>
        <w:t>国家药监局通告</w:t>
      </w:r>
      <w:r>
        <w:rPr>
          <w:rFonts w:eastAsia="仿宋_GB2312"/>
          <w:snapToGrid w:val="0"/>
          <w:kern w:val="0"/>
          <w:szCs w:val="32"/>
          <w:lang w:val="zh-CN"/>
        </w:rPr>
        <w:t>2022</w:t>
      </w:r>
      <w:r>
        <w:rPr>
          <w:rFonts w:eastAsia="仿宋_GB2312"/>
          <w:snapToGrid w:val="0"/>
          <w:kern w:val="0"/>
          <w:szCs w:val="32"/>
          <w:lang w:val="zh-CN"/>
        </w:rPr>
        <w:t>年第</w:t>
      </w:r>
      <w:r>
        <w:rPr>
          <w:rFonts w:eastAsia="仿宋_GB2312"/>
          <w:snapToGrid w:val="0"/>
          <w:kern w:val="0"/>
          <w:szCs w:val="32"/>
          <w:lang w:val="zh-CN"/>
        </w:rPr>
        <w:t>8</w:t>
      </w:r>
      <w:r>
        <w:rPr>
          <w:rFonts w:eastAsia="仿宋_GB2312"/>
          <w:snapToGrid w:val="0"/>
          <w:kern w:val="0"/>
          <w:szCs w:val="32"/>
          <w:lang w:val="zh-CN"/>
        </w:rPr>
        <w:t>号</w:t>
      </w:r>
      <w:r>
        <w:rPr>
          <w:rFonts w:eastAsia="仿宋_GB2312"/>
          <w:snapToGrid w:val="0"/>
          <w:kern w:val="0"/>
          <w:szCs w:val="32"/>
          <w:lang w:val="zh-CN"/>
        </w:rPr>
        <w:t>[Z].</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[10]</w:t>
      </w:r>
      <w:r>
        <w:rPr>
          <w:rFonts w:eastAsia="仿宋_GB2312"/>
          <w:snapToGrid w:val="0"/>
          <w:kern w:val="0"/>
          <w:szCs w:val="32"/>
          <w:lang w:val="zh-CN"/>
        </w:rPr>
        <w:t>国家药品监督管理局</w:t>
      </w:r>
      <w:r>
        <w:rPr>
          <w:rFonts w:eastAsia="仿宋_GB2312"/>
          <w:snapToGrid w:val="0"/>
          <w:kern w:val="0"/>
          <w:szCs w:val="32"/>
          <w:lang w:val="zh-CN"/>
        </w:rPr>
        <w:t>.</w:t>
      </w:r>
      <w:r>
        <w:rPr>
          <w:rFonts w:eastAsia="仿宋_GB2312"/>
          <w:snapToGrid w:val="0"/>
          <w:kern w:val="0"/>
          <w:szCs w:val="32"/>
          <w:lang w:val="zh-CN"/>
        </w:rPr>
        <w:t>免于进行临床评价医疗器械目录</w:t>
      </w:r>
      <w:r>
        <w:rPr>
          <w:rFonts w:eastAsia="仿宋_GB2312"/>
          <w:snapToGrid w:val="0"/>
          <w:kern w:val="0"/>
          <w:szCs w:val="32"/>
          <w:lang w:val="zh-CN"/>
        </w:rPr>
        <w:t>:</w:t>
      </w:r>
      <w:r>
        <w:rPr>
          <w:rFonts w:eastAsia="仿宋_GB2312"/>
          <w:snapToGrid w:val="0"/>
          <w:kern w:val="0"/>
          <w:szCs w:val="32"/>
          <w:lang w:val="zh-CN"/>
        </w:rPr>
        <w:t>国家药监局通告</w:t>
      </w:r>
      <w:r>
        <w:rPr>
          <w:rFonts w:eastAsia="仿宋_GB2312"/>
          <w:snapToGrid w:val="0"/>
          <w:kern w:val="0"/>
          <w:szCs w:val="32"/>
          <w:lang w:val="zh-CN"/>
        </w:rPr>
        <w:t>202</w:t>
      </w:r>
      <w:r>
        <w:rPr>
          <w:rFonts w:eastAsia="仿宋_GB2312"/>
          <w:snapToGrid w:val="0"/>
          <w:kern w:val="0"/>
          <w:szCs w:val="32"/>
        </w:rPr>
        <w:t>5</w:t>
      </w:r>
      <w:r>
        <w:rPr>
          <w:rFonts w:eastAsia="仿宋_GB2312"/>
          <w:snapToGrid w:val="0"/>
          <w:kern w:val="0"/>
          <w:szCs w:val="32"/>
          <w:lang w:val="zh-CN"/>
        </w:rPr>
        <w:t>年第</w:t>
      </w:r>
      <w:r>
        <w:rPr>
          <w:rFonts w:eastAsia="仿宋_GB2312"/>
          <w:snapToGrid w:val="0"/>
          <w:kern w:val="0"/>
          <w:szCs w:val="32"/>
        </w:rPr>
        <w:t>19</w:t>
      </w:r>
      <w:r>
        <w:rPr>
          <w:rFonts w:eastAsia="仿宋_GB2312"/>
          <w:snapToGrid w:val="0"/>
          <w:kern w:val="0"/>
          <w:szCs w:val="32"/>
          <w:lang w:val="zh-CN"/>
        </w:rPr>
        <w:t>号</w:t>
      </w:r>
      <w:r>
        <w:rPr>
          <w:rFonts w:eastAsia="仿宋_GB2312"/>
          <w:snapToGrid w:val="0"/>
          <w:kern w:val="0"/>
          <w:szCs w:val="32"/>
          <w:lang w:val="zh-CN"/>
        </w:rPr>
        <w:t>[Z].</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[11]</w:t>
      </w:r>
      <w:r>
        <w:rPr>
          <w:rFonts w:eastAsia="仿宋_GB2312"/>
          <w:snapToGrid w:val="0"/>
          <w:kern w:val="0"/>
          <w:szCs w:val="32"/>
          <w:lang w:val="zh-CN"/>
        </w:rPr>
        <w:t>国家药品监督管理局</w:t>
      </w:r>
      <w:r>
        <w:rPr>
          <w:rFonts w:eastAsia="仿宋_GB2312"/>
          <w:snapToGrid w:val="0"/>
          <w:kern w:val="0"/>
          <w:szCs w:val="32"/>
          <w:lang w:val="zh-CN"/>
        </w:rPr>
        <w:t>.</w:t>
      </w:r>
      <w:r>
        <w:rPr>
          <w:rFonts w:eastAsia="仿宋_GB2312"/>
          <w:snapToGrid w:val="0"/>
          <w:kern w:val="0"/>
          <w:szCs w:val="32"/>
          <w:lang w:val="zh-CN"/>
        </w:rPr>
        <w:t>医疗器械临床评价技术指导原则等</w:t>
      </w:r>
      <w:r>
        <w:rPr>
          <w:rFonts w:eastAsia="仿宋_GB2312"/>
          <w:snapToGrid w:val="0"/>
          <w:kern w:val="0"/>
          <w:szCs w:val="32"/>
          <w:lang w:val="zh-CN"/>
        </w:rPr>
        <w:t>5</w:t>
      </w:r>
      <w:r>
        <w:rPr>
          <w:rFonts w:eastAsia="仿宋_GB2312"/>
          <w:snapToGrid w:val="0"/>
          <w:kern w:val="0"/>
          <w:szCs w:val="32"/>
          <w:lang w:val="zh-CN"/>
        </w:rPr>
        <w:t>项技术指导原则</w:t>
      </w:r>
      <w:r>
        <w:rPr>
          <w:rFonts w:eastAsia="仿宋_GB2312"/>
          <w:snapToGrid w:val="0"/>
          <w:kern w:val="0"/>
          <w:szCs w:val="32"/>
          <w:lang w:val="zh-CN"/>
        </w:rPr>
        <w:t>:</w:t>
      </w:r>
      <w:r>
        <w:rPr>
          <w:rFonts w:eastAsia="仿宋_GB2312"/>
          <w:snapToGrid w:val="0"/>
          <w:kern w:val="0"/>
          <w:szCs w:val="32"/>
          <w:lang w:val="zh-CN"/>
        </w:rPr>
        <w:t>国家药监局通告</w:t>
      </w:r>
      <w:r>
        <w:rPr>
          <w:rFonts w:eastAsia="仿宋_GB2312"/>
          <w:snapToGrid w:val="0"/>
          <w:kern w:val="0"/>
          <w:szCs w:val="32"/>
          <w:lang w:val="zh-CN"/>
        </w:rPr>
        <w:t>2021</w:t>
      </w:r>
      <w:r>
        <w:rPr>
          <w:rFonts w:eastAsia="仿宋_GB2312"/>
          <w:snapToGrid w:val="0"/>
          <w:kern w:val="0"/>
          <w:szCs w:val="32"/>
          <w:lang w:val="zh-CN"/>
        </w:rPr>
        <w:t>年第</w:t>
      </w:r>
      <w:r>
        <w:rPr>
          <w:rFonts w:eastAsia="仿宋_GB2312"/>
          <w:snapToGrid w:val="0"/>
          <w:kern w:val="0"/>
          <w:szCs w:val="32"/>
          <w:lang w:val="zh-CN"/>
        </w:rPr>
        <w:t>73</w:t>
      </w:r>
      <w:r>
        <w:rPr>
          <w:rFonts w:eastAsia="仿宋_GB2312"/>
          <w:snapToGrid w:val="0"/>
          <w:kern w:val="0"/>
          <w:szCs w:val="32"/>
          <w:lang w:val="zh-CN"/>
        </w:rPr>
        <w:t>号</w:t>
      </w:r>
      <w:r>
        <w:rPr>
          <w:rFonts w:eastAsia="仿宋_GB2312"/>
          <w:snapToGrid w:val="0"/>
          <w:kern w:val="0"/>
          <w:szCs w:val="32"/>
          <w:lang w:val="zh-CN"/>
        </w:rPr>
        <w:t>[Z].</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[12]</w:t>
      </w:r>
      <w:r>
        <w:rPr>
          <w:rFonts w:eastAsia="仿宋_GB2312"/>
          <w:snapToGrid w:val="0"/>
          <w:kern w:val="0"/>
          <w:szCs w:val="32"/>
          <w:lang w:val="zh-CN"/>
        </w:rPr>
        <w:t>国家药品监督管理局医疗器械审评中心</w:t>
      </w:r>
      <w:r>
        <w:rPr>
          <w:rFonts w:eastAsia="仿宋_GB2312"/>
          <w:snapToGrid w:val="0"/>
          <w:kern w:val="0"/>
          <w:szCs w:val="32"/>
          <w:lang w:val="zh-CN"/>
        </w:rPr>
        <w:t>.</w:t>
      </w:r>
      <w:r>
        <w:rPr>
          <w:rFonts w:eastAsia="仿宋_GB2312"/>
          <w:snapToGrid w:val="0"/>
          <w:kern w:val="0"/>
          <w:szCs w:val="32"/>
          <w:lang w:val="zh-CN"/>
        </w:rPr>
        <w:t>医疗器械软件注册审查指导原则（</w:t>
      </w:r>
      <w:r>
        <w:rPr>
          <w:rFonts w:eastAsia="仿宋_GB2312"/>
          <w:snapToGrid w:val="0"/>
          <w:kern w:val="0"/>
          <w:szCs w:val="32"/>
          <w:lang w:val="zh-CN"/>
        </w:rPr>
        <w:t>2022</w:t>
      </w:r>
      <w:r>
        <w:rPr>
          <w:rFonts w:eastAsia="仿宋_GB2312"/>
          <w:snapToGrid w:val="0"/>
          <w:kern w:val="0"/>
          <w:szCs w:val="32"/>
          <w:lang w:val="zh-CN"/>
        </w:rPr>
        <w:t>年修订版）</w:t>
      </w:r>
      <w:r>
        <w:rPr>
          <w:rFonts w:eastAsia="仿宋_GB2312"/>
          <w:snapToGrid w:val="0"/>
          <w:kern w:val="0"/>
          <w:szCs w:val="32"/>
          <w:lang w:val="zh-CN"/>
        </w:rPr>
        <w:t>:</w:t>
      </w:r>
      <w:r>
        <w:rPr>
          <w:rFonts w:eastAsia="仿宋_GB2312"/>
          <w:snapToGrid w:val="0"/>
          <w:kern w:val="0"/>
          <w:szCs w:val="32"/>
          <w:lang w:val="zh-CN"/>
        </w:rPr>
        <w:t>国家药监局器审中心通告</w:t>
      </w:r>
      <w:r>
        <w:rPr>
          <w:rFonts w:eastAsia="仿宋_GB2312"/>
          <w:snapToGrid w:val="0"/>
          <w:kern w:val="0"/>
          <w:szCs w:val="32"/>
          <w:lang w:val="zh-CN"/>
        </w:rPr>
        <w:t>2022</w:t>
      </w:r>
      <w:r>
        <w:rPr>
          <w:rFonts w:eastAsia="仿宋_GB2312"/>
          <w:snapToGrid w:val="0"/>
          <w:kern w:val="0"/>
          <w:szCs w:val="32"/>
          <w:lang w:val="zh-CN"/>
        </w:rPr>
        <w:t>年第</w:t>
      </w:r>
      <w:r>
        <w:rPr>
          <w:rFonts w:eastAsia="仿宋_GB2312"/>
          <w:snapToGrid w:val="0"/>
          <w:kern w:val="0"/>
          <w:szCs w:val="32"/>
          <w:lang w:val="zh-CN"/>
        </w:rPr>
        <w:t>9</w:t>
      </w:r>
      <w:r>
        <w:rPr>
          <w:rFonts w:eastAsia="仿宋_GB2312"/>
          <w:snapToGrid w:val="0"/>
          <w:kern w:val="0"/>
          <w:szCs w:val="32"/>
          <w:lang w:val="zh-CN"/>
        </w:rPr>
        <w:t>号</w:t>
      </w:r>
      <w:r>
        <w:rPr>
          <w:rFonts w:eastAsia="仿宋_GB2312"/>
          <w:snapToGrid w:val="0"/>
          <w:kern w:val="0"/>
          <w:szCs w:val="32"/>
          <w:lang w:val="zh-CN"/>
        </w:rPr>
        <w:t>[Z].</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[13]</w:t>
      </w:r>
      <w:r>
        <w:rPr>
          <w:rFonts w:eastAsia="仿宋_GB2312"/>
          <w:snapToGrid w:val="0"/>
          <w:kern w:val="0"/>
          <w:szCs w:val="32"/>
          <w:lang w:val="zh-CN"/>
        </w:rPr>
        <w:t>国家药品监督管理局医疗器械审评中心</w:t>
      </w:r>
      <w:r>
        <w:rPr>
          <w:rFonts w:eastAsia="仿宋_GB2312"/>
          <w:snapToGrid w:val="0"/>
          <w:kern w:val="0"/>
          <w:szCs w:val="32"/>
          <w:lang w:val="zh-CN"/>
        </w:rPr>
        <w:t>.</w:t>
      </w:r>
      <w:r>
        <w:rPr>
          <w:rFonts w:eastAsia="仿宋_GB2312"/>
          <w:snapToGrid w:val="0"/>
          <w:kern w:val="0"/>
          <w:szCs w:val="32"/>
          <w:lang w:val="zh-CN"/>
        </w:rPr>
        <w:t>医疗器械网络安全注册审查指导原则（</w:t>
      </w:r>
      <w:r>
        <w:rPr>
          <w:rFonts w:eastAsia="仿宋_GB2312"/>
          <w:snapToGrid w:val="0"/>
          <w:kern w:val="0"/>
          <w:szCs w:val="32"/>
          <w:lang w:val="zh-CN"/>
        </w:rPr>
        <w:t>2022</w:t>
      </w:r>
      <w:r>
        <w:rPr>
          <w:rFonts w:eastAsia="仿宋_GB2312"/>
          <w:snapToGrid w:val="0"/>
          <w:kern w:val="0"/>
          <w:szCs w:val="32"/>
          <w:lang w:val="zh-CN"/>
        </w:rPr>
        <w:t>年修订版）</w:t>
      </w:r>
      <w:r>
        <w:rPr>
          <w:rFonts w:eastAsia="仿宋_GB2312"/>
          <w:snapToGrid w:val="0"/>
          <w:kern w:val="0"/>
          <w:szCs w:val="32"/>
          <w:lang w:val="zh-CN"/>
        </w:rPr>
        <w:t>:</w:t>
      </w:r>
      <w:r>
        <w:rPr>
          <w:rFonts w:eastAsia="仿宋_GB2312"/>
          <w:snapToGrid w:val="0"/>
          <w:kern w:val="0"/>
          <w:szCs w:val="32"/>
          <w:lang w:val="zh-CN"/>
        </w:rPr>
        <w:t>国家药监局器审中心通告</w:t>
      </w:r>
      <w:r>
        <w:rPr>
          <w:rFonts w:eastAsia="仿宋_GB2312"/>
          <w:snapToGrid w:val="0"/>
          <w:kern w:val="0"/>
          <w:szCs w:val="32"/>
          <w:lang w:val="zh-CN"/>
        </w:rPr>
        <w:t>2022</w:t>
      </w:r>
      <w:r>
        <w:rPr>
          <w:rFonts w:eastAsia="仿宋_GB2312"/>
          <w:snapToGrid w:val="0"/>
          <w:kern w:val="0"/>
          <w:szCs w:val="32"/>
          <w:lang w:val="zh-CN"/>
        </w:rPr>
        <w:t>年第</w:t>
      </w:r>
      <w:r>
        <w:rPr>
          <w:rFonts w:eastAsia="仿宋_GB2312"/>
          <w:snapToGrid w:val="0"/>
          <w:kern w:val="0"/>
          <w:szCs w:val="32"/>
          <w:lang w:val="zh-CN"/>
        </w:rPr>
        <w:t>7</w:t>
      </w:r>
      <w:r>
        <w:rPr>
          <w:rFonts w:eastAsia="仿宋_GB2312"/>
          <w:snapToGrid w:val="0"/>
          <w:kern w:val="0"/>
          <w:szCs w:val="32"/>
          <w:lang w:val="zh-CN"/>
        </w:rPr>
        <w:t>号</w:t>
      </w:r>
      <w:r>
        <w:rPr>
          <w:rFonts w:eastAsia="仿宋_GB2312"/>
          <w:snapToGrid w:val="0"/>
          <w:kern w:val="0"/>
          <w:szCs w:val="32"/>
          <w:lang w:val="zh-CN"/>
        </w:rPr>
        <w:t>[Z].</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[14]GB 9706.1</w:t>
      </w:r>
      <w:r>
        <w:rPr>
          <w:rFonts w:eastAsia="仿宋_GB2312"/>
          <w:snapToGrid w:val="0"/>
          <w:kern w:val="0"/>
          <w:szCs w:val="32"/>
        </w:rPr>
        <w:t>-2020</w:t>
      </w:r>
      <w:r>
        <w:rPr>
          <w:rFonts w:eastAsia="仿宋_GB2312"/>
          <w:snapToGrid w:val="0"/>
          <w:kern w:val="0"/>
          <w:szCs w:val="32"/>
          <w:lang w:val="zh-CN"/>
        </w:rPr>
        <w:t>,</w:t>
      </w:r>
      <w:r>
        <w:rPr>
          <w:rFonts w:eastAsia="仿宋_GB2312"/>
          <w:snapToGrid w:val="0"/>
          <w:kern w:val="0"/>
          <w:szCs w:val="32"/>
          <w:lang w:val="zh-CN"/>
        </w:rPr>
        <w:t>医用电气设备</w:t>
      </w:r>
      <w:r>
        <w:rPr>
          <w:rFonts w:eastAsia="仿宋_GB2312"/>
          <w:snapToGrid w:val="0"/>
          <w:kern w:val="0"/>
          <w:szCs w:val="32"/>
          <w:lang w:val="zh-CN"/>
        </w:rPr>
        <w:t xml:space="preserve"> </w:t>
      </w:r>
      <w:r>
        <w:rPr>
          <w:rFonts w:eastAsia="仿宋_GB2312"/>
          <w:snapToGrid w:val="0"/>
          <w:kern w:val="0"/>
          <w:szCs w:val="32"/>
          <w:lang w:val="zh-CN"/>
        </w:rPr>
        <w:t>第</w:t>
      </w:r>
      <w:r>
        <w:rPr>
          <w:rFonts w:eastAsia="仿宋_GB2312"/>
          <w:snapToGrid w:val="0"/>
          <w:kern w:val="0"/>
          <w:szCs w:val="32"/>
          <w:lang w:val="zh-CN"/>
        </w:rPr>
        <w:t>1</w:t>
      </w:r>
      <w:r>
        <w:rPr>
          <w:rFonts w:eastAsia="仿宋_GB2312"/>
          <w:snapToGrid w:val="0"/>
          <w:kern w:val="0"/>
          <w:szCs w:val="32"/>
          <w:lang w:val="zh-CN"/>
        </w:rPr>
        <w:t>部分</w:t>
      </w:r>
      <w:r>
        <w:rPr>
          <w:rFonts w:eastAsia="仿宋_GB2312"/>
          <w:snapToGrid w:val="0"/>
          <w:kern w:val="0"/>
          <w:szCs w:val="32"/>
          <w:lang w:val="zh-CN"/>
        </w:rPr>
        <w:t>:</w:t>
      </w:r>
      <w:r>
        <w:rPr>
          <w:rFonts w:eastAsia="仿宋_GB2312"/>
          <w:snapToGrid w:val="0"/>
          <w:kern w:val="0"/>
          <w:szCs w:val="32"/>
          <w:lang w:val="zh-CN"/>
        </w:rPr>
        <w:t>基本安全和基本性能的通用要求</w:t>
      </w:r>
      <w:r>
        <w:rPr>
          <w:rFonts w:eastAsia="仿宋_GB2312"/>
          <w:snapToGrid w:val="0"/>
          <w:kern w:val="0"/>
          <w:szCs w:val="32"/>
          <w:lang w:val="zh-CN"/>
        </w:rPr>
        <w:t>[S].</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[15]YY 9706.102</w:t>
      </w:r>
      <w:r>
        <w:rPr>
          <w:rFonts w:eastAsia="仿宋_GB2312"/>
          <w:snapToGrid w:val="0"/>
          <w:kern w:val="0"/>
          <w:szCs w:val="32"/>
        </w:rPr>
        <w:t>-2021</w:t>
      </w:r>
      <w:r>
        <w:rPr>
          <w:rFonts w:eastAsia="仿宋_GB2312"/>
          <w:snapToGrid w:val="0"/>
          <w:kern w:val="0"/>
          <w:szCs w:val="32"/>
          <w:lang w:val="zh-CN"/>
        </w:rPr>
        <w:t>,</w:t>
      </w:r>
      <w:r>
        <w:rPr>
          <w:rFonts w:eastAsia="仿宋_GB2312"/>
          <w:snapToGrid w:val="0"/>
          <w:kern w:val="0"/>
          <w:szCs w:val="32"/>
          <w:lang w:val="zh-CN"/>
        </w:rPr>
        <w:t>医用电气设备</w:t>
      </w:r>
      <w:r>
        <w:rPr>
          <w:rFonts w:eastAsia="仿宋_GB2312"/>
          <w:snapToGrid w:val="0"/>
          <w:kern w:val="0"/>
          <w:szCs w:val="32"/>
          <w:lang w:val="zh-CN"/>
        </w:rPr>
        <w:t xml:space="preserve"> </w:t>
      </w:r>
      <w:r>
        <w:rPr>
          <w:rFonts w:eastAsia="仿宋_GB2312"/>
          <w:snapToGrid w:val="0"/>
          <w:kern w:val="0"/>
          <w:szCs w:val="32"/>
          <w:lang w:val="zh-CN"/>
        </w:rPr>
        <w:t>第</w:t>
      </w:r>
      <w:r>
        <w:rPr>
          <w:rFonts w:eastAsia="仿宋_GB2312"/>
          <w:snapToGrid w:val="0"/>
          <w:kern w:val="0"/>
          <w:szCs w:val="32"/>
          <w:lang w:val="zh-CN"/>
        </w:rPr>
        <w:t>1-2</w:t>
      </w:r>
      <w:r>
        <w:rPr>
          <w:rFonts w:eastAsia="仿宋_GB2312"/>
          <w:snapToGrid w:val="0"/>
          <w:kern w:val="0"/>
          <w:szCs w:val="32"/>
          <w:lang w:val="zh-CN"/>
        </w:rPr>
        <w:t>部分</w:t>
      </w:r>
      <w:r>
        <w:rPr>
          <w:rFonts w:eastAsia="仿宋_GB2312"/>
          <w:snapToGrid w:val="0"/>
          <w:kern w:val="0"/>
          <w:szCs w:val="32"/>
          <w:lang w:val="zh-CN"/>
        </w:rPr>
        <w:t>:</w:t>
      </w:r>
      <w:r>
        <w:rPr>
          <w:rFonts w:eastAsia="仿宋_GB2312"/>
          <w:snapToGrid w:val="0"/>
          <w:kern w:val="0"/>
          <w:szCs w:val="32"/>
          <w:lang w:val="zh-CN"/>
        </w:rPr>
        <w:t>基本安全和基本性能的通用要求</w:t>
      </w:r>
      <w:r>
        <w:rPr>
          <w:rFonts w:eastAsia="仿宋_GB2312"/>
          <w:snapToGrid w:val="0"/>
          <w:kern w:val="0"/>
          <w:szCs w:val="32"/>
          <w:lang w:val="zh-CN"/>
        </w:rPr>
        <w:t xml:space="preserve"> </w:t>
      </w:r>
      <w:r>
        <w:rPr>
          <w:rFonts w:eastAsia="仿宋_GB2312"/>
          <w:snapToGrid w:val="0"/>
          <w:kern w:val="0"/>
          <w:szCs w:val="32"/>
          <w:lang w:val="zh-CN"/>
        </w:rPr>
        <w:t>并列标准</w:t>
      </w:r>
      <w:r>
        <w:rPr>
          <w:rFonts w:eastAsia="仿宋_GB2312"/>
          <w:snapToGrid w:val="0"/>
          <w:kern w:val="0"/>
          <w:szCs w:val="32"/>
          <w:lang w:val="zh-CN"/>
        </w:rPr>
        <w:t>:</w:t>
      </w:r>
      <w:r>
        <w:rPr>
          <w:rFonts w:eastAsia="仿宋_GB2312"/>
          <w:snapToGrid w:val="0"/>
          <w:kern w:val="0"/>
          <w:szCs w:val="32"/>
          <w:lang w:val="zh-CN"/>
        </w:rPr>
        <w:t>电磁兼容</w:t>
      </w:r>
      <w:r>
        <w:rPr>
          <w:rFonts w:eastAsia="仿宋_GB2312"/>
          <w:snapToGrid w:val="0"/>
          <w:kern w:val="0"/>
          <w:szCs w:val="32"/>
          <w:lang w:val="zh-CN"/>
        </w:rPr>
        <w:t xml:space="preserve"> </w:t>
      </w:r>
      <w:r>
        <w:rPr>
          <w:rFonts w:eastAsia="仿宋_GB2312"/>
          <w:snapToGrid w:val="0"/>
          <w:kern w:val="0"/>
          <w:szCs w:val="32"/>
          <w:lang w:val="zh-CN"/>
        </w:rPr>
        <w:t>要求和试验</w:t>
      </w:r>
      <w:r>
        <w:rPr>
          <w:rFonts w:eastAsia="仿宋_GB2312"/>
          <w:snapToGrid w:val="0"/>
          <w:kern w:val="0"/>
          <w:szCs w:val="32"/>
          <w:lang w:val="zh-CN"/>
        </w:rPr>
        <w:t>[S].</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[16]YY/T 0697</w:t>
      </w:r>
      <w:r>
        <w:rPr>
          <w:rFonts w:eastAsia="仿宋_GB2312"/>
          <w:snapToGrid w:val="0"/>
          <w:kern w:val="0"/>
          <w:szCs w:val="32"/>
        </w:rPr>
        <w:t>-2016</w:t>
      </w:r>
      <w:r>
        <w:rPr>
          <w:rFonts w:eastAsia="仿宋_GB2312"/>
          <w:snapToGrid w:val="0"/>
          <w:kern w:val="0"/>
          <w:szCs w:val="32"/>
          <w:lang w:val="zh-CN"/>
        </w:rPr>
        <w:t>,</w:t>
      </w:r>
      <w:r>
        <w:rPr>
          <w:rFonts w:eastAsia="仿宋_GB2312"/>
          <w:snapToGrid w:val="0"/>
          <w:kern w:val="0"/>
          <w:szCs w:val="32"/>
          <w:lang w:val="zh-CN"/>
        </w:rPr>
        <w:t>电动颈腰椎牵引治疗设备</w:t>
      </w:r>
      <w:r>
        <w:rPr>
          <w:rFonts w:eastAsia="仿宋_GB2312"/>
          <w:snapToGrid w:val="0"/>
          <w:kern w:val="0"/>
          <w:szCs w:val="32"/>
          <w:lang w:val="zh-CN"/>
        </w:rPr>
        <w:t>[S].</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rPr>
        <w:t>[17]YY/T 1491-2016</w:t>
      </w:r>
      <w:r>
        <w:rPr>
          <w:rFonts w:eastAsia="仿宋_GB2312"/>
          <w:snapToGrid w:val="0"/>
          <w:kern w:val="0"/>
          <w:szCs w:val="32"/>
          <w:lang w:val="zh-CN"/>
        </w:rPr>
        <w:t>,</w:t>
      </w:r>
      <w:r>
        <w:rPr>
          <w:rFonts w:eastAsia="仿宋_GB2312"/>
          <w:snapToGrid w:val="0"/>
          <w:kern w:val="0"/>
          <w:szCs w:val="32"/>
        </w:rPr>
        <w:t>电动颈腰椎牵引用床、椅和附件</w:t>
      </w:r>
      <w:r>
        <w:rPr>
          <w:rFonts w:eastAsia="仿宋_GB2312"/>
          <w:snapToGrid w:val="0"/>
          <w:kern w:val="0"/>
          <w:szCs w:val="32"/>
        </w:rPr>
        <w:t>[S].</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rPr>
      </w:pPr>
      <w:r>
        <w:rPr>
          <w:rFonts w:eastAsia="仿宋_GB2312"/>
          <w:snapToGrid w:val="0"/>
          <w:kern w:val="0"/>
          <w:szCs w:val="32"/>
          <w:lang w:val="zh-CN"/>
        </w:rPr>
        <w:t>[1</w:t>
      </w:r>
      <w:r>
        <w:rPr>
          <w:rFonts w:eastAsia="仿宋_GB2312"/>
          <w:snapToGrid w:val="0"/>
          <w:kern w:val="0"/>
          <w:szCs w:val="32"/>
        </w:rPr>
        <w:t>8</w:t>
      </w:r>
      <w:r>
        <w:rPr>
          <w:rFonts w:eastAsia="仿宋_GB2312"/>
          <w:snapToGrid w:val="0"/>
          <w:kern w:val="0"/>
          <w:szCs w:val="32"/>
          <w:lang w:val="zh-CN"/>
        </w:rPr>
        <w:t>]GB/T 14710</w:t>
      </w:r>
      <w:r>
        <w:rPr>
          <w:rFonts w:eastAsia="仿宋_GB2312"/>
          <w:snapToGrid w:val="0"/>
          <w:kern w:val="0"/>
          <w:szCs w:val="32"/>
        </w:rPr>
        <w:t>-2009</w:t>
      </w:r>
      <w:r>
        <w:rPr>
          <w:rFonts w:eastAsia="仿宋_GB2312"/>
          <w:snapToGrid w:val="0"/>
          <w:kern w:val="0"/>
          <w:szCs w:val="32"/>
          <w:lang w:val="zh-CN"/>
        </w:rPr>
        <w:t>,</w:t>
      </w:r>
      <w:r>
        <w:rPr>
          <w:rFonts w:eastAsia="仿宋_GB2312"/>
          <w:snapToGrid w:val="0"/>
          <w:kern w:val="0"/>
          <w:szCs w:val="32"/>
        </w:rPr>
        <w:t>医用电器环境要求及试验方法</w:t>
      </w:r>
      <w:r>
        <w:rPr>
          <w:rFonts w:eastAsia="仿宋_GB2312"/>
          <w:snapToGrid w:val="0"/>
          <w:kern w:val="0"/>
          <w:szCs w:val="32"/>
        </w:rPr>
        <w:t>[S].</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[1</w:t>
      </w:r>
      <w:r>
        <w:rPr>
          <w:rFonts w:eastAsia="仿宋_GB2312"/>
          <w:snapToGrid w:val="0"/>
          <w:kern w:val="0"/>
          <w:szCs w:val="32"/>
        </w:rPr>
        <w:t>9</w:t>
      </w:r>
      <w:r>
        <w:rPr>
          <w:rFonts w:eastAsia="仿宋_GB2312"/>
          <w:snapToGrid w:val="0"/>
          <w:kern w:val="0"/>
          <w:szCs w:val="32"/>
          <w:lang w:val="zh-CN"/>
        </w:rPr>
        <w:t>]GB/T 42062-2022,</w:t>
      </w:r>
      <w:r>
        <w:rPr>
          <w:rFonts w:eastAsia="仿宋_GB2312"/>
          <w:snapToGrid w:val="0"/>
          <w:kern w:val="0"/>
          <w:szCs w:val="32"/>
          <w:lang w:val="zh-CN"/>
        </w:rPr>
        <w:t>医疗器械</w:t>
      </w:r>
      <w:r>
        <w:rPr>
          <w:rFonts w:eastAsia="仿宋_GB2312"/>
          <w:snapToGrid w:val="0"/>
          <w:kern w:val="0"/>
          <w:szCs w:val="32"/>
          <w:lang w:val="zh-CN"/>
        </w:rPr>
        <w:t xml:space="preserve"> </w:t>
      </w:r>
      <w:r>
        <w:rPr>
          <w:rFonts w:eastAsia="仿宋_GB2312"/>
          <w:snapToGrid w:val="0"/>
          <w:kern w:val="0"/>
          <w:szCs w:val="32"/>
          <w:lang w:val="zh-CN"/>
        </w:rPr>
        <w:t>风险管理对医疗器械的应用</w:t>
      </w:r>
      <w:r>
        <w:rPr>
          <w:rFonts w:eastAsia="仿宋_GB2312"/>
          <w:snapToGrid w:val="0"/>
          <w:kern w:val="0"/>
          <w:szCs w:val="32"/>
          <w:lang w:val="zh-CN"/>
        </w:rPr>
        <w:t>[S].</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lastRenderedPageBreak/>
        <w:t>[</w:t>
      </w:r>
      <w:r>
        <w:rPr>
          <w:rFonts w:eastAsia="仿宋_GB2312"/>
          <w:snapToGrid w:val="0"/>
          <w:kern w:val="0"/>
          <w:szCs w:val="32"/>
        </w:rPr>
        <w:t>20</w:t>
      </w:r>
      <w:r>
        <w:rPr>
          <w:rFonts w:eastAsia="仿宋_GB2312"/>
          <w:snapToGrid w:val="0"/>
          <w:kern w:val="0"/>
          <w:szCs w:val="32"/>
          <w:lang w:val="zh-CN"/>
        </w:rPr>
        <w:t>]GB/T 16886.1</w:t>
      </w:r>
      <w:r>
        <w:rPr>
          <w:rFonts w:eastAsia="仿宋_GB2312"/>
          <w:snapToGrid w:val="0"/>
          <w:kern w:val="0"/>
          <w:szCs w:val="32"/>
        </w:rPr>
        <w:t>-2022</w:t>
      </w:r>
      <w:r>
        <w:rPr>
          <w:rFonts w:eastAsia="仿宋_GB2312"/>
          <w:snapToGrid w:val="0"/>
          <w:kern w:val="0"/>
          <w:szCs w:val="32"/>
          <w:lang w:val="zh-CN"/>
        </w:rPr>
        <w:t>,</w:t>
      </w:r>
      <w:r>
        <w:rPr>
          <w:rFonts w:eastAsia="仿宋_GB2312"/>
          <w:snapToGrid w:val="0"/>
          <w:kern w:val="0"/>
          <w:szCs w:val="32"/>
          <w:lang w:val="zh-CN"/>
        </w:rPr>
        <w:t>医疗器械生物学评价</w:t>
      </w:r>
      <w:r>
        <w:rPr>
          <w:rFonts w:eastAsia="仿宋_GB2312"/>
          <w:snapToGrid w:val="0"/>
          <w:kern w:val="0"/>
          <w:szCs w:val="32"/>
          <w:lang w:val="zh-CN"/>
        </w:rPr>
        <w:t xml:space="preserve"> </w:t>
      </w:r>
      <w:r>
        <w:rPr>
          <w:rFonts w:eastAsia="仿宋_GB2312"/>
          <w:snapToGrid w:val="0"/>
          <w:kern w:val="0"/>
          <w:szCs w:val="32"/>
          <w:lang w:val="zh-CN"/>
        </w:rPr>
        <w:t>第</w:t>
      </w:r>
      <w:r>
        <w:rPr>
          <w:rFonts w:eastAsia="仿宋_GB2312"/>
          <w:snapToGrid w:val="0"/>
          <w:kern w:val="0"/>
          <w:szCs w:val="32"/>
          <w:lang w:val="zh-CN"/>
        </w:rPr>
        <w:t>1</w:t>
      </w:r>
      <w:r>
        <w:rPr>
          <w:rFonts w:eastAsia="仿宋_GB2312"/>
          <w:snapToGrid w:val="0"/>
          <w:kern w:val="0"/>
          <w:szCs w:val="32"/>
          <w:lang w:val="zh-CN"/>
        </w:rPr>
        <w:t>部分</w:t>
      </w:r>
      <w:r>
        <w:rPr>
          <w:rFonts w:eastAsia="仿宋_GB2312"/>
          <w:snapToGrid w:val="0"/>
          <w:kern w:val="0"/>
          <w:szCs w:val="32"/>
          <w:lang w:val="zh-CN"/>
        </w:rPr>
        <w:t xml:space="preserve"> </w:t>
      </w:r>
      <w:r>
        <w:rPr>
          <w:rFonts w:eastAsia="仿宋_GB2312"/>
          <w:snapToGrid w:val="0"/>
          <w:kern w:val="0"/>
          <w:szCs w:val="32"/>
          <w:lang w:val="zh-CN"/>
        </w:rPr>
        <w:t>风险管理过程中的评价与试验</w:t>
      </w:r>
      <w:r>
        <w:rPr>
          <w:rFonts w:eastAsia="仿宋_GB2312"/>
          <w:snapToGrid w:val="0"/>
          <w:kern w:val="0"/>
          <w:szCs w:val="32"/>
          <w:lang w:val="zh-CN"/>
        </w:rPr>
        <w:t>[S].</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w:t>
      </w:r>
      <w:r>
        <w:rPr>
          <w:rFonts w:eastAsia="仿宋_GB2312"/>
          <w:snapToGrid w:val="0"/>
          <w:kern w:val="0"/>
          <w:szCs w:val="32"/>
        </w:rPr>
        <w:t>21</w:t>
      </w:r>
      <w:r>
        <w:rPr>
          <w:rFonts w:eastAsia="仿宋_GB2312"/>
          <w:snapToGrid w:val="0"/>
          <w:kern w:val="0"/>
          <w:szCs w:val="32"/>
          <w:lang w:val="zh-CN"/>
        </w:rPr>
        <w:t>]YY/T 0466.1</w:t>
      </w:r>
      <w:r>
        <w:rPr>
          <w:rFonts w:eastAsia="仿宋_GB2312"/>
          <w:snapToGrid w:val="0"/>
          <w:kern w:val="0"/>
          <w:szCs w:val="32"/>
        </w:rPr>
        <w:t>-2023</w:t>
      </w:r>
      <w:r>
        <w:rPr>
          <w:rFonts w:eastAsia="仿宋_GB2312"/>
          <w:snapToGrid w:val="0"/>
          <w:kern w:val="0"/>
          <w:szCs w:val="32"/>
          <w:lang w:val="zh-CN"/>
        </w:rPr>
        <w:t>,</w:t>
      </w:r>
      <w:r>
        <w:rPr>
          <w:rFonts w:eastAsia="仿宋_GB2312"/>
          <w:snapToGrid w:val="0"/>
          <w:kern w:val="0"/>
          <w:szCs w:val="32"/>
          <w:lang w:val="zh-CN"/>
        </w:rPr>
        <w:t>医疗器械</w:t>
      </w:r>
      <w:r>
        <w:rPr>
          <w:rFonts w:eastAsia="仿宋_GB2312"/>
          <w:snapToGrid w:val="0"/>
          <w:kern w:val="0"/>
          <w:szCs w:val="32"/>
          <w:lang w:val="zh-CN"/>
        </w:rPr>
        <w:t xml:space="preserve"> </w:t>
      </w:r>
      <w:r>
        <w:rPr>
          <w:rFonts w:eastAsia="仿宋_GB2312"/>
          <w:snapToGrid w:val="0"/>
          <w:kern w:val="0"/>
          <w:szCs w:val="32"/>
          <w:lang w:val="zh-CN"/>
        </w:rPr>
        <w:t>用于制造商提供信息的符号</w:t>
      </w:r>
      <w:r>
        <w:rPr>
          <w:rFonts w:eastAsia="仿宋_GB2312"/>
          <w:snapToGrid w:val="0"/>
          <w:kern w:val="0"/>
          <w:szCs w:val="32"/>
          <w:lang w:val="zh-CN"/>
        </w:rPr>
        <w:t xml:space="preserve"> </w:t>
      </w:r>
      <w:r>
        <w:rPr>
          <w:rFonts w:eastAsia="仿宋_GB2312"/>
          <w:snapToGrid w:val="0"/>
          <w:kern w:val="0"/>
          <w:szCs w:val="32"/>
          <w:lang w:val="zh-CN"/>
        </w:rPr>
        <w:t>第</w:t>
      </w:r>
      <w:r>
        <w:rPr>
          <w:rFonts w:eastAsia="仿宋_GB2312"/>
          <w:snapToGrid w:val="0"/>
          <w:kern w:val="0"/>
          <w:szCs w:val="32"/>
          <w:lang w:val="zh-CN"/>
        </w:rPr>
        <w:t>1</w:t>
      </w:r>
      <w:r>
        <w:rPr>
          <w:rFonts w:eastAsia="仿宋_GB2312"/>
          <w:snapToGrid w:val="0"/>
          <w:kern w:val="0"/>
          <w:szCs w:val="32"/>
          <w:lang w:val="zh-CN"/>
        </w:rPr>
        <w:t>部分</w:t>
      </w:r>
      <w:r>
        <w:rPr>
          <w:rFonts w:eastAsia="仿宋_GB2312"/>
          <w:snapToGrid w:val="0"/>
          <w:kern w:val="0"/>
          <w:szCs w:val="32"/>
          <w:lang w:val="zh-CN"/>
        </w:rPr>
        <w:t>:</w:t>
      </w:r>
      <w:r>
        <w:rPr>
          <w:rFonts w:eastAsia="仿宋_GB2312"/>
          <w:snapToGrid w:val="0"/>
          <w:kern w:val="0"/>
          <w:szCs w:val="32"/>
          <w:lang w:val="zh-CN"/>
        </w:rPr>
        <w:t>通用要求</w:t>
      </w:r>
      <w:r>
        <w:rPr>
          <w:rFonts w:eastAsia="仿宋_GB2312"/>
          <w:snapToGrid w:val="0"/>
          <w:kern w:val="0"/>
          <w:szCs w:val="32"/>
          <w:lang w:val="zh-CN"/>
        </w:rPr>
        <w:t>[S].</w:t>
      </w: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br w:type="page"/>
      </w:r>
    </w:p>
    <w:p w:rsidR="009079CF" w:rsidRDefault="009B4FD9">
      <w:pPr>
        <w:overflowPunct w:val="0"/>
        <w:autoSpaceDE w:val="0"/>
        <w:autoSpaceDN w:val="0"/>
        <w:spacing w:line="520" w:lineRule="exact"/>
        <w:ind w:left="426" w:hangingChars="133" w:hanging="426"/>
        <w:jc w:val="left"/>
        <w:outlineLvl w:val="0"/>
        <w:rPr>
          <w:rFonts w:eastAsia="黑体"/>
          <w:snapToGrid w:val="0"/>
          <w:kern w:val="0"/>
          <w:szCs w:val="32"/>
        </w:rPr>
      </w:pPr>
      <w:r>
        <w:rPr>
          <w:rFonts w:eastAsia="黑体"/>
          <w:snapToGrid w:val="0"/>
          <w:kern w:val="0"/>
          <w:szCs w:val="32"/>
        </w:rPr>
        <w:lastRenderedPageBreak/>
        <w:t>附件</w:t>
      </w:r>
      <w:r>
        <w:rPr>
          <w:rFonts w:eastAsia="黑体"/>
          <w:snapToGrid w:val="0"/>
          <w:kern w:val="0"/>
          <w:szCs w:val="32"/>
        </w:rPr>
        <w:t>1</w:t>
      </w:r>
    </w:p>
    <w:p w:rsidR="009079CF" w:rsidRDefault="009B4FD9">
      <w:pPr>
        <w:jc w:val="center"/>
        <w:rPr>
          <w:rFonts w:eastAsia="方正小标宋简体"/>
          <w:bCs/>
          <w:snapToGrid w:val="0"/>
          <w:sz w:val="44"/>
          <w:szCs w:val="44"/>
          <w:lang w:val="zh-CN"/>
        </w:rPr>
      </w:pPr>
      <w:r>
        <w:rPr>
          <w:rFonts w:eastAsia="方正小标宋简体"/>
          <w:bCs/>
          <w:snapToGrid w:val="0"/>
          <w:sz w:val="44"/>
          <w:szCs w:val="44"/>
          <w:lang w:val="zh-CN"/>
        </w:rPr>
        <w:t>风险管理文档</w:t>
      </w:r>
    </w:p>
    <w:p w:rsidR="009079CF" w:rsidRDefault="009079CF">
      <w:pPr>
        <w:pStyle w:val="a0"/>
        <w:rPr>
          <w:lang w:val="zh-CN"/>
        </w:rPr>
      </w:pPr>
    </w:p>
    <w:p w:rsidR="009079CF" w:rsidRDefault="009B4FD9">
      <w:pPr>
        <w:overflowPunct w:val="0"/>
        <w:autoSpaceDE w:val="0"/>
        <w:autoSpaceDN w:val="0"/>
        <w:spacing w:line="520" w:lineRule="exact"/>
        <w:ind w:firstLineChars="200" w:firstLine="640"/>
        <w:outlineLvl w:val="2"/>
        <w:rPr>
          <w:rFonts w:eastAsia="仿宋_GB2312"/>
          <w:snapToGrid w:val="0"/>
          <w:kern w:val="0"/>
          <w:szCs w:val="32"/>
          <w:lang w:val="zh-CN"/>
        </w:rPr>
      </w:pPr>
      <w:r>
        <w:rPr>
          <w:rFonts w:eastAsia="仿宋_GB2312"/>
          <w:snapToGrid w:val="0"/>
          <w:kern w:val="0"/>
          <w:szCs w:val="32"/>
          <w:lang w:val="zh-CN"/>
        </w:rPr>
        <w:t>下表所列为常见可预见事件序列、危险情况和可能的伤害示例，需关注：</w:t>
      </w:r>
    </w:p>
    <w:p w:rsidR="009079CF" w:rsidRDefault="009079CF">
      <w:pPr>
        <w:spacing w:line="520" w:lineRule="exact"/>
        <w:ind w:rightChars="-32" w:right="-102"/>
        <w:jc w:val="center"/>
        <w:rPr>
          <w:rFonts w:eastAsia="仿宋_GB2312"/>
          <w:bCs/>
          <w:sz w:val="44"/>
          <w:szCs w:val="44"/>
        </w:rPr>
      </w:pPr>
    </w:p>
    <w:p w:rsidR="009079CF" w:rsidRDefault="009B4FD9">
      <w:pPr>
        <w:spacing w:line="52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 xml:space="preserve">1 </w:t>
      </w:r>
      <w:r>
        <w:rPr>
          <w:rFonts w:ascii="黑体" w:eastAsia="黑体" w:hAnsi="黑体" w:cs="黑体" w:hint="eastAsia"/>
          <w:sz w:val="28"/>
          <w:szCs w:val="28"/>
        </w:rPr>
        <w:t>常见可预见事件序列</w:t>
      </w:r>
      <w:r>
        <w:rPr>
          <w:rFonts w:ascii="黑体" w:eastAsia="黑体" w:hAnsi="黑体" w:cs="黑体" w:hint="eastAsia"/>
          <w:sz w:val="28"/>
          <w:szCs w:val="28"/>
        </w:rPr>
        <w:t>、危险情况和</w:t>
      </w:r>
      <w:r>
        <w:rPr>
          <w:rFonts w:ascii="黑体" w:eastAsia="黑体" w:hAnsi="黑体" w:cs="黑体" w:hint="eastAsia"/>
          <w:sz w:val="28"/>
          <w:szCs w:val="28"/>
        </w:rPr>
        <w:t>可能的伤害示例</w:t>
      </w:r>
    </w:p>
    <w:tbl>
      <w:tblPr>
        <w:tblStyle w:val="TableNormal"/>
        <w:tblW w:w="892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8"/>
        <w:gridCol w:w="2410"/>
        <w:gridCol w:w="2126"/>
        <w:gridCol w:w="2694"/>
      </w:tblGrid>
      <w:tr w:rsidR="009079CF">
        <w:trPr>
          <w:trHeight w:val="500"/>
        </w:trPr>
        <w:tc>
          <w:tcPr>
            <w:tcW w:w="1698" w:type="dxa"/>
            <w:vAlign w:val="center"/>
          </w:tcPr>
          <w:p w:rsidR="009079CF" w:rsidRDefault="009B4FD9">
            <w:pPr>
              <w:pStyle w:val="Af3"/>
              <w:spacing w:after="0" w:line="240" w:lineRule="auto"/>
              <w:contextualSpacing/>
              <w:jc w:val="center"/>
              <w:rPr>
                <w:rFonts w:ascii="黑体" w:eastAsia="黑体" w:hAnsi="黑体" w:cs="黑体"/>
                <w:snapToGrid w:val="0"/>
                <w:color w:val="auto"/>
                <w:sz w:val="28"/>
                <w:szCs w:val="28"/>
              </w:rPr>
            </w:pPr>
            <w:r>
              <w:rPr>
                <w:rFonts w:ascii="黑体" w:eastAsia="黑体" w:hAnsi="黑体" w:cs="黑体" w:hint="eastAsia"/>
                <w:snapToGrid w:val="0"/>
                <w:color w:val="auto"/>
                <w:sz w:val="28"/>
                <w:szCs w:val="28"/>
              </w:rPr>
              <w:t>危险（源）</w:t>
            </w:r>
          </w:p>
        </w:tc>
        <w:tc>
          <w:tcPr>
            <w:tcW w:w="2410" w:type="dxa"/>
            <w:vAlign w:val="center"/>
          </w:tcPr>
          <w:p w:rsidR="009079CF" w:rsidRDefault="009B4FD9">
            <w:pPr>
              <w:pStyle w:val="Af3"/>
              <w:spacing w:after="0" w:line="240" w:lineRule="auto"/>
              <w:contextualSpacing/>
              <w:jc w:val="center"/>
              <w:rPr>
                <w:rFonts w:ascii="黑体" w:eastAsia="黑体" w:hAnsi="黑体" w:cs="黑体"/>
                <w:snapToGrid w:val="0"/>
                <w:color w:val="auto"/>
                <w:sz w:val="28"/>
                <w:szCs w:val="28"/>
              </w:rPr>
            </w:pPr>
            <w:r>
              <w:rPr>
                <w:rFonts w:ascii="黑体" w:eastAsia="黑体" w:hAnsi="黑体" w:cs="黑体" w:hint="eastAsia"/>
                <w:snapToGrid w:val="0"/>
                <w:color w:val="auto"/>
                <w:sz w:val="28"/>
                <w:szCs w:val="28"/>
              </w:rPr>
              <w:t>可预见事件序列</w:t>
            </w:r>
          </w:p>
        </w:tc>
        <w:tc>
          <w:tcPr>
            <w:tcW w:w="2126" w:type="dxa"/>
            <w:vAlign w:val="center"/>
          </w:tcPr>
          <w:p w:rsidR="009079CF" w:rsidRDefault="009B4FD9">
            <w:pPr>
              <w:pStyle w:val="Af3"/>
              <w:spacing w:after="0" w:line="240" w:lineRule="auto"/>
              <w:contextualSpacing/>
              <w:jc w:val="center"/>
              <w:rPr>
                <w:rFonts w:ascii="黑体" w:eastAsia="黑体" w:hAnsi="黑体" w:cs="黑体"/>
                <w:snapToGrid w:val="0"/>
                <w:color w:val="auto"/>
                <w:sz w:val="28"/>
                <w:szCs w:val="28"/>
              </w:rPr>
            </w:pPr>
            <w:r>
              <w:rPr>
                <w:rFonts w:ascii="黑体" w:eastAsia="黑体" w:hAnsi="黑体" w:cs="黑体" w:hint="eastAsia"/>
                <w:snapToGrid w:val="0"/>
                <w:color w:val="auto"/>
                <w:sz w:val="28"/>
                <w:szCs w:val="28"/>
              </w:rPr>
              <w:t>危险情况</w:t>
            </w:r>
          </w:p>
        </w:tc>
        <w:tc>
          <w:tcPr>
            <w:tcW w:w="2694" w:type="dxa"/>
            <w:vAlign w:val="center"/>
          </w:tcPr>
          <w:p w:rsidR="009079CF" w:rsidRDefault="009B4FD9">
            <w:pPr>
              <w:pStyle w:val="Af3"/>
              <w:spacing w:after="0" w:line="240" w:lineRule="auto"/>
              <w:contextualSpacing/>
              <w:jc w:val="center"/>
              <w:rPr>
                <w:rFonts w:ascii="黑体" w:eastAsia="黑体" w:hAnsi="黑体" w:cs="黑体"/>
                <w:snapToGrid w:val="0"/>
                <w:color w:val="auto"/>
                <w:sz w:val="28"/>
                <w:szCs w:val="28"/>
              </w:rPr>
            </w:pPr>
            <w:r>
              <w:rPr>
                <w:rFonts w:ascii="黑体" w:eastAsia="黑体" w:hAnsi="黑体" w:cs="黑体" w:hint="eastAsia"/>
                <w:snapToGrid w:val="0"/>
                <w:color w:val="auto"/>
                <w:sz w:val="28"/>
                <w:szCs w:val="28"/>
              </w:rPr>
              <w:t>可能的伤害</w:t>
            </w:r>
          </w:p>
        </w:tc>
      </w:tr>
      <w:tr w:rsidR="009079CF">
        <w:trPr>
          <w:trHeight w:val="500"/>
        </w:trPr>
        <w:tc>
          <w:tcPr>
            <w:tcW w:w="1698" w:type="dxa"/>
            <w:vMerge w:val="restart"/>
            <w:tcBorders>
              <w:bottom w:val="nil"/>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能量危险</w:t>
            </w:r>
          </w:p>
        </w:tc>
        <w:tc>
          <w:tcPr>
            <w:tcW w:w="2410"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电气安全不符合国家标准要求。</w:t>
            </w:r>
          </w:p>
        </w:tc>
        <w:tc>
          <w:tcPr>
            <w:tcW w:w="2126"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患者触电。</w:t>
            </w:r>
          </w:p>
        </w:tc>
        <w:tc>
          <w:tcPr>
            <w:tcW w:w="2694"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造成患者死亡或重伤。</w:t>
            </w:r>
          </w:p>
        </w:tc>
      </w:tr>
      <w:tr w:rsidR="009079CF">
        <w:trPr>
          <w:trHeight w:val="500"/>
        </w:trPr>
        <w:tc>
          <w:tcPr>
            <w:tcW w:w="1698" w:type="dxa"/>
            <w:vMerge/>
            <w:tcBorders>
              <w:top w:val="nil"/>
              <w:bottom w:val="nil"/>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电磁兼容性不符合行业标准要求。</w:t>
            </w:r>
          </w:p>
        </w:tc>
        <w:tc>
          <w:tcPr>
            <w:tcW w:w="2126"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产品运行异常（不受控的运动）。</w:t>
            </w:r>
          </w:p>
        </w:tc>
        <w:tc>
          <w:tcPr>
            <w:tcW w:w="2694"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患者受到不期望的牵引，导致受伤。</w:t>
            </w:r>
          </w:p>
        </w:tc>
      </w:tr>
      <w:tr w:rsidR="009079CF">
        <w:trPr>
          <w:trHeight w:val="500"/>
        </w:trPr>
        <w:tc>
          <w:tcPr>
            <w:tcW w:w="1698" w:type="dxa"/>
            <w:vMerge/>
            <w:tcBorders>
              <w:top w:val="nil"/>
              <w:bottom w:val="nil"/>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受力部件能力不足。</w:t>
            </w:r>
          </w:p>
        </w:tc>
        <w:tc>
          <w:tcPr>
            <w:tcW w:w="2126" w:type="dxa"/>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固定带意外脱开，床板变形或断裂，传动机构变形或断裂。</w:t>
            </w:r>
          </w:p>
        </w:tc>
        <w:tc>
          <w:tcPr>
            <w:tcW w:w="2694" w:type="dxa"/>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患者突然失去固定，导致牵引力丧失或不可控，伤害患者。</w:t>
            </w:r>
          </w:p>
        </w:tc>
      </w:tr>
      <w:tr w:rsidR="009079CF">
        <w:trPr>
          <w:trHeight w:val="500"/>
        </w:trPr>
        <w:tc>
          <w:tcPr>
            <w:tcW w:w="1698" w:type="dxa"/>
            <w:vMerge/>
            <w:tcBorders>
              <w:top w:val="nil"/>
              <w:bottom w:val="nil"/>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牵引力变化速率过快。</w:t>
            </w:r>
          </w:p>
        </w:tc>
        <w:tc>
          <w:tcPr>
            <w:tcW w:w="2126" w:type="dxa"/>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牵引速度过快或瞬时牵引力过大。</w:t>
            </w:r>
          </w:p>
        </w:tc>
        <w:tc>
          <w:tcPr>
            <w:tcW w:w="2694" w:type="dxa"/>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对患者造成过度牵引，导致患者严重损伤。</w:t>
            </w:r>
          </w:p>
        </w:tc>
      </w:tr>
      <w:tr w:rsidR="009079CF">
        <w:trPr>
          <w:trHeight w:val="500"/>
        </w:trPr>
        <w:tc>
          <w:tcPr>
            <w:tcW w:w="1698" w:type="dxa"/>
            <w:vMerge/>
            <w:tcBorders>
              <w:top w:val="nil"/>
              <w:bottom w:val="nil"/>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牵引角度过大。</w:t>
            </w:r>
          </w:p>
        </w:tc>
        <w:tc>
          <w:tcPr>
            <w:tcW w:w="2126" w:type="dxa"/>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牵引角度或转动范围过大。</w:t>
            </w:r>
          </w:p>
        </w:tc>
        <w:tc>
          <w:tcPr>
            <w:tcW w:w="2694" w:type="dxa"/>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对患者造成过度牵引，导致患者严重损伤。</w:t>
            </w:r>
          </w:p>
        </w:tc>
      </w:tr>
      <w:tr w:rsidR="009079CF">
        <w:trPr>
          <w:trHeight w:val="500"/>
        </w:trPr>
        <w:tc>
          <w:tcPr>
            <w:tcW w:w="1698" w:type="dxa"/>
            <w:vMerge/>
            <w:tcBorders>
              <w:top w:val="nil"/>
              <w:bottom w:val="nil"/>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牵引力过大，超出输出限制。</w:t>
            </w:r>
          </w:p>
        </w:tc>
        <w:tc>
          <w:tcPr>
            <w:tcW w:w="2126" w:type="dxa"/>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牵引力过大。</w:t>
            </w:r>
          </w:p>
        </w:tc>
        <w:tc>
          <w:tcPr>
            <w:tcW w:w="2694" w:type="dxa"/>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对患者造成过度牵引，导致患者严重损伤。</w:t>
            </w:r>
          </w:p>
        </w:tc>
      </w:tr>
      <w:tr w:rsidR="009079CF">
        <w:trPr>
          <w:trHeight w:val="500"/>
        </w:trPr>
        <w:tc>
          <w:tcPr>
            <w:tcW w:w="1698" w:type="dxa"/>
            <w:vMerge/>
            <w:tcBorders>
              <w:top w:val="nil"/>
              <w:bottom w:val="nil"/>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软件控制失效。</w:t>
            </w:r>
          </w:p>
        </w:tc>
        <w:tc>
          <w:tcPr>
            <w:tcW w:w="2126"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控制失灵。</w:t>
            </w:r>
          </w:p>
        </w:tc>
        <w:tc>
          <w:tcPr>
            <w:tcW w:w="2694"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患者损伤。</w:t>
            </w:r>
          </w:p>
        </w:tc>
      </w:tr>
      <w:tr w:rsidR="009079CF">
        <w:trPr>
          <w:trHeight w:val="500"/>
        </w:trPr>
        <w:tc>
          <w:tcPr>
            <w:tcW w:w="1698" w:type="dxa"/>
            <w:vMerge/>
            <w:tcBorders>
              <w:top w:val="nil"/>
              <w:bottom w:val="nil"/>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产品储运过程中防护不当。</w:t>
            </w:r>
          </w:p>
        </w:tc>
        <w:tc>
          <w:tcPr>
            <w:tcW w:w="2126"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产品损坏。</w:t>
            </w:r>
          </w:p>
        </w:tc>
        <w:tc>
          <w:tcPr>
            <w:tcW w:w="2694"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延误治疗。</w:t>
            </w:r>
          </w:p>
        </w:tc>
      </w:tr>
      <w:tr w:rsidR="009079CF">
        <w:trPr>
          <w:trHeight w:val="500"/>
        </w:trPr>
        <w:tc>
          <w:tcPr>
            <w:tcW w:w="1698" w:type="dxa"/>
            <w:vMerge/>
            <w:tcBorders>
              <w:top w:val="nil"/>
              <w:bottom w:val="nil"/>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部件老化。</w:t>
            </w:r>
          </w:p>
        </w:tc>
        <w:tc>
          <w:tcPr>
            <w:tcW w:w="2126"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部件坠落。</w:t>
            </w:r>
          </w:p>
        </w:tc>
        <w:tc>
          <w:tcPr>
            <w:tcW w:w="2694"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碰伤患者。</w:t>
            </w:r>
          </w:p>
        </w:tc>
      </w:tr>
      <w:tr w:rsidR="009079CF">
        <w:trPr>
          <w:trHeight w:val="500"/>
        </w:trPr>
        <w:tc>
          <w:tcPr>
            <w:tcW w:w="1698" w:type="dxa"/>
            <w:vMerge/>
            <w:tcBorders>
              <w:top w:val="nil"/>
              <w:bottom w:val="single" w:sz="4" w:space="0" w:color="auto"/>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噪声防护措施不当。</w:t>
            </w:r>
          </w:p>
        </w:tc>
        <w:tc>
          <w:tcPr>
            <w:tcW w:w="2126"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产品发出过大噪声。</w:t>
            </w:r>
          </w:p>
        </w:tc>
        <w:tc>
          <w:tcPr>
            <w:tcW w:w="2694"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患者受到惊吓，严重时伤害听力。</w:t>
            </w:r>
          </w:p>
        </w:tc>
      </w:tr>
      <w:tr w:rsidR="009079CF">
        <w:trPr>
          <w:trHeight w:val="500"/>
        </w:trPr>
        <w:tc>
          <w:tcPr>
            <w:tcW w:w="1698" w:type="dxa"/>
            <w:tcBorders>
              <w:top w:val="single" w:sz="4" w:space="0" w:color="auto"/>
              <w:left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生物学和化学</w:t>
            </w:r>
            <w:r>
              <w:rPr>
                <w:rFonts w:ascii="Times New Roman" w:eastAsia="仿宋_GB2312" w:hAnsi="Times New Roman" w:cs="Times New Roman"/>
                <w:snapToGrid w:val="0"/>
                <w:color w:val="auto"/>
                <w:sz w:val="28"/>
                <w:szCs w:val="28"/>
              </w:rPr>
              <w:lastRenderedPageBreak/>
              <w:t>危险</w:t>
            </w:r>
          </w:p>
        </w:tc>
        <w:tc>
          <w:tcPr>
            <w:tcW w:w="2410" w:type="dxa"/>
            <w:tcBorders>
              <w:lef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lastRenderedPageBreak/>
              <w:t>与患者接触的原材</w:t>
            </w:r>
            <w:r>
              <w:rPr>
                <w:rFonts w:ascii="Times New Roman" w:eastAsia="仿宋_GB2312" w:hAnsi="Times New Roman" w:cs="Times New Roman"/>
                <w:snapToGrid w:val="0"/>
                <w:color w:val="auto"/>
                <w:sz w:val="28"/>
                <w:szCs w:val="28"/>
              </w:rPr>
              <w:lastRenderedPageBreak/>
              <w:t>料生物相容性较差，有毒性。</w:t>
            </w:r>
          </w:p>
        </w:tc>
        <w:tc>
          <w:tcPr>
            <w:tcW w:w="2126" w:type="dxa"/>
            <w:tcBorders>
              <w:bottom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lastRenderedPageBreak/>
              <w:t>患者接触含有毒</w:t>
            </w:r>
            <w:r>
              <w:rPr>
                <w:rFonts w:ascii="Times New Roman" w:eastAsia="仿宋_GB2312" w:hAnsi="Times New Roman" w:cs="Times New Roman"/>
                <w:snapToGrid w:val="0"/>
                <w:color w:val="auto"/>
                <w:sz w:val="28"/>
                <w:szCs w:val="28"/>
              </w:rPr>
              <w:lastRenderedPageBreak/>
              <w:t>性的产品组件。</w:t>
            </w:r>
          </w:p>
        </w:tc>
        <w:tc>
          <w:tcPr>
            <w:tcW w:w="2694" w:type="dxa"/>
            <w:tcBorders>
              <w:bottom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lastRenderedPageBreak/>
              <w:t>对患者造成刺激、致敏</w:t>
            </w:r>
            <w:r>
              <w:rPr>
                <w:rFonts w:ascii="Times New Roman" w:eastAsia="仿宋_GB2312" w:hAnsi="Times New Roman" w:cs="Times New Roman"/>
                <w:snapToGrid w:val="0"/>
                <w:color w:val="auto"/>
                <w:sz w:val="28"/>
                <w:szCs w:val="28"/>
              </w:rPr>
              <w:lastRenderedPageBreak/>
              <w:t>等伤害。</w:t>
            </w:r>
          </w:p>
        </w:tc>
      </w:tr>
      <w:tr w:rsidR="009079CF">
        <w:trPr>
          <w:trHeight w:val="1752"/>
        </w:trPr>
        <w:tc>
          <w:tcPr>
            <w:tcW w:w="1698" w:type="dxa"/>
            <w:vMerge w:val="restart"/>
            <w:tcBorders>
              <w:top w:val="single" w:sz="4" w:space="0" w:color="auto"/>
              <w:bottom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lastRenderedPageBreak/>
              <w:t>性能有关的危险</w:t>
            </w:r>
          </w:p>
        </w:tc>
        <w:tc>
          <w:tcPr>
            <w:tcW w:w="2410" w:type="dxa"/>
            <w:tcBorders>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缺少说明书上注意事项及图示而使产品不能预期使用。</w:t>
            </w:r>
          </w:p>
        </w:tc>
        <w:tc>
          <w:tcPr>
            <w:tcW w:w="2126" w:type="dxa"/>
            <w:tcBorders>
              <w:top w:val="single" w:sz="4" w:space="0" w:color="auto"/>
              <w:left w:val="single" w:sz="4" w:space="0" w:color="auto"/>
              <w:bottom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使用了有缺陷的产品。</w:t>
            </w:r>
          </w:p>
        </w:tc>
        <w:tc>
          <w:tcPr>
            <w:tcW w:w="2694" w:type="dxa"/>
            <w:tcBorders>
              <w:top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患者疼痛，严重时导致死亡。</w:t>
            </w:r>
          </w:p>
        </w:tc>
      </w:tr>
      <w:tr w:rsidR="009079CF">
        <w:trPr>
          <w:trHeight w:val="500"/>
        </w:trPr>
        <w:tc>
          <w:tcPr>
            <w:tcW w:w="1698" w:type="dxa"/>
            <w:vMerge/>
            <w:tcBorders>
              <w:top w:val="single" w:sz="4" w:space="0" w:color="auto"/>
              <w:bottom w:val="single" w:sz="4" w:space="0" w:color="auto"/>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牵引力设置没有区分安全值和限值范围。</w:t>
            </w:r>
          </w:p>
        </w:tc>
        <w:tc>
          <w:tcPr>
            <w:tcW w:w="2126" w:type="dxa"/>
            <w:tcBorders>
              <w:top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误操作导致牵引力超过限制。</w:t>
            </w:r>
          </w:p>
        </w:tc>
        <w:tc>
          <w:tcPr>
            <w:tcW w:w="2694" w:type="dxa"/>
            <w:tcBorders>
              <w:top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对患者造成过度牵引，导致患者严重伤害。</w:t>
            </w:r>
          </w:p>
        </w:tc>
      </w:tr>
      <w:tr w:rsidR="009079CF">
        <w:trPr>
          <w:trHeight w:val="500"/>
        </w:trPr>
        <w:tc>
          <w:tcPr>
            <w:tcW w:w="1698" w:type="dxa"/>
            <w:vMerge/>
            <w:tcBorders>
              <w:top w:val="single" w:sz="4" w:space="0" w:color="auto"/>
              <w:bottom w:val="single" w:sz="4" w:space="0" w:color="auto"/>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操作按钮意义不明或操作繁琐。</w:t>
            </w:r>
          </w:p>
        </w:tc>
        <w:tc>
          <w:tcPr>
            <w:tcW w:w="2126" w:type="dxa"/>
            <w:tcBorders>
              <w:top w:val="single" w:sz="4" w:space="0" w:color="auto"/>
              <w:left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操作者进行了错误操作。</w:t>
            </w:r>
          </w:p>
        </w:tc>
        <w:tc>
          <w:tcPr>
            <w:tcW w:w="2694" w:type="dxa"/>
            <w:tcBorders>
              <w:lef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延误治疗或患者伤害。</w:t>
            </w:r>
          </w:p>
        </w:tc>
      </w:tr>
      <w:tr w:rsidR="009079CF">
        <w:trPr>
          <w:trHeight w:val="631"/>
        </w:trPr>
        <w:tc>
          <w:tcPr>
            <w:tcW w:w="1698" w:type="dxa"/>
            <w:vMerge/>
            <w:tcBorders>
              <w:top w:val="single" w:sz="4" w:space="0" w:color="auto"/>
              <w:bottom w:val="single" w:sz="4" w:space="0" w:color="auto"/>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防护措施提示不明确不清晰。</w:t>
            </w:r>
          </w:p>
        </w:tc>
        <w:tc>
          <w:tcPr>
            <w:tcW w:w="2126" w:type="dxa"/>
            <w:tcBorders>
              <w:top w:val="single" w:sz="4" w:space="0" w:color="auto"/>
              <w:left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不能提供有效防护。</w:t>
            </w:r>
          </w:p>
        </w:tc>
        <w:tc>
          <w:tcPr>
            <w:tcW w:w="2694" w:type="dxa"/>
            <w:tcBorders>
              <w:lef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患者损伤。</w:t>
            </w:r>
          </w:p>
        </w:tc>
      </w:tr>
      <w:tr w:rsidR="009079CF">
        <w:trPr>
          <w:trHeight w:val="500"/>
        </w:trPr>
        <w:tc>
          <w:tcPr>
            <w:tcW w:w="1698" w:type="dxa"/>
            <w:vMerge/>
            <w:tcBorders>
              <w:top w:val="single" w:sz="4" w:space="0" w:color="auto"/>
              <w:bottom w:val="single" w:sz="4" w:space="0" w:color="auto"/>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牵引力输出准确性不够。</w:t>
            </w:r>
          </w:p>
        </w:tc>
        <w:tc>
          <w:tcPr>
            <w:tcW w:w="2126" w:type="dxa"/>
            <w:tcBorders>
              <w:top w:val="single" w:sz="4" w:space="0" w:color="auto"/>
              <w:left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操作者对牵引力输出错误判断。</w:t>
            </w:r>
          </w:p>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牵引力与设置力不一致。</w:t>
            </w:r>
          </w:p>
        </w:tc>
        <w:tc>
          <w:tcPr>
            <w:tcW w:w="2694" w:type="dxa"/>
            <w:tcBorders>
              <w:lef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延误治疗或患者伤害。</w:t>
            </w:r>
          </w:p>
        </w:tc>
      </w:tr>
      <w:tr w:rsidR="009079CF">
        <w:trPr>
          <w:trHeight w:val="500"/>
        </w:trPr>
        <w:tc>
          <w:tcPr>
            <w:tcW w:w="1698" w:type="dxa"/>
            <w:vMerge/>
            <w:tcBorders>
              <w:top w:val="single" w:sz="4" w:space="0" w:color="auto"/>
              <w:bottom w:val="single" w:sz="4" w:space="0" w:color="auto"/>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牵引力输出缺乏稳定性。</w:t>
            </w:r>
          </w:p>
        </w:tc>
        <w:tc>
          <w:tcPr>
            <w:tcW w:w="2126" w:type="dxa"/>
            <w:tcBorders>
              <w:top w:val="single" w:sz="4" w:space="0" w:color="auto"/>
              <w:left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治疗中牵引力发生突跳，牵引力突然增大或减小。</w:t>
            </w:r>
          </w:p>
        </w:tc>
        <w:tc>
          <w:tcPr>
            <w:tcW w:w="2694" w:type="dxa"/>
            <w:tcBorders>
              <w:lef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患者受到惊吓或患者伤害。</w:t>
            </w:r>
          </w:p>
        </w:tc>
      </w:tr>
      <w:tr w:rsidR="009079CF">
        <w:trPr>
          <w:trHeight w:val="500"/>
        </w:trPr>
        <w:tc>
          <w:tcPr>
            <w:tcW w:w="1698" w:type="dxa"/>
            <w:vMerge/>
            <w:tcBorders>
              <w:top w:val="single" w:sz="4" w:space="0" w:color="auto"/>
              <w:bottom w:val="single" w:sz="4" w:space="0" w:color="auto"/>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无数据显示。</w:t>
            </w:r>
          </w:p>
        </w:tc>
        <w:tc>
          <w:tcPr>
            <w:tcW w:w="2126" w:type="dxa"/>
            <w:tcBorders>
              <w:top w:val="single" w:sz="4" w:space="0" w:color="auto"/>
              <w:left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进行了错误操作。</w:t>
            </w:r>
          </w:p>
        </w:tc>
        <w:tc>
          <w:tcPr>
            <w:tcW w:w="2694" w:type="dxa"/>
            <w:tcBorders>
              <w:lef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患者损伤。</w:t>
            </w:r>
          </w:p>
        </w:tc>
      </w:tr>
      <w:tr w:rsidR="009079CF">
        <w:trPr>
          <w:trHeight w:val="500"/>
        </w:trPr>
        <w:tc>
          <w:tcPr>
            <w:tcW w:w="1698" w:type="dxa"/>
            <w:vMerge/>
            <w:tcBorders>
              <w:top w:val="single" w:sz="4" w:space="0" w:color="auto"/>
              <w:bottom w:val="single" w:sz="4" w:space="0" w:color="auto"/>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软件界面显示分辨率过低或不清晰。</w:t>
            </w:r>
          </w:p>
        </w:tc>
        <w:tc>
          <w:tcPr>
            <w:tcW w:w="2126" w:type="dxa"/>
            <w:tcBorders>
              <w:top w:val="single" w:sz="4" w:space="0" w:color="auto"/>
              <w:left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操作者错误识别显示的数据。</w:t>
            </w:r>
          </w:p>
        </w:tc>
        <w:tc>
          <w:tcPr>
            <w:tcW w:w="2694" w:type="dxa"/>
            <w:tcBorders>
              <w:lef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延误治疗或患者伤害。</w:t>
            </w:r>
          </w:p>
        </w:tc>
      </w:tr>
      <w:tr w:rsidR="009079CF">
        <w:trPr>
          <w:trHeight w:val="500"/>
        </w:trPr>
        <w:tc>
          <w:tcPr>
            <w:tcW w:w="1698" w:type="dxa"/>
            <w:vMerge/>
            <w:tcBorders>
              <w:top w:val="single" w:sz="4" w:space="0" w:color="auto"/>
              <w:bottom w:val="single" w:sz="4" w:space="0" w:color="auto"/>
            </w:tcBorders>
            <w:vAlign w:val="center"/>
          </w:tcPr>
          <w:p w:rsidR="009079CF" w:rsidRDefault="009079CF">
            <w:pPr>
              <w:pStyle w:val="Af3"/>
              <w:spacing w:after="0" w:line="240" w:lineRule="auto"/>
              <w:contextualSpacing/>
              <w:rPr>
                <w:rFonts w:ascii="Times New Roman" w:eastAsia="仿宋_GB2312" w:hAnsi="Times New Roman" w:cs="Times New Roman"/>
                <w:snapToGrid w:val="0"/>
                <w:color w:val="auto"/>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软件接口没有有效的保密措施。</w:t>
            </w:r>
          </w:p>
        </w:tc>
        <w:tc>
          <w:tcPr>
            <w:tcW w:w="2126" w:type="dxa"/>
            <w:tcBorders>
              <w:top w:val="single" w:sz="4" w:space="0" w:color="auto"/>
              <w:left w:val="single" w:sz="4" w:space="0" w:color="auto"/>
              <w:bottom w:val="single" w:sz="4" w:space="0" w:color="auto"/>
              <w:righ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任何人都可以通过软件接口（如</w:t>
            </w:r>
            <w:r>
              <w:rPr>
                <w:rFonts w:ascii="Times New Roman" w:eastAsia="仿宋_GB2312" w:hAnsi="Times New Roman" w:cs="Times New Roman"/>
                <w:snapToGrid w:val="0"/>
                <w:color w:val="auto"/>
                <w:sz w:val="28"/>
                <w:szCs w:val="28"/>
              </w:rPr>
              <w:t>USB</w:t>
            </w:r>
            <w:r>
              <w:rPr>
                <w:rFonts w:ascii="Times New Roman" w:eastAsia="仿宋_GB2312" w:hAnsi="Times New Roman" w:cs="Times New Roman"/>
                <w:snapToGrid w:val="0"/>
                <w:color w:val="auto"/>
                <w:sz w:val="28"/>
                <w:szCs w:val="28"/>
              </w:rPr>
              <w:t>接口、</w:t>
            </w:r>
            <w:r>
              <w:rPr>
                <w:rFonts w:ascii="Times New Roman" w:eastAsia="仿宋_GB2312" w:hAnsi="Times New Roman" w:cs="Times New Roman"/>
                <w:snapToGrid w:val="0"/>
                <w:color w:val="auto"/>
                <w:sz w:val="28"/>
                <w:szCs w:val="28"/>
              </w:rPr>
              <w:t>WiFi</w:t>
            </w:r>
            <w:r>
              <w:rPr>
                <w:rFonts w:ascii="Times New Roman" w:eastAsia="仿宋_GB2312" w:hAnsi="Times New Roman" w:cs="Times New Roman"/>
                <w:snapToGrid w:val="0"/>
                <w:color w:val="auto"/>
                <w:sz w:val="28"/>
                <w:szCs w:val="28"/>
              </w:rPr>
              <w:t>接口等）获取存储的信息。</w:t>
            </w:r>
          </w:p>
        </w:tc>
        <w:tc>
          <w:tcPr>
            <w:tcW w:w="2694" w:type="dxa"/>
            <w:tcBorders>
              <w:left w:val="single" w:sz="4" w:space="0" w:color="auto"/>
            </w:tcBorders>
            <w:vAlign w:val="center"/>
          </w:tcPr>
          <w:p w:rsidR="009079CF" w:rsidRDefault="009B4FD9">
            <w:pPr>
              <w:pStyle w:val="Af3"/>
              <w:spacing w:after="0" w:line="240" w:lineRule="auto"/>
              <w:contextualSpacing/>
              <w:rPr>
                <w:rFonts w:ascii="Times New Roman" w:eastAsia="仿宋_GB2312" w:hAnsi="Times New Roman" w:cs="Times New Roman"/>
                <w:snapToGrid w:val="0"/>
                <w:color w:val="auto"/>
                <w:sz w:val="28"/>
                <w:szCs w:val="28"/>
              </w:rPr>
            </w:pPr>
            <w:r>
              <w:rPr>
                <w:rFonts w:ascii="Times New Roman" w:eastAsia="仿宋_GB2312" w:hAnsi="Times New Roman" w:cs="Times New Roman"/>
                <w:snapToGrid w:val="0"/>
                <w:color w:val="auto"/>
                <w:sz w:val="28"/>
                <w:szCs w:val="28"/>
              </w:rPr>
              <w:t>患者数据泄漏。</w:t>
            </w:r>
          </w:p>
        </w:tc>
      </w:tr>
    </w:tbl>
    <w:p w:rsidR="009079CF" w:rsidRDefault="009079CF">
      <w:pPr>
        <w:spacing w:line="520" w:lineRule="exact"/>
        <w:rPr>
          <w:rFonts w:eastAsia="仿宋_GB2312"/>
          <w:color w:val="0000FF"/>
          <w:szCs w:val="32"/>
        </w:rPr>
      </w:pPr>
    </w:p>
    <w:sectPr w:rsidR="009079CF">
      <w:footerReference w:type="even" r:id="rId12"/>
      <w:footerReference w:type="default" r:id="rId13"/>
      <w:pgSz w:w="11906" w:h="16838"/>
      <w:pgMar w:top="1440" w:right="1757" w:bottom="1440" w:left="175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FD9" w:rsidRDefault="009B4FD9">
      <w:r>
        <w:separator/>
      </w:r>
    </w:p>
  </w:endnote>
  <w:endnote w:type="continuationSeparator" w:id="0">
    <w:p w:rsidR="009B4FD9" w:rsidRDefault="009B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仿宋 Std R">
    <w:panose1 w:val="02020400000000000000"/>
    <w:charset w:val="86"/>
    <w:family w:val="roman"/>
    <w:notTrueType/>
    <w:pitch w:val="variable"/>
    <w:sig w:usb0="00000207" w:usb1="0A0F1810" w:usb2="00000016" w:usb3="00000000" w:csb0="00060007"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DA9B93A2-E1E9-4D49-B185-79F5339E4563}"/>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DejaVu Sans">
    <w:altName w:val="Times New Roman"/>
    <w:charset w:val="00"/>
    <w:family w:val="roman"/>
    <w:pitch w:val="default"/>
    <w:sig w:usb0="00000000" w:usb1="00000000" w:usb2="00000008"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4957B2C6-F22B-4AC2-8C7C-9732AA4DF10B}"/>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3" w:subsetted="1" w:fontKey="{E85BE844-3A0A-4E57-B3B0-1E253D64C4B7}"/>
  </w:font>
  <w:font w:name="楷体_GB2312">
    <w:altName w:val="楷体"/>
    <w:charset w:val="86"/>
    <w:family w:val="modern"/>
    <w:pitch w:val="default"/>
    <w:sig w:usb0="00000001" w:usb1="080E0000" w:usb2="00000000" w:usb3="00000000" w:csb0="00040000" w:csb1="00000000"/>
    <w:embedRegular r:id="rId4" w:fontKey="{1E3DBBA2-D3C5-4BD8-BFA2-A60ED56B7A0A}"/>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CF" w:rsidRDefault="009B4FD9">
    <w:pPr>
      <w:pStyle w:val="a9"/>
      <w:jc w:val="center"/>
    </w:pPr>
    <w:r>
      <w:pict>
        <v:shapetype id="_x0000_t202" coordsize="21600,21600" o:spt="202" path="m,l,21600r21600,l21600,xe">
          <v:stroke joinstyle="miter"/>
          <v:path gradientshapeok="t" o:connecttype="rect"/>
        </v:shapetype>
        <v:shape id="_x0000_s3074" type="#_x0000_t202" style="position:absolute;left:0;text-align:left;margin-left:92.8pt;margin-top:0;width:2in;height:2in;z-index:251660288;mso-wrap-style:none;mso-position-horizontal:outside;mso-position-horizontal-relative:margin;mso-width-relative:page;mso-height-relative:page" filled="f" stroked="f">
          <v:textbox style="mso-fit-shape-to-text:t" inset="0,0,0,0">
            <w:txbxContent>
              <w:sdt>
                <w:sdtPr>
                  <w:id w:val="147470107"/>
                </w:sdtPr>
                <w:sdtEndPr/>
                <w:sdtContent>
                  <w:p w:rsidR="009079CF" w:rsidRDefault="009B4FD9">
                    <w:pPr>
                      <w:pStyle w:val="a9"/>
                      <w:jc w:val="cente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421CA" w:rsidRPr="005421CA">
                      <w:rPr>
                        <w:noProof/>
                        <w:sz w:val="28"/>
                        <w:szCs w:val="28"/>
                        <w:lang w:val="zh-CN"/>
                      </w:rPr>
                      <w:t>2</w:t>
                    </w:r>
                    <w:r>
                      <w:rPr>
                        <w:sz w:val="28"/>
                        <w:szCs w:val="28"/>
                      </w:rPr>
                      <w:fldChar w:fldCharType="end"/>
                    </w:r>
                    <w:r>
                      <w:rPr>
                        <w:sz w:val="28"/>
                        <w:szCs w:val="28"/>
                      </w:rPr>
                      <w:t xml:space="preserve"> —</w:t>
                    </w:r>
                  </w:p>
                </w:sdtContent>
              </w:sdt>
              <w:p w:rsidR="009079CF" w:rsidRDefault="009079CF">
                <w:pPr>
                  <w:pStyle w:val="a0"/>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CF" w:rsidRDefault="009B4FD9">
    <w:pPr>
      <w:pStyle w:val="a9"/>
      <w:jc w:val="center"/>
      <w:rPr>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92.8pt;margin-top:0;width:2in;height:2in;z-index:251659264;mso-wrap-style:none;mso-position-horizontal:outside;mso-position-horizontal-relative:margin;mso-width-relative:page;mso-height-relative:page" filled="f" stroked="f">
          <v:textbox style="mso-fit-shape-to-text:t" inset="0,0,0,0">
            <w:txbxContent>
              <w:p w:rsidR="009079CF" w:rsidRDefault="009B4FD9">
                <w:pPr>
                  <w:pStyle w:val="a9"/>
                  <w:jc w:val="center"/>
                </w:pPr>
                <w:r>
                  <w:rPr>
                    <w:sz w:val="28"/>
                    <w:szCs w:val="28"/>
                  </w:rPr>
                  <w:t xml:space="preserve">— </w:t>
                </w:r>
                <w:sdt>
                  <w:sdtPr>
                    <w:rPr>
                      <w:sz w:val="28"/>
                      <w:szCs w:val="28"/>
                    </w:rPr>
                    <w:id w:val="147481484"/>
                  </w:sdtPr>
                  <w:sdtEndPr/>
                  <w:sdtContent>
                    <w:r>
                      <w:rPr>
                        <w:sz w:val="28"/>
                        <w:szCs w:val="28"/>
                      </w:rPr>
                      <w:fldChar w:fldCharType="begin"/>
                    </w:r>
                    <w:r>
                      <w:rPr>
                        <w:sz w:val="28"/>
                        <w:szCs w:val="28"/>
                      </w:rPr>
                      <w:instrText xml:space="preserve"> PAGE   \* MERGEFORMAT </w:instrText>
                    </w:r>
                    <w:r>
                      <w:rPr>
                        <w:sz w:val="28"/>
                        <w:szCs w:val="28"/>
                      </w:rPr>
                      <w:fldChar w:fldCharType="separate"/>
                    </w:r>
                    <w:r w:rsidR="005421CA" w:rsidRPr="005421CA">
                      <w:rPr>
                        <w:noProof/>
                        <w:sz w:val="28"/>
                        <w:szCs w:val="28"/>
                        <w:lang w:val="zh-CN"/>
                      </w:rPr>
                      <w:t>1</w:t>
                    </w:r>
                    <w:r>
                      <w:rPr>
                        <w:sz w:val="28"/>
                        <w:szCs w:val="28"/>
                      </w:rPr>
                      <w:fldChar w:fldCharType="end"/>
                    </w:r>
                    <w:r>
                      <w:rPr>
                        <w:sz w:val="28"/>
                        <w:szCs w:val="28"/>
                      </w:rPr>
                      <w:t xml:space="preserve"> —</w:t>
                    </w:r>
                  </w:sdtContent>
                </w:sdt>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FD9" w:rsidRDefault="009B4FD9">
      <w:r>
        <w:separator/>
      </w:r>
    </w:p>
  </w:footnote>
  <w:footnote w:type="continuationSeparator" w:id="0">
    <w:p w:rsidR="009B4FD9" w:rsidRDefault="009B4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85C79D"/>
    <w:multiLevelType w:val="singleLevel"/>
    <w:tmpl w:val="C485C79D"/>
    <w:lvl w:ilvl="0">
      <w:start w:val="1"/>
      <w:numFmt w:val="decimal"/>
      <w:suff w:val="nothing"/>
      <w:lvlText w:val="%1."/>
      <w:lvlJc w:val="left"/>
      <w:pPr>
        <w:ind w:left="0" w:firstLine="40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evenAndOddHeaders/>
  <w:drawingGridHorizontalSpacing w:val="160"/>
  <w:drawingGridVerticalSpacing w:val="435"/>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YwMjQwNzIyZWYwZjM5NDhkMDgyYzg2OTBmMTg3MTgifQ=="/>
    <w:docVar w:name="KSO_WPS_MARK_KEY" w:val="c85784b2-6adf-44e6-b5ef-00c828241f79"/>
  </w:docVars>
  <w:rsids>
    <w:rsidRoot w:val="00787F7E"/>
    <w:rsid w:val="DEF70035"/>
    <w:rsid w:val="DFFFE17D"/>
    <w:rsid w:val="ED776AC6"/>
    <w:rsid w:val="EF9F915E"/>
    <w:rsid w:val="FBB7C68F"/>
    <w:rsid w:val="FDF752B8"/>
    <w:rsid w:val="FF7F9E8F"/>
    <w:rsid w:val="00020162"/>
    <w:rsid w:val="00021955"/>
    <w:rsid w:val="000220F3"/>
    <w:rsid w:val="000309BB"/>
    <w:rsid w:val="000313EC"/>
    <w:rsid w:val="000355F7"/>
    <w:rsid w:val="00045399"/>
    <w:rsid w:val="00056A28"/>
    <w:rsid w:val="00060C10"/>
    <w:rsid w:val="0006407A"/>
    <w:rsid w:val="0007686E"/>
    <w:rsid w:val="000912F0"/>
    <w:rsid w:val="0009278E"/>
    <w:rsid w:val="000A309D"/>
    <w:rsid w:val="000B000C"/>
    <w:rsid w:val="000B091A"/>
    <w:rsid w:val="000B4C9B"/>
    <w:rsid w:val="000C48A1"/>
    <w:rsid w:val="000C686B"/>
    <w:rsid w:val="000D6E25"/>
    <w:rsid w:val="000E5335"/>
    <w:rsid w:val="000E7D53"/>
    <w:rsid w:val="001013AD"/>
    <w:rsid w:val="00145167"/>
    <w:rsid w:val="00145339"/>
    <w:rsid w:val="0015266E"/>
    <w:rsid w:val="0015622E"/>
    <w:rsid w:val="00164B94"/>
    <w:rsid w:val="001724C7"/>
    <w:rsid w:val="00195E70"/>
    <w:rsid w:val="001C1DCB"/>
    <w:rsid w:val="001C3A87"/>
    <w:rsid w:val="001E0961"/>
    <w:rsid w:val="001F2C45"/>
    <w:rsid w:val="001F7F7E"/>
    <w:rsid w:val="002138E8"/>
    <w:rsid w:val="0023533A"/>
    <w:rsid w:val="00241E57"/>
    <w:rsid w:val="00242375"/>
    <w:rsid w:val="00244DF7"/>
    <w:rsid w:val="00246390"/>
    <w:rsid w:val="00255334"/>
    <w:rsid w:val="00260BEC"/>
    <w:rsid w:val="0026293F"/>
    <w:rsid w:val="00265889"/>
    <w:rsid w:val="00270EC6"/>
    <w:rsid w:val="00275A48"/>
    <w:rsid w:val="00276C3D"/>
    <w:rsid w:val="00277473"/>
    <w:rsid w:val="00281311"/>
    <w:rsid w:val="00281565"/>
    <w:rsid w:val="00291759"/>
    <w:rsid w:val="00294D2B"/>
    <w:rsid w:val="00295369"/>
    <w:rsid w:val="002A1DAB"/>
    <w:rsid w:val="002B2048"/>
    <w:rsid w:val="002B24A0"/>
    <w:rsid w:val="002D3B6C"/>
    <w:rsid w:val="002D4839"/>
    <w:rsid w:val="002E07B2"/>
    <w:rsid w:val="002F2978"/>
    <w:rsid w:val="00300E59"/>
    <w:rsid w:val="00302F24"/>
    <w:rsid w:val="0030368E"/>
    <w:rsid w:val="00303E44"/>
    <w:rsid w:val="0030471C"/>
    <w:rsid w:val="003137C1"/>
    <w:rsid w:val="0031780A"/>
    <w:rsid w:val="00327E51"/>
    <w:rsid w:val="00331548"/>
    <w:rsid w:val="00332D44"/>
    <w:rsid w:val="00332DE8"/>
    <w:rsid w:val="00342770"/>
    <w:rsid w:val="003450A4"/>
    <w:rsid w:val="00350A16"/>
    <w:rsid w:val="003549E8"/>
    <w:rsid w:val="00355421"/>
    <w:rsid w:val="00364911"/>
    <w:rsid w:val="00365AB2"/>
    <w:rsid w:val="00366468"/>
    <w:rsid w:val="003735F8"/>
    <w:rsid w:val="0037408E"/>
    <w:rsid w:val="003A148B"/>
    <w:rsid w:val="003A30F7"/>
    <w:rsid w:val="003B708D"/>
    <w:rsid w:val="003B7470"/>
    <w:rsid w:val="003B769E"/>
    <w:rsid w:val="003E0FA8"/>
    <w:rsid w:val="00400901"/>
    <w:rsid w:val="00400CFB"/>
    <w:rsid w:val="00410598"/>
    <w:rsid w:val="0041581E"/>
    <w:rsid w:val="00416B80"/>
    <w:rsid w:val="00417514"/>
    <w:rsid w:val="00422D3A"/>
    <w:rsid w:val="00423A54"/>
    <w:rsid w:val="004300DF"/>
    <w:rsid w:val="00435AC6"/>
    <w:rsid w:val="00440708"/>
    <w:rsid w:val="004408E4"/>
    <w:rsid w:val="00440AA4"/>
    <w:rsid w:val="004410B9"/>
    <w:rsid w:val="00442F7A"/>
    <w:rsid w:val="0045151A"/>
    <w:rsid w:val="00483A83"/>
    <w:rsid w:val="00494EDB"/>
    <w:rsid w:val="004B100F"/>
    <w:rsid w:val="004B2F13"/>
    <w:rsid w:val="004C15C7"/>
    <w:rsid w:val="004C4DBC"/>
    <w:rsid w:val="004D1066"/>
    <w:rsid w:val="004E39ED"/>
    <w:rsid w:val="004E7643"/>
    <w:rsid w:val="004F0151"/>
    <w:rsid w:val="004F6769"/>
    <w:rsid w:val="005041BA"/>
    <w:rsid w:val="00526623"/>
    <w:rsid w:val="005277E2"/>
    <w:rsid w:val="00530384"/>
    <w:rsid w:val="0053273B"/>
    <w:rsid w:val="00534F4C"/>
    <w:rsid w:val="005421CA"/>
    <w:rsid w:val="0055665B"/>
    <w:rsid w:val="00557F5D"/>
    <w:rsid w:val="005609D1"/>
    <w:rsid w:val="0058390F"/>
    <w:rsid w:val="00584FF6"/>
    <w:rsid w:val="0058708E"/>
    <w:rsid w:val="00593F97"/>
    <w:rsid w:val="005A1410"/>
    <w:rsid w:val="005A204F"/>
    <w:rsid w:val="005A5694"/>
    <w:rsid w:val="005A7143"/>
    <w:rsid w:val="005B0491"/>
    <w:rsid w:val="005B61BF"/>
    <w:rsid w:val="005D1959"/>
    <w:rsid w:val="005F5628"/>
    <w:rsid w:val="005F6821"/>
    <w:rsid w:val="005F6A23"/>
    <w:rsid w:val="006005DA"/>
    <w:rsid w:val="006014D4"/>
    <w:rsid w:val="006153A9"/>
    <w:rsid w:val="00631B7D"/>
    <w:rsid w:val="0063243D"/>
    <w:rsid w:val="00650E29"/>
    <w:rsid w:val="006671F9"/>
    <w:rsid w:val="0066764F"/>
    <w:rsid w:val="00670933"/>
    <w:rsid w:val="00673973"/>
    <w:rsid w:val="0067662B"/>
    <w:rsid w:val="00677B48"/>
    <w:rsid w:val="006A1165"/>
    <w:rsid w:val="006C00CB"/>
    <w:rsid w:val="006C0CCB"/>
    <w:rsid w:val="006C379F"/>
    <w:rsid w:val="006E5E16"/>
    <w:rsid w:val="006E68A9"/>
    <w:rsid w:val="006E7148"/>
    <w:rsid w:val="006F6454"/>
    <w:rsid w:val="00701003"/>
    <w:rsid w:val="00716619"/>
    <w:rsid w:val="00722EF1"/>
    <w:rsid w:val="00725E46"/>
    <w:rsid w:val="00733097"/>
    <w:rsid w:val="00745098"/>
    <w:rsid w:val="00747CAA"/>
    <w:rsid w:val="00753D6F"/>
    <w:rsid w:val="007646FC"/>
    <w:rsid w:val="00787F7E"/>
    <w:rsid w:val="007904F6"/>
    <w:rsid w:val="007A080A"/>
    <w:rsid w:val="007A5FB4"/>
    <w:rsid w:val="007B265E"/>
    <w:rsid w:val="007B2801"/>
    <w:rsid w:val="007B5B4D"/>
    <w:rsid w:val="007C7A81"/>
    <w:rsid w:val="007D341A"/>
    <w:rsid w:val="007F27CB"/>
    <w:rsid w:val="007F3925"/>
    <w:rsid w:val="00815364"/>
    <w:rsid w:val="00816F7C"/>
    <w:rsid w:val="00821079"/>
    <w:rsid w:val="00825246"/>
    <w:rsid w:val="008307CE"/>
    <w:rsid w:val="0083192A"/>
    <w:rsid w:val="00845C30"/>
    <w:rsid w:val="008461E5"/>
    <w:rsid w:val="0086147D"/>
    <w:rsid w:val="008748F2"/>
    <w:rsid w:val="008804BD"/>
    <w:rsid w:val="00883813"/>
    <w:rsid w:val="008961B3"/>
    <w:rsid w:val="008A4979"/>
    <w:rsid w:val="008B4093"/>
    <w:rsid w:val="008B5473"/>
    <w:rsid w:val="008C01DA"/>
    <w:rsid w:val="008D50AE"/>
    <w:rsid w:val="008F052D"/>
    <w:rsid w:val="009010CE"/>
    <w:rsid w:val="00906133"/>
    <w:rsid w:val="009079CF"/>
    <w:rsid w:val="00907F95"/>
    <w:rsid w:val="00920442"/>
    <w:rsid w:val="00920A47"/>
    <w:rsid w:val="009367EA"/>
    <w:rsid w:val="00937F0E"/>
    <w:rsid w:val="009454DD"/>
    <w:rsid w:val="00960741"/>
    <w:rsid w:val="009775E7"/>
    <w:rsid w:val="0098100B"/>
    <w:rsid w:val="0098773B"/>
    <w:rsid w:val="009B2875"/>
    <w:rsid w:val="009B4FD9"/>
    <w:rsid w:val="009C047E"/>
    <w:rsid w:val="009C22BC"/>
    <w:rsid w:val="009C41FF"/>
    <w:rsid w:val="009E2514"/>
    <w:rsid w:val="009F209D"/>
    <w:rsid w:val="009F4F3B"/>
    <w:rsid w:val="00A0033B"/>
    <w:rsid w:val="00A23EC2"/>
    <w:rsid w:val="00A24E04"/>
    <w:rsid w:val="00A253BE"/>
    <w:rsid w:val="00A25C1A"/>
    <w:rsid w:val="00A44FE1"/>
    <w:rsid w:val="00A73BFE"/>
    <w:rsid w:val="00AA1C85"/>
    <w:rsid w:val="00AA4FCB"/>
    <w:rsid w:val="00AB0847"/>
    <w:rsid w:val="00AB660B"/>
    <w:rsid w:val="00AB7E5C"/>
    <w:rsid w:val="00AD08D9"/>
    <w:rsid w:val="00AD6F5B"/>
    <w:rsid w:val="00AF3558"/>
    <w:rsid w:val="00AF518D"/>
    <w:rsid w:val="00AF5D76"/>
    <w:rsid w:val="00B12719"/>
    <w:rsid w:val="00B22F08"/>
    <w:rsid w:val="00B25163"/>
    <w:rsid w:val="00B2518E"/>
    <w:rsid w:val="00B2521D"/>
    <w:rsid w:val="00B30A72"/>
    <w:rsid w:val="00B32D3F"/>
    <w:rsid w:val="00B41578"/>
    <w:rsid w:val="00B42B3C"/>
    <w:rsid w:val="00B66355"/>
    <w:rsid w:val="00B9118A"/>
    <w:rsid w:val="00B9415E"/>
    <w:rsid w:val="00B9497A"/>
    <w:rsid w:val="00BA5344"/>
    <w:rsid w:val="00BB4A3C"/>
    <w:rsid w:val="00BB6175"/>
    <w:rsid w:val="00BC2983"/>
    <w:rsid w:val="00BC698B"/>
    <w:rsid w:val="00BC7C84"/>
    <w:rsid w:val="00BD300F"/>
    <w:rsid w:val="00BD3141"/>
    <w:rsid w:val="00BD42C6"/>
    <w:rsid w:val="00BE669C"/>
    <w:rsid w:val="00BE7E51"/>
    <w:rsid w:val="00C0562D"/>
    <w:rsid w:val="00C151FE"/>
    <w:rsid w:val="00C25F69"/>
    <w:rsid w:val="00C350F4"/>
    <w:rsid w:val="00C40950"/>
    <w:rsid w:val="00C42B70"/>
    <w:rsid w:val="00C55908"/>
    <w:rsid w:val="00C55C2E"/>
    <w:rsid w:val="00C65C5B"/>
    <w:rsid w:val="00C71727"/>
    <w:rsid w:val="00C74FAB"/>
    <w:rsid w:val="00C955D1"/>
    <w:rsid w:val="00CA0BE6"/>
    <w:rsid w:val="00CB4CCD"/>
    <w:rsid w:val="00CC3BF8"/>
    <w:rsid w:val="00CD1907"/>
    <w:rsid w:val="00CE1603"/>
    <w:rsid w:val="00CE2351"/>
    <w:rsid w:val="00CE24E2"/>
    <w:rsid w:val="00D076F0"/>
    <w:rsid w:val="00D162C0"/>
    <w:rsid w:val="00D1672E"/>
    <w:rsid w:val="00D256A9"/>
    <w:rsid w:val="00D277BD"/>
    <w:rsid w:val="00D30F16"/>
    <w:rsid w:val="00D32614"/>
    <w:rsid w:val="00D36F91"/>
    <w:rsid w:val="00D4450D"/>
    <w:rsid w:val="00D52786"/>
    <w:rsid w:val="00D6685B"/>
    <w:rsid w:val="00D73732"/>
    <w:rsid w:val="00D75E36"/>
    <w:rsid w:val="00D865D6"/>
    <w:rsid w:val="00DB1CED"/>
    <w:rsid w:val="00DB4ED8"/>
    <w:rsid w:val="00DC26FC"/>
    <w:rsid w:val="00DC3951"/>
    <w:rsid w:val="00DD740E"/>
    <w:rsid w:val="00DE7B36"/>
    <w:rsid w:val="00E027C4"/>
    <w:rsid w:val="00E07E6A"/>
    <w:rsid w:val="00E1071C"/>
    <w:rsid w:val="00E113E4"/>
    <w:rsid w:val="00E11D78"/>
    <w:rsid w:val="00E32A82"/>
    <w:rsid w:val="00E343F9"/>
    <w:rsid w:val="00E72EF4"/>
    <w:rsid w:val="00E7330F"/>
    <w:rsid w:val="00E771F1"/>
    <w:rsid w:val="00E77CC1"/>
    <w:rsid w:val="00E80C00"/>
    <w:rsid w:val="00E871D8"/>
    <w:rsid w:val="00EA409B"/>
    <w:rsid w:val="00EA4E11"/>
    <w:rsid w:val="00EB1A04"/>
    <w:rsid w:val="00EB3EEC"/>
    <w:rsid w:val="00EC523A"/>
    <w:rsid w:val="00EC6DF4"/>
    <w:rsid w:val="00ED0226"/>
    <w:rsid w:val="00ED254D"/>
    <w:rsid w:val="00EE0C49"/>
    <w:rsid w:val="00EE1269"/>
    <w:rsid w:val="00EE261B"/>
    <w:rsid w:val="00EE3620"/>
    <w:rsid w:val="00EE4EBB"/>
    <w:rsid w:val="00F050E1"/>
    <w:rsid w:val="00F07829"/>
    <w:rsid w:val="00F31CB3"/>
    <w:rsid w:val="00F43917"/>
    <w:rsid w:val="00F45E55"/>
    <w:rsid w:val="00F465BD"/>
    <w:rsid w:val="00F61715"/>
    <w:rsid w:val="00F65DEC"/>
    <w:rsid w:val="00F65E5E"/>
    <w:rsid w:val="00F73440"/>
    <w:rsid w:val="00F801A1"/>
    <w:rsid w:val="00F81D1A"/>
    <w:rsid w:val="00F90809"/>
    <w:rsid w:val="00FA36EA"/>
    <w:rsid w:val="00FB46B2"/>
    <w:rsid w:val="00FC6BE6"/>
    <w:rsid w:val="00FD6BEA"/>
    <w:rsid w:val="00FE467B"/>
    <w:rsid w:val="00FF0F38"/>
    <w:rsid w:val="00FF59C6"/>
    <w:rsid w:val="01583748"/>
    <w:rsid w:val="015D59FE"/>
    <w:rsid w:val="01714BFA"/>
    <w:rsid w:val="019E47C2"/>
    <w:rsid w:val="01E30F27"/>
    <w:rsid w:val="01E75EBB"/>
    <w:rsid w:val="01EB594B"/>
    <w:rsid w:val="027237BE"/>
    <w:rsid w:val="02843DA9"/>
    <w:rsid w:val="02B07274"/>
    <w:rsid w:val="02C1531D"/>
    <w:rsid w:val="02DF2A2A"/>
    <w:rsid w:val="02EB239A"/>
    <w:rsid w:val="03116833"/>
    <w:rsid w:val="03511DCB"/>
    <w:rsid w:val="037E6D6A"/>
    <w:rsid w:val="039136BD"/>
    <w:rsid w:val="03BB1335"/>
    <w:rsid w:val="03E966C3"/>
    <w:rsid w:val="040B36C9"/>
    <w:rsid w:val="04206AE5"/>
    <w:rsid w:val="04566B35"/>
    <w:rsid w:val="04871CA7"/>
    <w:rsid w:val="04877251"/>
    <w:rsid w:val="04F70A64"/>
    <w:rsid w:val="05094D59"/>
    <w:rsid w:val="05105DDD"/>
    <w:rsid w:val="051B60DA"/>
    <w:rsid w:val="0572665B"/>
    <w:rsid w:val="05855B87"/>
    <w:rsid w:val="059060A1"/>
    <w:rsid w:val="05922FA0"/>
    <w:rsid w:val="0627193B"/>
    <w:rsid w:val="062B2731"/>
    <w:rsid w:val="0644571C"/>
    <w:rsid w:val="06615C0A"/>
    <w:rsid w:val="06635043"/>
    <w:rsid w:val="06845BA8"/>
    <w:rsid w:val="06BD404D"/>
    <w:rsid w:val="06F94462"/>
    <w:rsid w:val="07180320"/>
    <w:rsid w:val="079610C8"/>
    <w:rsid w:val="079E3E7E"/>
    <w:rsid w:val="07CA4D49"/>
    <w:rsid w:val="07E94A29"/>
    <w:rsid w:val="07FD6DF7"/>
    <w:rsid w:val="08031F33"/>
    <w:rsid w:val="082C51BD"/>
    <w:rsid w:val="0850268A"/>
    <w:rsid w:val="087A6CD9"/>
    <w:rsid w:val="08802E41"/>
    <w:rsid w:val="089977FE"/>
    <w:rsid w:val="08AC6819"/>
    <w:rsid w:val="08AD6A7B"/>
    <w:rsid w:val="09097BA6"/>
    <w:rsid w:val="090E7106"/>
    <w:rsid w:val="09181BE7"/>
    <w:rsid w:val="09265438"/>
    <w:rsid w:val="097C2AAB"/>
    <w:rsid w:val="09B5434C"/>
    <w:rsid w:val="09C5008C"/>
    <w:rsid w:val="09C61D9D"/>
    <w:rsid w:val="0A582F89"/>
    <w:rsid w:val="0A704B0C"/>
    <w:rsid w:val="0A841306"/>
    <w:rsid w:val="0A902C02"/>
    <w:rsid w:val="0AB319EF"/>
    <w:rsid w:val="0ABD1A4D"/>
    <w:rsid w:val="0AF171D2"/>
    <w:rsid w:val="0B0C55A3"/>
    <w:rsid w:val="0B1B66F2"/>
    <w:rsid w:val="0BA80E28"/>
    <w:rsid w:val="0BE04A65"/>
    <w:rsid w:val="0C05185E"/>
    <w:rsid w:val="0C2A0D78"/>
    <w:rsid w:val="0C2D21C2"/>
    <w:rsid w:val="0C352341"/>
    <w:rsid w:val="0C623206"/>
    <w:rsid w:val="0C7156BE"/>
    <w:rsid w:val="0C797E78"/>
    <w:rsid w:val="0C9161E7"/>
    <w:rsid w:val="0CA041F5"/>
    <w:rsid w:val="0CA15148"/>
    <w:rsid w:val="0CD6150A"/>
    <w:rsid w:val="0D2941EA"/>
    <w:rsid w:val="0D3476A1"/>
    <w:rsid w:val="0D4E1EA3"/>
    <w:rsid w:val="0DD9062C"/>
    <w:rsid w:val="0DFF3875"/>
    <w:rsid w:val="0E042376"/>
    <w:rsid w:val="0EB07247"/>
    <w:rsid w:val="0ED600BF"/>
    <w:rsid w:val="0EEC5D7A"/>
    <w:rsid w:val="0F716E36"/>
    <w:rsid w:val="0F7B3433"/>
    <w:rsid w:val="0FAF19AB"/>
    <w:rsid w:val="0FD0240B"/>
    <w:rsid w:val="0FD76269"/>
    <w:rsid w:val="105F6519"/>
    <w:rsid w:val="106D24C1"/>
    <w:rsid w:val="107E484D"/>
    <w:rsid w:val="10A33C87"/>
    <w:rsid w:val="111A7688"/>
    <w:rsid w:val="11203B56"/>
    <w:rsid w:val="11243459"/>
    <w:rsid w:val="112E6273"/>
    <w:rsid w:val="117D68B3"/>
    <w:rsid w:val="11E33FEA"/>
    <w:rsid w:val="12004A61"/>
    <w:rsid w:val="1246182B"/>
    <w:rsid w:val="12786775"/>
    <w:rsid w:val="12906B8C"/>
    <w:rsid w:val="12A57483"/>
    <w:rsid w:val="12DA1AE3"/>
    <w:rsid w:val="13171475"/>
    <w:rsid w:val="131C1753"/>
    <w:rsid w:val="133078A2"/>
    <w:rsid w:val="13AA1E5C"/>
    <w:rsid w:val="140B4717"/>
    <w:rsid w:val="146F7D7B"/>
    <w:rsid w:val="14746C80"/>
    <w:rsid w:val="14870A4D"/>
    <w:rsid w:val="14BF2688"/>
    <w:rsid w:val="159D1FA1"/>
    <w:rsid w:val="15BB51C3"/>
    <w:rsid w:val="15CC214F"/>
    <w:rsid w:val="16142507"/>
    <w:rsid w:val="166C1837"/>
    <w:rsid w:val="167453B3"/>
    <w:rsid w:val="168806C8"/>
    <w:rsid w:val="16C91F73"/>
    <w:rsid w:val="16D05429"/>
    <w:rsid w:val="16D264A2"/>
    <w:rsid w:val="16D64314"/>
    <w:rsid w:val="172E39E8"/>
    <w:rsid w:val="173E5176"/>
    <w:rsid w:val="177A1E6E"/>
    <w:rsid w:val="178C7A38"/>
    <w:rsid w:val="179E57D5"/>
    <w:rsid w:val="17F04334"/>
    <w:rsid w:val="18341AE3"/>
    <w:rsid w:val="186E33F9"/>
    <w:rsid w:val="188E75F7"/>
    <w:rsid w:val="189A34D8"/>
    <w:rsid w:val="18AB0AFA"/>
    <w:rsid w:val="18B7700D"/>
    <w:rsid w:val="18CE66FC"/>
    <w:rsid w:val="190050A3"/>
    <w:rsid w:val="19052483"/>
    <w:rsid w:val="19187920"/>
    <w:rsid w:val="1935332B"/>
    <w:rsid w:val="19477A48"/>
    <w:rsid w:val="194E4E9A"/>
    <w:rsid w:val="197F0DB4"/>
    <w:rsid w:val="1991488A"/>
    <w:rsid w:val="1A233ADC"/>
    <w:rsid w:val="1A5777C7"/>
    <w:rsid w:val="1A5C341D"/>
    <w:rsid w:val="1A707862"/>
    <w:rsid w:val="1AB6632C"/>
    <w:rsid w:val="1AD324ED"/>
    <w:rsid w:val="1AE63664"/>
    <w:rsid w:val="1AFA71C6"/>
    <w:rsid w:val="1B261C86"/>
    <w:rsid w:val="1B442974"/>
    <w:rsid w:val="1B4477F4"/>
    <w:rsid w:val="1B4C7AB6"/>
    <w:rsid w:val="1B523921"/>
    <w:rsid w:val="1B5E3969"/>
    <w:rsid w:val="1B9601FE"/>
    <w:rsid w:val="1C070382"/>
    <w:rsid w:val="1C13540D"/>
    <w:rsid w:val="1C143D35"/>
    <w:rsid w:val="1C5E39C8"/>
    <w:rsid w:val="1CF026B7"/>
    <w:rsid w:val="1CFB0616"/>
    <w:rsid w:val="1D033ECF"/>
    <w:rsid w:val="1D181B85"/>
    <w:rsid w:val="1D477AE4"/>
    <w:rsid w:val="1D5947F9"/>
    <w:rsid w:val="1D6A7819"/>
    <w:rsid w:val="1D7F47EA"/>
    <w:rsid w:val="1D9906CB"/>
    <w:rsid w:val="1DA00A79"/>
    <w:rsid w:val="1DAB1E82"/>
    <w:rsid w:val="1DF044D2"/>
    <w:rsid w:val="1E737F45"/>
    <w:rsid w:val="1E766D67"/>
    <w:rsid w:val="1E8B2911"/>
    <w:rsid w:val="1F0335AF"/>
    <w:rsid w:val="1F03792F"/>
    <w:rsid w:val="1F2F06F1"/>
    <w:rsid w:val="1F7E7D75"/>
    <w:rsid w:val="1FC4420C"/>
    <w:rsid w:val="1FDF5159"/>
    <w:rsid w:val="200733B8"/>
    <w:rsid w:val="203023E8"/>
    <w:rsid w:val="20DA3BBC"/>
    <w:rsid w:val="20DC26F4"/>
    <w:rsid w:val="20E0034C"/>
    <w:rsid w:val="213F763C"/>
    <w:rsid w:val="215149ED"/>
    <w:rsid w:val="224B3719"/>
    <w:rsid w:val="2268710B"/>
    <w:rsid w:val="22810B9F"/>
    <w:rsid w:val="22A77C33"/>
    <w:rsid w:val="22B04FE0"/>
    <w:rsid w:val="23A058C0"/>
    <w:rsid w:val="23C93BD9"/>
    <w:rsid w:val="24035DF3"/>
    <w:rsid w:val="24064419"/>
    <w:rsid w:val="24342124"/>
    <w:rsid w:val="2477554A"/>
    <w:rsid w:val="2488750F"/>
    <w:rsid w:val="24AD567B"/>
    <w:rsid w:val="24DE7378"/>
    <w:rsid w:val="2520644C"/>
    <w:rsid w:val="25381017"/>
    <w:rsid w:val="253930E2"/>
    <w:rsid w:val="25451024"/>
    <w:rsid w:val="25BB063F"/>
    <w:rsid w:val="262F5FEA"/>
    <w:rsid w:val="265A0D8C"/>
    <w:rsid w:val="266853E5"/>
    <w:rsid w:val="26865DB2"/>
    <w:rsid w:val="26E73037"/>
    <w:rsid w:val="273E5C37"/>
    <w:rsid w:val="27B801ED"/>
    <w:rsid w:val="27E14225"/>
    <w:rsid w:val="28397580"/>
    <w:rsid w:val="284B1061"/>
    <w:rsid w:val="28884063"/>
    <w:rsid w:val="28B5297E"/>
    <w:rsid w:val="28FF72B6"/>
    <w:rsid w:val="290E2783"/>
    <w:rsid w:val="295B3FB9"/>
    <w:rsid w:val="296F7C86"/>
    <w:rsid w:val="297B5976"/>
    <w:rsid w:val="2984482A"/>
    <w:rsid w:val="29D86924"/>
    <w:rsid w:val="29E019EC"/>
    <w:rsid w:val="29EE26C2"/>
    <w:rsid w:val="29F72338"/>
    <w:rsid w:val="2A4B03FA"/>
    <w:rsid w:val="2A4B17EC"/>
    <w:rsid w:val="2A5F0909"/>
    <w:rsid w:val="2A6E6EE6"/>
    <w:rsid w:val="2A8C1910"/>
    <w:rsid w:val="2AAC7794"/>
    <w:rsid w:val="2ACC29E8"/>
    <w:rsid w:val="2AFE685E"/>
    <w:rsid w:val="2B2E352B"/>
    <w:rsid w:val="2B365FF8"/>
    <w:rsid w:val="2BA3493D"/>
    <w:rsid w:val="2BA5416B"/>
    <w:rsid w:val="2BA72A52"/>
    <w:rsid w:val="2BA827A7"/>
    <w:rsid w:val="2BE057D7"/>
    <w:rsid w:val="2BF72D45"/>
    <w:rsid w:val="2BF86A54"/>
    <w:rsid w:val="2BFD08C4"/>
    <w:rsid w:val="2C0D3B36"/>
    <w:rsid w:val="2C277A68"/>
    <w:rsid w:val="2C7167F5"/>
    <w:rsid w:val="2C874618"/>
    <w:rsid w:val="2C8F6F6C"/>
    <w:rsid w:val="2CA16E22"/>
    <w:rsid w:val="2CB20FC4"/>
    <w:rsid w:val="2CF20EDE"/>
    <w:rsid w:val="2CF717B7"/>
    <w:rsid w:val="2D032C37"/>
    <w:rsid w:val="2D4E2B78"/>
    <w:rsid w:val="2DC418DE"/>
    <w:rsid w:val="2DD1025A"/>
    <w:rsid w:val="2E2C4112"/>
    <w:rsid w:val="2E897B86"/>
    <w:rsid w:val="2EA276EB"/>
    <w:rsid w:val="2ED147DF"/>
    <w:rsid w:val="2EDC4A20"/>
    <w:rsid w:val="2EE31FF3"/>
    <w:rsid w:val="2F20152F"/>
    <w:rsid w:val="2F9A43F2"/>
    <w:rsid w:val="2FE1052E"/>
    <w:rsid w:val="2FFB2FFC"/>
    <w:rsid w:val="301917B8"/>
    <w:rsid w:val="303803AA"/>
    <w:rsid w:val="30386983"/>
    <w:rsid w:val="304070FC"/>
    <w:rsid w:val="304C09D2"/>
    <w:rsid w:val="30D30C2E"/>
    <w:rsid w:val="30E65DCB"/>
    <w:rsid w:val="31440FA5"/>
    <w:rsid w:val="31565CBA"/>
    <w:rsid w:val="316D73AB"/>
    <w:rsid w:val="31700A3F"/>
    <w:rsid w:val="325D11AF"/>
    <w:rsid w:val="328D2BC0"/>
    <w:rsid w:val="32DF2AD1"/>
    <w:rsid w:val="32F15B31"/>
    <w:rsid w:val="3338676E"/>
    <w:rsid w:val="33B2468A"/>
    <w:rsid w:val="346314E0"/>
    <w:rsid w:val="346B446A"/>
    <w:rsid w:val="34833D46"/>
    <w:rsid w:val="34EE387B"/>
    <w:rsid w:val="350E2895"/>
    <w:rsid w:val="35150650"/>
    <w:rsid w:val="351A3545"/>
    <w:rsid w:val="351F35B7"/>
    <w:rsid w:val="355309BE"/>
    <w:rsid w:val="357B4FDA"/>
    <w:rsid w:val="35973C3E"/>
    <w:rsid w:val="36146AD8"/>
    <w:rsid w:val="366F0C9C"/>
    <w:rsid w:val="366F53B2"/>
    <w:rsid w:val="369736C3"/>
    <w:rsid w:val="36EB2E5B"/>
    <w:rsid w:val="36F469E7"/>
    <w:rsid w:val="36FE4E99"/>
    <w:rsid w:val="37587E6F"/>
    <w:rsid w:val="37DA0006"/>
    <w:rsid w:val="37E2261C"/>
    <w:rsid w:val="37FE5250"/>
    <w:rsid w:val="38142843"/>
    <w:rsid w:val="38165070"/>
    <w:rsid w:val="38961E84"/>
    <w:rsid w:val="38D40BFF"/>
    <w:rsid w:val="38DC6387"/>
    <w:rsid w:val="38F02F92"/>
    <w:rsid w:val="390940A4"/>
    <w:rsid w:val="391A0396"/>
    <w:rsid w:val="39407BAB"/>
    <w:rsid w:val="397533F9"/>
    <w:rsid w:val="398C6381"/>
    <w:rsid w:val="39A22AE4"/>
    <w:rsid w:val="39AC771E"/>
    <w:rsid w:val="39FC5BE0"/>
    <w:rsid w:val="3A062D2E"/>
    <w:rsid w:val="3A157A81"/>
    <w:rsid w:val="3A490CC3"/>
    <w:rsid w:val="3A5510E7"/>
    <w:rsid w:val="3A7F6247"/>
    <w:rsid w:val="3AF00D6F"/>
    <w:rsid w:val="3B2E1A16"/>
    <w:rsid w:val="3B2F65C0"/>
    <w:rsid w:val="3B9F26AC"/>
    <w:rsid w:val="3BDB7187"/>
    <w:rsid w:val="3BFA71F9"/>
    <w:rsid w:val="3C9078DB"/>
    <w:rsid w:val="3CBF626F"/>
    <w:rsid w:val="3CC33921"/>
    <w:rsid w:val="3CD70B78"/>
    <w:rsid w:val="3CDE7620"/>
    <w:rsid w:val="3CE1119D"/>
    <w:rsid w:val="3D305D84"/>
    <w:rsid w:val="3D3C43E2"/>
    <w:rsid w:val="3D980813"/>
    <w:rsid w:val="3DB1454C"/>
    <w:rsid w:val="3DB80AEF"/>
    <w:rsid w:val="3DE37306"/>
    <w:rsid w:val="3DFE3D3A"/>
    <w:rsid w:val="3E422DD1"/>
    <w:rsid w:val="3E611186"/>
    <w:rsid w:val="3E851072"/>
    <w:rsid w:val="3E8A151A"/>
    <w:rsid w:val="3E9C3CA2"/>
    <w:rsid w:val="3E9F580B"/>
    <w:rsid w:val="3EB858E6"/>
    <w:rsid w:val="3ED43A88"/>
    <w:rsid w:val="3F4D34B9"/>
    <w:rsid w:val="3FA24FC9"/>
    <w:rsid w:val="40202044"/>
    <w:rsid w:val="40576C04"/>
    <w:rsid w:val="40A150DA"/>
    <w:rsid w:val="40BF3F42"/>
    <w:rsid w:val="40CC6F27"/>
    <w:rsid w:val="40D43962"/>
    <w:rsid w:val="40D735C1"/>
    <w:rsid w:val="41344930"/>
    <w:rsid w:val="414804D8"/>
    <w:rsid w:val="416F3C75"/>
    <w:rsid w:val="41894F0F"/>
    <w:rsid w:val="41FD6D9E"/>
    <w:rsid w:val="421B164C"/>
    <w:rsid w:val="42330A76"/>
    <w:rsid w:val="42756FAE"/>
    <w:rsid w:val="436F2DDD"/>
    <w:rsid w:val="43B96A7B"/>
    <w:rsid w:val="43D163E1"/>
    <w:rsid w:val="43DD305D"/>
    <w:rsid w:val="43F83AB5"/>
    <w:rsid w:val="44014414"/>
    <w:rsid w:val="440E3217"/>
    <w:rsid w:val="44104A9B"/>
    <w:rsid w:val="441545B5"/>
    <w:rsid w:val="441D7456"/>
    <w:rsid w:val="447F09DF"/>
    <w:rsid w:val="449364C5"/>
    <w:rsid w:val="44BA57CE"/>
    <w:rsid w:val="44ED08D1"/>
    <w:rsid w:val="44ED76B2"/>
    <w:rsid w:val="45190605"/>
    <w:rsid w:val="452137A8"/>
    <w:rsid w:val="457434F5"/>
    <w:rsid w:val="45BF751D"/>
    <w:rsid w:val="46050BD4"/>
    <w:rsid w:val="460F2D79"/>
    <w:rsid w:val="46165DC2"/>
    <w:rsid w:val="461F5383"/>
    <w:rsid w:val="463E4980"/>
    <w:rsid w:val="46845108"/>
    <w:rsid w:val="46931BF8"/>
    <w:rsid w:val="46A11823"/>
    <w:rsid w:val="46AD6322"/>
    <w:rsid w:val="46C428A2"/>
    <w:rsid w:val="46E14C12"/>
    <w:rsid w:val="47272C53"/>
    <w:rsid w:val="473646FC"/>
    <w:rsid w:val="475F576F"/>
    <w:rsid w:val="47901D05"/>
    <w:rsid w:val="479C21B0"/>
    <w:rsid w:val="47AF6D10"/>
    <w:rsid w:val="47B15066"/>
    <w:rsid w:val="47D12ED9"/>
    <w:rsid w:val="47D6227C"/>
    <w:rsid w:val="47DB6935"/>
    <w:rsid w:val="47FF4D35"/>
    <w:rsid w:val="48141CCC"/>
    <w:rsid w:val="488F64CD"/>
    <w:rsid w:val="48ED04B2"/>
    <w:rsid w:val="490E2B42"/>
    <w:rsid w:val="492B14BE"/>
    <w:rsid w:val="49CF3448"/>
    <w:rsid w:val="49FD5129"/>
    <w:rsid w:val="4A7D10F6"/>
    <w:rsid w:val="4AB22FB2"/>
    <w:rsid w:val="4AD041C8"/>
    <w:rsid w:val="4AF313B8"/>
    <w:rsid w:val="4AF46076"/>
    <w:rsid w:val="4B3B7F26"/>
    <w:rsid w:val="4B3F15A1"/>
    <w:rsid w:val="4B7A6E4A"/>
    <w:rsid w:val="4B920BD1"/>
    <w:rsid w:val="4BF83930"/>
    <w:rsid w:val="4C51455F"/>
    <w:rsid w:val="4CA539BE"/>
    <w:rsid w:val="4CA53A8C"/>
    <w:rsid w:val="4CBD57DA"/>
    <w:rsid w:val="4CC0468B"/>
    <w:rsid w:val="4D0B16A6"/>
    <w:rsid w:val="4D245859"/>
    <w:rsid w:val="4D911800"/>
    <w:rsid w:val="4D9549A9"/>
    <w:rsid w:val="4D971A22"/>
    <w:rsid w:val="4DB473A2"/>
    <w:rsid w:val="4E075860"/>
    <w:rsid w:val="4E277F09"/>
    <w:rsid w:val="4E2D698F"/>
    <w:rsid w:val="4E447F77"/>
    <w:rsid w:val="4E5B45E0"/>
    <w:rsid w:val="4E6D5CBB"/>
    <w:rsid w:val="4EAD187E"/>
    <w:rsid w:val="4EAF29B8"/>
    <w:rsid w:val="4EFA3E66"/>
    <w:rsid w:val="4F0C5DB4"/>
    <w:rsid w:val="4F0E7D36"/>
    <w:rsid w:val="4F4D5A86"/>
    <w:rsid w:val="4F530677"/>
    <w:rsid w:val="4FF956BD"/>
    <w:rsid w:val="50373AF5"/>
    <w:rsid w:val="50461A02"/>
    <w:rsid w:val="504A00FC"/>
    <w:rsid w:val="505A2D40"/>
    <w:rsid w:val="50652B90"/>
    <w:rsid w:val="507F5221"/>
    <w:rsid w:val="510425AE"/>
    <w:rsid w:val="51045307"/>
    <w:rsid w:val="5118567E"/>
    <w:rsid w:val="5181771E"/>
    <w:rsid w:val="519F7CEC"/>
    <w:rsid w:val="51A0391C"/>
    <w:rsid w:val="51A446B9"/>
    <w:rsid w:val="51AC3466"/>
    <w:rsid w:val="51B33235"/>
    <w:rsid w:val="51EA315B"/>
    <w:rsid w:val="51EE5540"/>
    <w:rsid w:val="52062098"/>
    <w:rsid w:val="52552958"/>
    <w:rsid w:val="52634497"/>
    <w:rsid w:val="526F3904"/>
    <w:rsid w:val="529A0785"/>
    <w:rsid w:val="52D153A3"/>
    <w:rsid w:val="52E50E66"/>
    <w:rsid w:val="52FD45E8"/>
    <w:rsid w:val="53310329"/>
    <w:rsid w:val="53403B3C"/>
    <w:rsid w:val="53740BBC"/>
    <w:rsid w:val="537F6914"/>
    <w:rsid w:val="538C5F06"/>
    <w:rsid w:val="538F1E35"/>
    <w:rsid w:val="53E276BB"/>
    <w:rsid w:val="53E45959"/>
    <w:rsid w:val="542C7B70"/>
    <w:rsid w:val="54324CFF"/>
    <w:rsid w:val="5459158A"/>
    <w:rsid w:val="547867F8"/>
    <w:rsid w:val="54B60697"/>
    <w:rsid w:val="554538AF"/>
    <w:rsid w:val="55491B4D"/>
    <w:rsid w:val="55564133"/>
    <w:rsid w:val="55785C72"/>
    <w:rsid w:val="55C91693"/>
    <w:rsid w:val="563C6C09"/>
    <w:rsid w:val="5645019F"/>
    <w:rsid w:val="564E1B99"/>
    <w:rsid w:val="565A3E18"/>
    <w:rsid w:val="568320F5"/>
    <w:rsid w:val="56B37FDA"/>
    <w:rsid w:val="571F351F"/>
    <w:rsid w:val="572460C7"/>
    <w:rsid w:val="5765719A"/>
    <w:rsid w:val="57AD5A84"/>
    <w:rsid w:val="57AE5EA4"/>
    <w:rsid w:val="57EC00CE"/>
    <w:rsid w:val="580E2D09"/>
    <w:rsid w:val="58155B70"/>
    <w:rsid w:val="584E303B"/>
    <w:rsid w:val="58845D45"/>
    <w:rsid w:val="589A471C"/>
    <w:rsid w:val="58A22176"/>
    <w:rsid w:val="58DA6974"/>
    <w:rsid w:val="58DE5DA3"/>
    <w:rsid w:val="59372634"/>
    <w:rsid w:val="594272C5"/>
    <w:rsid w:val="597129E8"/>
    <w:rsid w:val="598462A6"/>
    <w:rsid w:val="59931736"/>
    <w:rsid w:val="59CD693D"/>
    <w:rsid w:val="5A1F0EF1"/>
    <w:rsid w:val="5A4802D0"/>
    <w:rsid w:val="5A995E18"/>
    <w:rsid w:val="5AF23254"/>
    <w:rsid w:val="5AFF5F11"/>
    <w:rsid w:val="5B163769"/>
    <w:rsid w:val="5B2B06FA"/>
    <w:rsid w:val="5B7558DE"/>
    <w:rsid w:val="5C2517B4"/>
    <w:rsid w:val="5C900A24"/>
    <w:rsid w:val="5CF066F0"/>
    <w:rsid w:val="5D2C44EF"/>
    <w:rsid w:val="5D3E6C9B"/>
    <w:rsid w:val="5D4166C4"/>
    <w:rsid w:val="5D79343C"/>
    <w:rsid w:val="5D880594"/>
    <w:rsid w:val="5DA24743"/>
    <w:rsid w:val="5DBA7743"/>
    <w:rsid w:val="5DC10EA2"/>
    <w:rsid w:val="5DD2425A"/>
    <w:rsid w:val="5DE046C5"/>
    <w:rsid w:val="5E617E64"/>
    <w:rsid w:val="5E7D31D4"/>
    <w:rsid w:val="5EA153A7"/>
    <w:rsid w:val="5EB07A59"/>
    <w:rsid w:val="5F175824"/>
    <w:rsid w:val="5F4A0B0C"/>
    <w:rsid w:val="5F725AF3"/>
    <w:rsid w:val="5F864151"/>
    <w:rsid w:val="5FFF1E2B"/>
    <w:rsid w:val="60626080"/>
    <w:rsid w:val="60630AC9"/>
    <w:rsid w:val="607E29C3"/>
    <w:rsid w:val="609C7174"/>
    <w:rsid w:val="60B46ED0"/>
    <w:rsid w:val="611A582C"/>
    <w:rsid w:val="61207B97"/>
    <w:rsid w:val="618625DD"/>
    <w:rsid w:val="61932560"/>
    <w:rsid w:val="61B85CF2"/>
    <w:rsid w:val="624A76B8"/>
    <w:rsid w:val="627363B8"/>
    <w:rsid w:val="627D3AC1"/>
    <w:rsid w:val="62E40775"/>
    <w:rsid w:val="62E737E5"/>
    <w:rsid w:val="62FA10ED"/>
    <w:rsid w:val="632A7334"/>
    <w:rsid w:val="632B573B"/>
    <w:rsid w:val="633C31E2"/>
    <w:rsid w:val="63400E3D"/>
    <w:rsid w:val="6361115D"/>
    <w:rsid w:val="63974EA0"/>
    <w:rsid w:val="63F97203"/>
    <w:rsid w:val="64520AA6"/>
    <w:rsid w:val="648844C8"/>
    <w:rsid w:val="649E21B9"/>
    <w:rsid w:val="64CF659A"/>
    <w:rsid w:val="652561BA"/>
    <w:rsid w:val="65705F2C"/>
    <w:rsid w:val="65736F26"/>
    <w:rsid w:val="65777387"/>
    <w:rsid w:val="657809E0"/>
    <w:rsid w:val="65982F48"/>
    <w:rsid w:val="659A7E55"/>
    <w:rsid w:val="65B873ED"/>
    <w:rsid w:val="666A553D"/>
    <w:rsid w:val="66855163"/>
    <w:rsid w:val="66CC3D22"/>
    <w:rsid w:val="67166FE4"/>
    <w:rsid w:val="671F1D34"/>
    <w:rsid w:val="678C42CF"/>
    <w:rsid w:val="67ED0AFA"/>
    <w:rsid w:val="67F65F8F"/>
    <w:rsid w:val="680B01CD"/>
    <w:rsid w:val="6819678B"/>
    <w:rsid w:val="681C2482"/>
    <w:rsid w:val="6844707F"/>
    <w:rsid w:val="6856478F"/>
    <w:rsid w:val="686971B3"/>
    <w:rsid w:val="688D36E5"/>
    <w:rsid w:val="68923B67"/>
    <w:rsid w:val="68EA1DA8"/>
    <w:rsid w:val="692844CB"/>
    <w:rsid w:val="69F95469"/>
    <w:rsid w:val="69FC0450"/>
    <w:rsid w:val="69FC1EAC"/>
    <w:rsid w:val="6A424DE4"/>
    <w:rsid w:val="6A5E250D"/>
    <w:rsid w:val="6A8353C1"/>
    <w:rsid w:val="6AAF1EF9"/>
    <w:rsid w:val="6AC104B6"/>
    <w:rsid w:val="6AC36259"/>
    <w:rsid w:val="6B6D4417"/>
    <w:rsid w:val="6B737129"/>
    <w:rsid w:val="6BAC7B3C"/>
    <w:rsid w:val="6BE22AEA"/>
    <w:rsid w:val="6C462CBF"/>
    <w:rsid w:val="6CB1562F"/>
    <w:rsid w:val="6CF23A81"/>
    <w:rsid w:val="6D16450C"/>
    <w:rsid w:val="6D4A2C62"/>
    <w:rsid w:val="6D8B7652"/>
    <w:rsid w:val="6DB620A5"/>
    <w:rsid w:val="6DC464DA"/>
    <w:rsid w:val="6DE210EC"/>
    <w:rsid w:val="6E124509"/>
    <w:rsid w:val="6E146AD4"/>
    <w:rsid w:val="6E171D2F"/>
    <w:rsid w:val="6E20628D"/>
    <w:rsid w:val="6E2D0260"/>
    <w:rsid w:val="6E31797E"/>
    <w:rsid w:val="6E5B4871"/>
    <w:rsid w:val="6E5F44BF"/>
    <w:rsid w:val="6E9138C9"/>
    <w:rsid w:val="6EB84DF6"/>
    <w:rsid w:val="6F3A6210"/>
    <w:rsid w:val="6F5455A4"/>
    <w:rsid w:val="6F674339"/>
    <w:rsid w:val="6F8166E3"/>
    <w:rsid w:val="6F85531F"/>
    <w:rsid w:val="6FA32AFD"/>
    <w:rsid w:val="6FD77E83"/>
    <w:rsid w:val="703A0F82"/>
    <w:rsid w:val="70532C14"/>
    <w:rsid w:val="70DF1913"/>
    <w:rsid w:val="70F4540F"/>
    <w:rsid w:val="71413BF2"/>
    <w:rsid w:val="71716735"/>
    <w:rsid w:val="71B903B6"/>
    <w:rsid w:val="71BB26A6"/>
    <w:rsid w:val="71CE281A"/>
    <w:rsid w:val="71D13952"/>
    <w:rsid w:val="71F238C8"/>
    <w:rsid w:val="72037B0E"/>
    <w:rsid w:val="72331F90"/>
    <w:rsid w:val="724063E2"/>
    <w:rsid w:val="72760055"/>
    <w:rsid w:val="727A2000"/>
    <w:rsid w:val="727A4EFF"/>
    <w:rsid w:val="727F453C"/>
    <w:rsid w:val="72DA59B0"/>
    <w:rsid w:val="72E41463"/>
    <w:rsid w:val="72EA0F62"/>
    <w:rsid w:val="72F3278E"/>
    <w:rsid w:val="73293D89"/>
    <w:rsid w:val="733D5442"/>
    <w:rsid w:val="735859AD"/>
    <w:rsid w:val="73BC5F3C"/>
    <w:rsid w:val="73E25465"/>
    <w:rsid w:val="73E5371F"/>
    <w:rsid w:val="7433664C"/>
    <w:rsid w:val="74484E8C"/>
    <w:rsid w:val="744A760C"/>
    <w:rsid w:val="749538F6"/>
    <w:rsid w:val="74980757"/>
    <w:rsid w:val="74AC5FB0"/>
    <w:rsid w:val="74B865A8"/>
    <w:rsid w:val="74F33365"/>
    <w:rsid w:val="7504709E"/>
    <w:rsid w:val="750B2EC6"/>
    <w:rsid w:val="756E0DFB"/>
    <w:rsid w:val="75BE72C0"/>
    <w:rsid w:val="766C59F7"/>
    <w:rsid w:val="768216BE"/>
    <w:rsid w:val="768A5914"/>
    <w:rsid w:val="769136B0"/>
    <w:rsid w:val="76A520C9"/>
    <w:rsid w:val="76B12537"/>
    <w:rsid w:val="76D11FC2"/>
    <w:rsid w:val="76D71BFD"/>
    <w:rsid w:val="77100F4A"/>
    <w:rsid w:val="77804950"/>
    <w:rsid w:val="778D0223"/>
    <w:rsid w:val="77A25449"/>
    <w:rsid w:val="77D870ED"/>
    <w:rsid w:val="77EC39D3"/>
    <w:rsid w:val="780B39ED"/>
    <w:rsid w:val="781222D5"/>
    <w:rsid w:val="78236589"/>
    <w:rsid w:val="788A6608"/>
    <w:rsid w:val="788B7DFC"/>
    <w:rsid w:val="789D72DE"/>
    <w:rsid w:val="78ED3ABF"/>
    <w:rsid w:val="78FE4105"/>
    <w:rsid w:val="79283B12"/>
    <w:rsid w:val="79A6431B"/>
    <w:rsid w:val="79AE27CB"/>
    <w:rsid w:val="79D7587D"/>
    <w:rsid w:val="79FB04D3"/>
    <w:rsid w:val="7A0F7820"/>
    <w:rsid w:val="7A420BB9"/>
    <w:rsid w:val="7A7D08DE"/>
    <w:rsid w:val="7A7D7AB7"/>
    <w:rsid w:val="7A862E00"/>
    <w:rsid w:val="7A9343F5"/>
    <w:rsid w:val="7AA11282"/>
    <w:rsid w:val="7AA53F99"/>
    <w:rsid w:val="7ABF39CE"/>
    <w:rsid w:val="7B8453BE"/>
    <w:rsid w:val="7BAF6B0F"/>
    <w:rsid w:val="7BB971A8"/>
    <w:rsid w:val="7BCA6997"/>
    <w:rsid w:val="7BCE4A5E"/>
    <w:rsid w:val="7BFD2A05"/>
    <w:rsid w:val="7C0359A3"/>
    <w:rsid w:val="7C04023C"/>
    <w:rsid w:val="7C346DBB"/>
    <w:rsid w:val="7C8D48D0"/>
    <w:rsid w:val="7C936277"/>
    <w:rsid w:val="7C98391B"/>
    <w:rsid w:val="7CA66985"/>
    <w:rsid w:val="7CDE5CAC"/>
    <w:rsid w:val="7D071609"/>
    <w:rsid w:val="7D095DFE"/>
    <w:rsid w:val="7D370E04"/>
    <w:rsid w:val="7D3B79D2"/>
    <w:rsid w:val="7D43279C"/>
    <w:rsid w:val="7DB71EF6"/>
    <w:rsid w:val="7DE42898"/>
    <w:rsid w:val="7DE762AB"/>
    <w:rsid w:val="7E097FCF"/>
    <w:rsid w:val="7E362885"/>
    <w:rsid w:val="7E9A3EF8"/>
    <w:rsid w:val="7EEA26C3"/>
    <w:rsid w:val="7EF941AB"/>
    <w:rsid w:val="7F144FEB"/>
    <w:rsid w:val="7F8A3392"/>
    <w:rsid w:val="7F8B500C"/>
    <w:rsid w:val="7FE067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82CF410"/>
  <w15:docId w15:val="{B43E05EF-2D46-4C7B-8076-2E1457A4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Adobe 仿宋 Std R"/>
      <w:kern w:val="2"/>
      <w:sz w:val="32"/>
      <w:szCs w:val="24"/>
    </w:rPr>
  </w:style>
  <w:style w:type="paragraph" w:styleId="1">
    <w:name w:val="heading 1"/>
    <w:basedOn w:val="a"/>
    <w:next w:val="a"/>
    <w:link w:val="10"/>
    <w:uiPriority w:val="9"/>
    <w:qFormat/>
    <w:pPr>
      <w:spacing w:beforeLines="50" w:afterLines="50"/>
      <w:ind w:left="1429"/>
      <w:outlineLvl w:val="0"/>
    </w:pPr>
    <w:rPr>
      <w:rFonts w:ascii="Calibri" w:eastAsia="黑体" w:hAnsi="Calibr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qFormat/>
    <w:pPr>
      <w:adjustRightInd w:val="0"/>
      <w:snapToGrid w:val="0"/>
    </w:pPr>
    <w:rPr>
      <w:rFonts w:ascii="Tahoma" w:eastAsia="微软雅黑" w:hAnsi="Tahoma"/>
      <w:sz w:val="22"/>
      <w:szCs w:val="22"/>
    </w:rPr>
  </w:style>
  <w:style w:type="paragraph" w:styleId="a4">
    <w:name w:val="Normal Indent"/>
    <w:basedOn w:val="a"/>
    <w:uiPriority w:val="99"/>
    <w:unhideWhenUsed/>
    <w:qFormat/>
    <w:pPr>
      <w:ind w:firstLineChars="200" w:firstLine="420"/>
    </w:p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rPr>
  </w:style>
  <w:style w:type="paragraph" w:styleId="ab">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c">
    <w:name w:val="annotation subject"/>
    <w:basedOn w:val="a5"/>
    <w:next w:val="a5"/>
    <w:link w:val="ad"/>
    <w:uiPriority w:val="99"/>
    <w:semiHidden/>
    <w:unhideWhenUsed/>
    <w:qFormat/>
    <w:rPr>
      <w:b/>
      <w:bCs/>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1"/>
    <w:uiPriority w:val="99"/>
    <w:semiHidden/>
    <w:unhideWhenUsed/>
    <w:qFormat/>
  </w:style>
  <w:style w:type="character" w:styleId="af0">
    <w:name w:val="annotation reference"/>
    <w:basedOn w:val="a1"/>
    <w:uiPriority w:val="99"/>
    <w:semiHidden/>
    <w:unhideWhenUsed/>
    <w:qFormat/>
    <w:rPr>
      <w:sz w:val="21"/>
      <w:szCs w:val="21"/>
    </w:rPr>
  </w:style>
  <w:style w:type="paragraph" w:customStyle="1" w:styleId="11">
    <w:name w:val="列出段落1"/>
    <w:basedOn w:val="a"/>
    <w:link w:val="Char"/>
    <w:uiPriority w:val="34"/>
    <w:qFormat/>
    <w:pPr>
      <w:ind w:firstLineChars="200" w:firstLine="420"/>
    </w:pPr>
    <w:rPr>
      <w:rFonts w:eastAsia="仿宋_GB2312"/>
      <w:szCs w:val="32"/>
    </w:rPr>
  </w:style>
  <w:style w:type="character" w:customStyle="1" w:styleId="Char">
    <w:name w:val="列出段落 Char"/>
    <w:basedOn w:val="a1"/>
    <w:link w:val="11"/>
    <w:uiPriority w:val="34"/>
    <w:qFormat/>
    <w:rPr>
      <w:rFonts w:ascii="Times New Roman" w:eastAsia="仿宋_GB2312" w:hAnsi="Times New Roman" w:cs="Times New Roman"/>
      <w:sz w:val="32"/>
      <w:szCs w:val="32"/>
    </w:rPr>
  </w:style>
  <w:style w:type="character" w:customStyle="1" w:styleId="a8">
    <w:name w:val="批注框文本 字符"/>
    <w:basedOn w:val="a1"/>
    <w:link w:val="a7"/>
    <w:uiPriority w:val="99"/>
    <w:semiHidden/>
    <w:qFormat/>
    <w:rPr>
      <w:rFonts w:ascii="Times New Roman" w:eastAsia="Adobe 仿宋 Std R" w:hAnsi="Times New Roman" w:cs="Times New Roman"/>
      <w:kern w:val="2"/>
      <w:sz w:val="18"/>
      <w:szCs w:val="18"/>
    </w:rPr>
  </w:style>
  <w:style w:type="paragraph" w:styleId="af1">
    <w:name w:val="List Paragraph"/>
    <w:basedOn w:val="a"/>
    <w:link w:val="af2"/>
    <w:uiPriority w:val="34"/>
    <w:unhideWhenUsed/>
    <w:qFormat/>
    <w:pPr>
      <w:ind w:firstLineChars="200" w:firstLine="420"/>
    </w:pPr>
  </w:style>
  <w:style w:type="character" w:customStyle="1" w:styleId="a6">
    <w:name w:val="批注文字 字符"/>
    <w:basedOn w:val="a1"/>
    <w:link w:val="a5"/>
    <w:uiPriority w:val="99"/>
    <w:semiHidden/>
    <w:qFormat/>
    <w:rPr>
      <w:rFonts w:ascii="Times New Roman" w:eastAsia="Adobe 仿宋 Std R" w:hAnsi="Times New Roman" w:cs="Times New Roman"/>
      <w:kern w:val="2"/>
      <w:sz w:val="32"/>
      <w:szCs w:val="24"/>
    </w:rPr>
  </w:style>
  <w:style w:type="character" w:customStyle="1" w:styleId="ad">
    <w:name w:val="批注主题 字符"/>
    <w:basedOn w:val="a6"/>
    <w:link w:val="ac"/>
    <w:uiPriority w:val="99"/>
    <w:semiHidden/>
    <w:qFormat/>
    <w:rPr>
      <w:rFonts w:ascii="Times New Roman" w:eastAsia="Adobe 仿宋 Std R" w:hAnsi="Times New Roman" w:cs="Times New Roman"/>
      <w:b/>
      <w:bCs/>
      <w:kern w:val="2"/>
      <w:sz w:val="32"/>
      <w:szCs w:val="24"/>
    </w:rPr>
  </w:style>
  <w:style w:type="character" w:customStyle="1" w:styleId="aa">
    <w:name w:val="页脚 字符"/>
    <w:basedOn w:val="a1"/>
    <w:link w:val="a9"/>
    <w:uiPriority w:val="99"/>
    <w:qFormat/>
    <w:rPr>
      <w:rFonts w:ascii="Times New Roman" w:eastAsia="Adobe 仿宋 Std R" w:hAnsi="Times New Roman" w:cs="Times New Roman"/>
      <w:kern w:val="2"/>
      <w:sz w:val="18"/>
      <w:szCs w:val="24"/>
    </w:rPr>
  </w:style>
  <w:style w:type="character" w:customStyle="1" w:styleId="10">
    <w:name w:val="标题 1 字符"/>
    <w:basedOn w:val="a1"/>
    <w:link w:val="1"/>
    <w:uiPriority w:val="9"/>
    <w:qFormat/>
    <w:rPr>
      <w:rFonts w:ascii="Calibri" w:eastAsia="黑体" w:hAnsi="Calibri" w:cs="Times New Roman"/>
      <w:kern w:val="2"/>
      <w:sz w:val="32"/>
      <w:szCs w:val="22"/>
    </w:rPr>
  </w:style>
  <w:style w:type="character" w:customStyle="1" w:styleId="af2">
    <w:name w:val="列出段落 字符"/>
    <w:link w:val="af1"/>
    <w:uiPriority w:val="34"/>
    <w:qFormat/>
    <w:rPr>
      <w:rFonts w:ascii="Times New Roman" w:eastAsia="Adobe 仿宋 Std R" w:hAnsi="Times New Roman" w:cs="Times New Roman"/>
      <w:kern w:val="2"/>
      <w:sz w:val="32"/>
      <w:szCs w:val="24"/>
    </w:rPr>
  </w:style>
  <w:style w:type="paragraph" w:customStyle="1" w:styleId="Style19">
    <w:name w:val="_Style 19"/>
    <w:basedOn w:val="a"/>
    <w:next w:val="af1"/>
    <w:uiPriority w:val="34"/>
    <w:qFormat/>
    <w:pPr>
      <w:ind w:firstLineChars="200" w:firstLine="420"/>
    </w:pPr>
    <w:rPr>
      <w:rFonts w:eastAsia="宋体"/>
      <w:sz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3">
    <w:name w:val="正文 A"/>
    <w:qFormat/>
    <w:pPr>
      <w:spacing w:after="160" w:line="259" w:lineRule="auto"/>
    </w:pPr>
    <w:rPr>
      <w:rFonts w:ascii="等线" w:eastAsia="等线" w:hAnsi="等线" w:cs="等线"/>
      <w:color w:val="000000"/>
      <w:sz w:val="22"/>
      <w:szCs w:val="22"/>
    </w:rPr>
  </w:style>
  <w:style w:type="character" w:customStyle="1" w:styleId="f101">
    <w:name w:val="f101"/>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1648</Words>
  <Characters>9396</Characters>
  <Application>Microsoft Office Word</Application>
  <DocSecurity>0</DocSecurity>
  <Lines>78</Lines>
  <Paragraphs>22</Paragraphs>
  <ScaleCrop>false</ScaleCrop>
  <Company>Microsoft</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董利华</dc:creator>
  <cp:lastModifiedBy>张诺</cp:lastModifiedBy>
  <cp:revision>219</cp:revision>
  <cp:lastPrinted>2024-09-24T01:02:00Z</cp:lastPrinted>
  <dcterms:created xsi:type="dcterms:W3CDTF">2022-04-01T05:16:00Z</dcterms:created>
  <dcterms:modified xsi:type="dcterms:W3CDTF">2025-09-01T07:59:00Z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F25EE98A686C43D591BC32F37F098FD3</vt:lpwstr>
  </property>
  <property fmtid="{D5CDD505-2E9C-101B-9397-08002B2CF9AE}" pid="4" name="KSOTemplateDocerSaveRecord">
    <vt:lpwstr>eyJoZGlkIjoiZDMzNTllZDU5MjEyOTNiM2I5ZjU1MWVjOTgwNDdmYzUiLCJ1c2VySWQiOiI0MDY1MjEwNzgifQ==</vt:lpwstr>
  </property>
</Properties>
</file>