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附件4</w:t>
      </w:r>
    </w:p>
    <w:p>
      <w:pPr>
        <w:spacing w:line="520" w:lineRule="exact"/>
        <w:jc w:val="left"/>
        <w:rPr>
          <w:rFonts w:hint="default" w:ascii="黑体" w:hAnsi="黑体" w:eastAsia="黑体" w:cs="黑体"/>
          <w:kern w:val="0"/>
          <w:sz w:val="32"/>
          <w:szCs w:val="32"/>
          <w:lang w:val="en-US" w:eastAsia="zh-CN"/>
        </w:rPr>
      </w:pPr>
    </w:p>
    <w:p>
      <w:pPr>
        <w:spacing w:line="520" w:lineRule="exact"/>
        <w:jc w:val="center"/>
        <w:rPr>
          <w:rFonts w:eastAsia="方正小标宋简体"/>
          <w:kern w:val="0"/>
          <w:sz w:val="44"/>
          <w:szCs w:val="44"/>
        </w:rPr>
      </w:pPr>
      <w:r>
        <w:rPr>
          <w:rFonts w:eastAsia="方正小标宋简体"/>
          <w:kern w:val="0"/>
          <w:sz w:val="44"/>
          <w:szCs w:val="44"/>
        </w:rPr>
        <w:t>持续正压通气用面罩、口罩、鼻罩注册</w:t>
      </w:r>
    </w:p>
    <w:p>
      <w:pPr>
        <w:spacing w:line="520" w:lineRule="exact"/>
        <w:jc w:val="center"/>
        <w:rPr>
          <w:rFonts w:eastAsia="方正小标宋简体"/>
          <w:kern w:val="0"/>
          <w:sz w:val="44"/>
          <w:szCs w:val="44"/>
        </w:rPr>
      </w:pPr>
      <w:r>
        <w:rPr>
          <w:rFonts w:eastAsia="方正小标宋简体"/>
          <w:kern w:val="0"/>
          <w:sz w:val="44"/>
          <w:szCs w:val="44"/>
        </w:rPr>
        <w:t>审查指导原则</w:t>
      </w:r>
    </w:p>
    <w:p>
      <w:pPr>
        <w:spacing w:line="520" w:lineRule="exact"/>
        <w:ind w:firstLine="640" w:firstLineChars="200"/>
        <w:rPr>
          <w:rFonts w:eastAsia="仿宋_GB2312"/>
          <w:color w:val="000000"/>
          <w:szCs w:val="32"/>
        </w:rPr>
      </w:pPr>
    </w:p>
    <w:p>
      <w:pPr>
        <w:spacing w:line="520" w:lineRule="exact"/>
        <w:ind w:firstLine="640" w:firstLineChars="200"/>
        <w:rPr>
          <w:rFonts w:eastAsia="仿宋_GB2312"/>
          <w:kern w:val="0"/>
          <w:szCs w:val="32"/>
        </w:rPr>
      </w:pPr>
      <w:r>
        <w:rPr>
          <w:rFonts w:eastAsia="仿宋_GB2312"/>
          <w:color w:val="000000"/>
          <w:szCs w:val="32"/>
        </w:rPr>
        <w:t>本指导原则旨在指导注册申请人对持续正压通气用面罩、口罩、鼻罩注册申报资料的准备及撰写，同时也为技术审评部门提供参考</w:t>
      </w:r>
      <w:r>
        <w:rPr>
          <w:rFonts w:eastAsia="仿宋_GB2312"/>
          <w:kern w:val="0"/>
          <w:szCs w:val="32"/>
        </w:rPr>
        <w:t>。</w:t>
      </w:r>
    </w:p>
    <w:p>
      <w:pPr>
        <w:spacing w:line="520" w:lineRule="exact"/>
        <w:ind w:firstLine="640" w:firstLineChars="200"/>
        <w:rPr>
          <w:rFonts w:eastAsia="仿宋_GB2312"/>
          <w:color w:val="000000"/>
          <w:szCs w:val="32"/>
        </w:rPr>
      </w:pPr>
      <w:r>
        <w:rPr>
          <w:rFonts w:eastAsia="仿宋_GB2312"/>
          <w:color w:val="000000"/>
          <w:szCs w:val="32"/>
        </w:rPr>
        <w:t>本指导原则是对持续正压通气用面罩、口罩、鼻罩的一般要求，注册申请人应依据产品的具体特性确定其中内容是否适用。若不适用，需具体阐述理由及相应的科学依据，并依据产品的具体特性对注册申报资料的内容进行充实和细化。</w:t>
      </w:r>
    </w:p>
    <w:p>
      <w:pPr>
        <w:spacing w:line="520" w:lineRule="exact"/>
        <w:ind w:firstLine="640" w:firstLineChars="200"/>
        <w:rPr>
          <w:rFonts w:eastAsia="仿宋_GB2312"/>
          <w:color w:val="000000"/>
          <w:szCs w:val="32"/>
        </w:rPr>
      </w:pPr>
      <w:r>
        <w:rPr>
          <w:rFonts w:eastAsia="仿宋_GB2312"/>
          <w:color w:val="000000"/>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pPr>
        <w:spacing w:line="520" w:lineRule="exact"/>
        <w:ind w:firstLine="640" w:firstLineChars="200"/>
        <w:rPr>
          <w:rFonts w:eastAsia="仿宋_GB2312"/>
          <w:color w:val="FF0000"/>
          <w:szCs w:val="32"/>
        </w:rPr>
      </w:pPr>
      <w:r>
        <w:rPr>
          <w:rFonts w:eastAsia="仿宋_GB2312"/>
          <w:color w:val="000000"/>
          <w:szCs w:val="32"/>
        </w:rPr>
        <w:t>本指导原则是在现行法规和标准体系以及当前认知水平下制定，随着法规和标准的不断完善，以及科学技术的不断发展，相关内容也将适时进行调整</w:t>
      </w:r>
      <w:r>
        <w:rPr>
          <w:rFonts w:eastAsia="仿宋_GB2312"/>
          <w:kern w:val="0"/>
          <w:szCs w:val="32"/>
        </w:rPr>
        <w:t>。</w:t>
      </w:r>
    </w:p>
    <w:p>
      <w:pPr>
        <w:spacing w:line="520" w:lineRule="exact"/>
        <w:ind w:firstLine="640" w:firstLineChars="200"/>
        <w:outlineLvl w:val="0"/>
        <w:rPr>
          <w:rFonts w:eastAsia="黑体"/>
          <w:color w:val="000000"/>
          <w:szCs w:val="32"/>
        </w:rPr>
      </w:pPr>
      <w:bookmarkStart w:id="0" w:name="_Toc249239093"/>
      <w:bookmarkStart w:id="1" w:name="_Toc248742177"/>
      <w:bookmarkStart w:id="2" w:name="_Toc248765073"/>
      <w:bookmarkStart w:id="3" w:name="_Toc249148754"/>
      <w:bookmarkStart w:id="4" w:name="_Toc249173840"/>
      <w:bookmarkStart w:id="5" w:name="_Toc249150351"/>
      <w:bookmarkStart w:id="6" w:name="_Toc249157943"/>
      <w:bookmarkStart w:id="7" w:name="_Toc249173577"/>
      <w:bookmarkStart w:id="8" w:name="_Toc247522868"/>
      <w:bookmarkStart w:id="9" w:name="_Toc433873342"/>
      <w:bookmarkStart w:id="10" w:name="_Toc249150280"/>
      <w:bookmarkStart w:id="11" w:name="_Toc249174071"/>
      <w:bookmarkStart w:id="12" w:name="_Toc248738678"/>
      <w:bookmarkStart w:id="13" w:name="_Toc249149178"/>
      <w:bookmarkStart w:id="14" w:name="_Toc247524264"/>
      <w:r>
        <w:rPr>
          <w:rFonts w:eastAsia="黑体"/>
          <w:color w:val="000000"/>
          <w:szCs w:val="32"/>
        </w:rPr>
        <w:t>一、适用范围</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520" w:lineRule="exact"/>
        <w:ind w:firstLine="640" w:firstLineChars="200"/>
        <w:rPr>
          <w:rFonts w:eastAsia="仿宋_GB2312"/>
          <w:strike/>
          <w:szCs w:val="32"/>
        </w:rPr>
      </w:pPr>
      <w:r>
        <w:rPr>
          <w:rFonts w:eastAsia="仿宋_GB2312"/>
          <w:szCs w:val="32"/>
        </w:rPr>
        <w:t>本指导原则适用于</w:t>
      </w:r>
      <w:r>
        <w:rPr>
          <w:rFonts w:eastAsia="楷体_GB2312"/>
          <w:color w:val="000000"/>
          <w:szCs w:val="32"/>
        </w:rPr>
        <w:t>YY 0671.2</w:t>
      </w:r>
      <w:r>
        <w:rPr>
          <w:rFonts w:eastAsia="仿宋_GB2312"/>
          <w:szCs w:val="32"/>
        </w:rPr>
        <w:t>《睡眠呼吸暂停治疗 第2部分：面罩和应用附件》标准中的面罩。依据</w:t>
      </w:r>
      <w:bookmarkStart w:id="15" w:name="OLE_LINK7"/>
      <w:r>
        <w:rPr>
          <w:rFonts w:eastAsia="仿宋_GB2312"/>
          <w:szCs w:val="32"/>
        </w:rPr>
        <w:t>《国家药监局关于发布免于临床评价医疗器械目录的通告》、</w:t>
      </w:r>
      <w:bookmarkEnd w:id="15"/>
      <w:r>
        <w:rPr>
          <w:rFonts w:eastAsia="仿宋_GB2312"/>
          <w:szCs w:val="32"/>
        </w:rPr>
        <w:t>《医疗器械分类目录》及《关于泡沫敷料等产品分类界定的通知》，管理类别为Ⅱ类，分类编码为</w:t>
      </w:r>
      <w:r>
        <w:rPr>
          <w:rFonts w:eastAsia="仿宋_GB2312"/>
          <w:bCs/>
          <w:szCs w:val="32"/>
        </w:rPr>
        <w:t>08-06-11</w:t>
      </w:r>
      <w:r>
        <w:rPr>
          <w:rFonts w:eastAsia="仿宋_GB2312"/>
          <w:szCs w:val="32"/>
        </w:rPr>
        <w:t>。</w:t>
      </w:r>
    </w:p>
    <w:p>
      <w:pPr>
        <w:spacing w:line="520" w:lineRule="exact"/>
        <w:ind w:firstLine="640" w:firstLineChars="200"/>
        <w:outlineLvl w:val="0"/>
        <w:rPr>
          <w:rFonts w:eastAsia="黑体"/>
          <w:bCs/>
          <w:color w:val="000000"/>
          <w:szCs w:val="32"/>
        </w:rPr>
      </w:pPr>
      <w:bookmarkStart w:id="16" w:name="_Toc434250167"/>
      <w:bookmarkStart w:id="17" w:name="_Toc437263339"/>
      <w:bookmarkStart w:id="18" w:name="_Toc434250577"/>
      <w:r>
        <w:rPr>
          <w:rFonts w:eastAsia="黑体"/>
          <w:bCs/>
          <w:color w:val="000000"/>
          <w:szCs w:val="32"/>
        </w:rPr>
        <w:t>二、</w:t>
      </w:r>
      <w:bookmarkEnd w:id="16"/>
      <w:bookmarkEnd w:id="17"/>
      <w:bookmarkEnd w:id="18"/>
      <w:r>
        <w:rPr>
          <w:rFonts w:eastAsia="黑体"/>
          <w:color w:val="000000"/>
          <w:szCs w:val="32"/>
        </w:rPr>
        <w:t>注册审查要点</w:t>
      </w:r>
    </w:p>
    <w:p>
      <w:pPr>
        <w:spacing w:line="520" w:lineRule="exact"/>
        <w:ind w:firstLine="640" w:firstLineChars="200"/>
        <w:outlineLvl w:val="1"/>
        <w:rPr>
          <w:rFonts w:eastAsia="楷体_GB2312"/>
          <w:color w:val="000000"/>
          <w:szCs w:val="32"/>
        </w:rPr>
      </w:pPr>
      <w:bookmarkStart w:id="19" w:name="_Toc433873345"/>
      <w:r>
        <w:rPr>
          <w:rFonts w:eastAsia="楷体_GB2312"/>
          <w:color w:val="000000"/>
          <w:szCs w:val="32"/>
        </w:rPr>
        <w:t>（一）监管信息</w:t>
      </w:r>
    </w:p>
    <w:p>
      <w:pPr>
        <w:spacing w:line="520" w:lineRule="exact"/>
        <w:ind w:firstLine="640" w:firstLineChars="200"/>
        <w:rPr>
          <w:rFonts w:eastAsia="楷体_GB2312"/>
          <w:szCs w:val="32"/>
        </w:rPr>
      </w:pPr>
      <w:r>
        <w:rPr>
          <w:rFonts w:eastAsia="楷体_GB2312"/>
          <w:szCs w:val="32"/>
        </w:rPr>
        <w:t>1.</w:t>
      </w:r>
      <w:r>
        <w:rPr>
          <w:rFonts w:eastAsia="仿宋_GB2312"/>
          <w:szCs w:val="32"/>
        </w:rPr>
        <w:t>产品名称</w:t>
      </w:r>
    </w:p>
    <w:p>
      <w:pPr>
        <w:spacing w:line="520" w:lineRule="exact"/>
        <w:ind w:firstLine="624" w:firstLineChars="200"/>
        <w:rPr>
          <w:rFonts w:eastAsia="仿宋_GB2312"/>
          <w:szCs w:val="32"/>
        </w:rPr>
      </w:pPr>
      <w:r>
        <w:rPr>
          <w:rFonts w:eastAsia="仿宋_GB2312"/>
          <w:spacing w:val="-4"/>
          <w:szCs w:val="32"/>
        </w:rPr>
        <w:t>产品名称按作用原理和适用范围应命名为“持续正压通气用面罩、口罩、鼻罩”</w:t>
      </w:r>
      <w:r>
        <w:rPr>
          <w:rFonts w:eastAsia="仿宋_GB2312"/>
          <w:szCs w:val="32"/>
        </w:rPr>
        <w:t>。</w:t>
      </w:r>
    </w:p>
    <w:p>
      <w:pPr>
        <w:spacing w:line="520" w:lineRule="exact"/>
        <w:ind w:firstLine="640" w:firstLineChars="200"/>
        <w:outlineLvl w:val="1"/>
        <w:rPr>
          <w:rFonts w:eastAsia="楷体_GB2312"/>
          <w:color w:val="000000"/>
          <w:szCs w:val="32"/>
        </w:rPr>
      </w:pPr>
      <w:r>
        <w:rPr>
          <w:rFonts w:eastAsia="楷体_GB2312"/>
          <w:color w:val="000000"/>
          <w:szCs w:val="32"/>
        </w:rPr>
        <w:t>2.</w:t>
      </w:r>
      <w:r>
        <w:rPr>
          <w:rFonts w:eastAsia="仿宋_GB2312"/>
          <w:szCs w:val="32"/>
        </w:rPr>
        <w:t>注册单元划分</w:t>
      </w:r>
    </w:p>
    <w:p>
      <w:pPr>
        <w:pStyle w:val="5"/>
        <w:spacing w:line="520" w:lineRule="exact"/>
        <w:ind w:firstLine="640" w:firstLineChars="200"/>
        <w:jc w:val="both"/>
        <w:rPr>
          <w:rFonts w:eastAsia="仿宋_GB2312"/>
          <w:color w:val="231F20"/>
          <w:szCs w:val="32"/>
        </w:rPr>
      </w:pPr>
      <w:r>
        <w:rPr>
          <w:rFonts w:eastAsia="仿宋_GB2312"/>
          <w:color w:val="231F20"/>
          <w:szCs w:val="32"/>
        </w:rPr>
        <w:t>根据《医疗器械注册与备案管理办法》第一百一十一条，</w:t>
      </w:r>
      <w:r>
        <w:rPr>
          <w:rFonts w:eastAsia="仿宋_GB2312"/>
          <w:szCs w:val="32"/>
        </w:rPr>
        <w:t>同时需</w:t>
      </w:r>
      <w:r>
        <w:rPr>
          <w:rFonts w:eastAsia="仿宋_GB2312"/>
          <w:color w:val="231F20"/>
          <w:szCs w:val="32"/>
        </w:rPr>
        <w:t>参考《医疗器械注册单元划分指导原则》的要求，</w:t>
      </w:r>
      <w:r>
        <w:rPr>
          <w:rFonts w:eastAsia="仿宋_GB2312"/>
          <w:szCs w:val="32"/>
        </w:rPr>
        <w:t>原则上以产品的技术原理、结构组成、性能指标和适用范围为划分依据。</w:t>
      </w:r>
    </w:p>
    <w:p>
      <w:pPr>
        <w:spacing w:line="520" w:lineRule="exact"/>
        <w:ind w:firstLine="640" w:firstLineChars="200"/>
        <w:outlineLvl w:val="1"/>
        <w:rPr>
          <w:rFonts w:eastAsia="仿宋_GB2312"/>
          <w:color w:val="231F20"/>
          <w:szCs w:val="32"/>
        </w:rPr>
      </w:pPr>
      <w:r>
        <w:rPr>
          <w:rFonts w:eastAsia="仿宋_GB2312"/>
          <w:szCs w:val="32"/>
        </w:rPr>
        <w:t>根据以上原则，鼻罩、口罩、口鼻罩应划分为不同的注册单元</w:t>
      </w:r>
      <w:r>
        <w:rPr>
          <w:rFonts w:eastAsia="仿宋_GB2312"/>
          <w:color w:val="231F20"/>
          <w:szCs w:val="32"/>
        </w:rPr>
        <w:t>。</w:t>
      </w:r>
    </w:p>
    <w:p>
      <w:pPr>
        <w:spacing w:line="520" w:lineRule="exact"/>
        <w:ind w:firstLine="624" w:firstLineChars="200"/>
        <w:rPr>
          <w:rFonts w:eastAsia="楷体_GB2312"/>
          <w:bCs/>
          <w:spacing w:val="-4"/>
          <w:szCs w:val="32"/>
        </w:rPr>
      </w:pPr>
      <w:r>
        <w:rPr>
          <w:rFonts w:eastAsia="楷体_GB2312"/>
          <w:bCs/>
          <w:spacing w:val="-4"/>
          <w:szCs w:val="32"/>
        </w:rPr>
        <w:t>3.</w:t>
      </w:r>
      <w:r>
        <w:rPr>
          <w:rFonts w:eastAsia="仿宋_GB2312"/>
          <w:szCs w:val="32"/>
        </w:rPr>
        <w:t>结构组成</w:t>
      </w:r>
    </w:p>
    <w:p>
      <w:pPr>
        <w:spacing w:line="520" w:lineRule="exact"/>
        <w:ind w:firstLine="547" w:firstLineChars="171"/>
        <w:rPr>
          <w:rFonts w:eastAsia="仿宋_GB2312"/>
          <w:szCs w:val="32"/>
        </w:rPr>
      </w:pPr>
      <w:r>
        <w:rPr>
          <w:rFonts w:eastAsia="仿宋_GB2312"/>
          <w:szCs w:val="32"/>
        </w:rPr>
        <w:t>产品通常由鼻罩、口罩或口鼻罩主体，固定头带、气路接口、排气口、防窒息阀等组成；直接与患者面部接触，经鼻腔和/或口腔通气的界面连接装置。</w:t>
      </w:r>
    </w:p>
    <w:p>
      <w:pPr>
        <w:ind w:firstLine="547" w:firstLineChars="171"/>
        <w:rPr>
          <w:rFonts w:eastAsia="仿宋_GB2312"/>
          <w:color w:val="FF0000"/>
          <w:szCs w:val="32"/>
        </w:rPr>
      </w:pPr>
      <w:r>
        <w:rPr>
          <w:rFonts w:eastAsia="仿宋_GB2312"/>
          <w:color w:val="FF0000"/>
          <w:szCs w:val="32"/>
        </w:rPr>
        <w:drawing>
          <wp:inline distT="0" distB="0" distL="0" distR="0">
            <wp:extent cx="1866900" cy="2419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66900" cy="2419350"/>
                    </a:xfrm>
                    <a:prstGeom prst="rect">
                      <a:avLst/>
                    </a:prstGeom>
                    <a:noFill/>
                    <a:ln>
                      <a:noFill/>
                    </a:ln>
                  </pic:spPr>
                </pic:pic>
              </a:graphicData>
            </a:graphic>
          </wp:inline>
        </w:drawing>
      </w:r>
      <w:r>
        <w:rPr>
          <w:rFonts w:eastAsia="仿宋_GB2312"/>
          <w:color w:val="FF0000"/>
          <w:szCs w:val="32"/>
        </w:rPr>
        <w:t xml:space="preserve">       </w:t>
      </w:r>
      <w:r>
        <w:rPr>
          <w:rFonts w:eastAsia="仿宋_GB2312"/>
          <w:color w:val="FF0000"/>
          <w:szCs w:val="32"/>
        </w:rPr>
        <w:drawing>
          <wp:inline distT="0" distB="0" distL="0" distR="0">
            <wp:extent cx="2352675"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2675" cy="2228850"/>
                    </a:xfrm>
                    <a:prstGeom prst="rect">
                      <a:avLst/>
                    </a:prstGeom>
                    <a:noFill/>
                    <a:ln>
                      <a:noFill/>
                    </a:ln>
                  </pic:spPr>
                </pic:pic>
              </a:graphicData>
            </a:graphic>
          </wp:inline>
        </w:drawing>
      </w:r>
    </w:p>
    <w:p>
      <w:pPr>
        <w:ind w:firstLine="478" w:firstLineChars="171"/>
        <w:jc w:val="center"/>
        <w:rPr>
          <w:rFonts w:eastAsia="黑体"/>
          <w:sz w:val="28"/>
          <w:szCs w:val="28"/>
        </w:rPr>
      </w:pPr>
      <w:r>
        <w:rPr>
          <w:rFonts w:eastAsia="黑体"/>
          <w:sz w:val="28"/>
          <w:szCs w:val="28"/>
        </w:rPr>
        <w:t>图1 鼻罩</w:t>
      </w:r>
    </w:p>
    <w:p>
      <w:pPr>
        <w:ind w:firstLine="547" w:firstLineChars="171"/>
        <w:jc w:val="center"/>
        <w:rPr>
          <w:rFonts w:eastAsia="仿宋_GB2312"/>
          <w:szCs w:val="32"/>
        </w:rPr>
      </w:pPr>
    </w:p>
    <w:p>
      <w:pPr>
        <w:ind w:firstLine="547" w:firstLineChars="171"/>
        <w:rPr>
          <w:rFonts w:eastAsia="仿宋_GB2312"/>
          <w:szCs w:val="32"/>
        </w:rPr>
      </w:pPr>
      <w:r>
        <w:rPr>
          <w:rFonts w:eastAsia="仿宋_GB2312"/>
          <w:szCs w:val="32"/>
        </w:rPr>
        <w:t xml:space="preserve">  </w:t>
      </w:r>
      <w:r>
        <w:rPr>
          <w:rFonts w:eastAsia="仿宋_GB2312"/>
          <w:szCs w:val="32"/>
        </w:rPr>
        <w:drawing>
          <wp:inline distT="0" distB="0" distL="0" distR="0">
            <wp:extent cx="2000250" cy="321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00250" cy="3219450"/>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866900" cy="318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66900" cy="3181350"/>
                    </a:xfrm>
                    <a:prstGeom prst="rect">
                      <a:avLst/>
                    </a:prstGeom>
                    <a:noFill/>
                    <a:ln>
                      <a:noFill/>
                    </a:ln>
                  </pic:spPr>
                </pic:pic>
              </a:graphicData>
            </a:graphic>
          </wp:inline>
        </w:drawing>
      </w:r>
    </w:p>
    <w:p>
      <w:pPr>
        <w:ind w:firstLine="478" w:firstLineChars="171"/>
        <w:jc w:val="center"/>
        <w:rPr>
          <w:rFonts w:eastAsia="黑体"/>
          <w:sz w:val="28"/>
          <w:szCs w:val="28"/>
        </w:rPr>
      </w:pPr>
      <w:r>
        <w:rPr>
          <w:rFonts w:eastAsia="黑体"/>
          <w:sz w:val="28"/>
          <w:szCs w:val="28"/>
        </w:rPr>
        <w:t>图2  口罩</w:t>
      </w:r>
    </w:p>
    <w:p>
      <w:pPr>
        <w:ind w:firstLine="547" w:firstLineChars="171"/>
        <w:jc w:val="center"/>
        <w:rPr>
          <w:rFonts w:eastAsia="仿宋_GB2312"/>
          <w:szCs w:val="32"/>
        </w:rPr>
      </w:pPr>
    </w:p>
    <w:p>
      <w:pPr>
        <w:ind w:firstLine="547" w:firstLineChars="171"/>
        <w:jc w:val="left"/>
        <w:rPr>
          <w:rFonts w:eastAsia="仿宋_GB2312"/>
          <w:szCs w:val="32"/>
        </w:rPr>
      </w:pPr>
    </w:p>
    <w:p>
      <w:pPr>
        <w:ind w:firstLine="547" w:firstLineChars="171"/>
        <w:jc w:val="center"/>
        <w:rPr>
          <w:rFonts w:eastAsia="仿宋_GB2312"/>
          <w:szCs w:val="32"/>
        </w:rPr>
      </w:pPr>
      <w:r>
        <w:rPr>
          <w:szCs w:val="32"/>
        </w:rPr>
        <w:drawing>
          <wp:inline distT="0" distB="0" distL="0" distR="0">
            <wp:extent cx="2552700" cy="2762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52700" cy="2762250"/>
                    </a:xfrm>
                    <a:prstGeom prst="rect">
                      <a:avLst/>
                    </a:prstGeom>
                    <a:noFill/>
                    <a:ln>
                      <a:noFill/>
                    </a:ln>
                  </pic:spPr>
                </pic:pic>
              </a:graphicData>
            </a:graphic>
          </wp:inline>
        </w:drawing>
      </w:r>
    </w:p>
    <w:p>
      <w:pPr>
        <w:ind w:firstLine="547" w:firstLineChars="171"/>
        <w:jc w:val="center"/>
        <w:rPr>
          <w:szCs w:val="32"/>
        </w:rPr>
      </w:pPr>
    </w:p>
    <w:p>
      <w:pPr>
        <w:ind w:firstLine="547" w:firstLineChars="171"/>
        <w:jc w:val="left"/>
        <w:rPr>
          <w:rFonts w:eastAsia="仿宋_GB2312"/>
          <w:szCs w:val="32"/>
        </w:rPr>
      </w:pPr>
      <w:r>
        <w:rPr>
          <w:rFonts w:eastAsia="仿宋_GB2312"/>
          <w:szCs w:val="32"/>
        </w:rPr>
        <w:drawing>
          <wp:inline distT="0" distB="0" distL="0" distR="0">
            <wp:extent cx="185737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57375" cy="2219325"/>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943100" cy="2276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2276475"/>
                    </a:xfrm>
                    <a:prstGeom prst="rect">
                      <a:avLst/>
                    </a:prstGeom>
                    <a:noFill/>
                    <a:ln>
                      <a:noFill/>
                    </a:ln>
                  </pic:spPr>
                </pic:pic>
              </a:graphicData>
            </a:graphic>
          </wp:inline>
        </w:drawing>
      </w:r>
    </w:p>
    <w:p>
      <w:pPr>
        <w:ind w:firstLine="478" w:firstLineChars="171"/>
        <w:jc w:val="center"/>
        <w:rPr>
          <w:rFonts w:eastAsia="黑体"/>
          <w:sz w:val="28"/>
          <w:szCs w:val="28"/>
        </w:rPr>
      </w:pPr>
      <w:r>
        <w:rPr>
          <w:rFonts w:eastAsia="黑体"/>
          <w:sz w:val="28"/>
          <w:szCs w:val="28"/>
        </w:rPr>
        <w:t>图3  口鼻罩</w:t>
      </w:r>
    </w:p>
    <w:p>
      <w:pPr>
        <w:ind w:firstLine="547" w:firstLineChars="171"/>
        <w:jc w:val="center"/>
        <w:rPr>
          <w:rFonts w:eastAsia="仿宋_GB2312"/>
          <w:szCs w:val="32"/>
        </w:rPr>
      </w:pPr>
    </w:p>
    <w:p>
      <w:pPr>
        <w:spacing w:line="520" w:lineRule="exact"/>
        <w:ind w:firstLine="640" w:firstLineChars="200"/>
        <w:outlineLvl w:val="1"/>
        <w:rPr>
          <w:rFonts w:eastAsia="楷体_GB2312"/>
          <w:color w:val="000000"/>
          <w:szCs w:val="32"/>
        </w:rPr>
      </w:pPr>
      <w:r>
        <w:rPr>
          <w:rFonts w:eastAsia="楷体_GB2312"/>
          <w:color w:val="000000"/>
          <w:szCs w:val="32"/>
        </w:rPr>
        <w:t>（二）安全和性能的基本原则</w:t>
      </w:r>
    </w:p>
    <w:p>
      <w:pPr>
        <w:spacing w:line="520" w:lineRule="exact"/>
        <w:ind w:firstLine="640" w:firstLineChars="200"/>
        <w:outlineLvl w:val="0"/>
        <w:rPr>
          <w:rFonts w:eastAsia="仿宋_GB2312"/>
          <w:sz w:val="28"/>
          <w:szCs w:val="28"/>
        </w:rPr>
      </w:pPr>
      <w:r>
        <w:t>申请人需要提供《医疗器械安全和性能基本原则清单》，并说明产品为了符合适用的各项要求所采用的方法，以及证明其符合性的文件。对于不适用的各项要求，应说明理由。</w:t>
      </w:r>
    </w:p>
    <w:p>
      <w:pPr>
        <w:spacing w:line="520" w:lineRule="exact"/>
        <w:ind w:firstLine="640" w:firstLineChars="200"/>
        <w:outlineLvl w:val="1"/>
        <w:rPr>
          <w:rFonts w:eastAsia="楷体_GB2312"/>
          <w:color w:val="000000"/>
          <w:szCs w:val="32"/>
        </w:rPr>
      </w:pPr>
      <w:r>
        <w:rPr>
          <w:rFonts w:eastAsia="楷体_GB2312"/>
          <w:color w:val="000000"/>
          <w:szCs w:val="32"/>
        </w:rPr>
        <w:t>（三）</w:t>
      </w:r>
      <w:bookmarkEnd w:id="19"/>
      <w:r>
        <w:rPr>
          <w:rFonts w:eastAsia="楷体_GB2312"/>
          <w:color w:val="000000"/>
          <w:szCs w:val="32"/>
        </w:rPr>
        <w:t>综述资料</w:t>
      </w:r>
    </w:p>
    <w:p>
      <w:pPr>
        <w:spacing w:line="520" w:lineRule="exact"/>
        <w:ind w:firstLine="640" w:firstLineChars="200"/>
        <w:rPr>
          <w:rFonts w:eastAsia="楷体_GB2312"/>
          <w:szCs w:val="32"/>
        </w:rPr>
      </w:pPr>
      <w:r>
        <w:rPr>
          <w:rFonts w:eastAsia="楷体_GB2312"/>
          <w:szCs w:val="32"/>
        </w:rPr>
        <w:t>1.</w:t>
      </w:r>
      <w:r>
        <w:rPr>
          <w:rFonts w:eastAsia="仿宋_GB2312"/>
          <w:szCs w:val="32"/>
        </w:rPr>
        <w:t>工作原理</w:t>
      </w:r>
    </w:p>
    <w:p>
      <w:pPr>
        <w:spacing w:line="520" w:lineRule="exact"/>
        <w:ind w:firstLine="640" w:firstLineChars="200"/>
        <w:rPr>
          <w:rFonts w:eastAsia="仿宋_GB2312"/>
          <w:szCs w:val="32"/>
        </w:rPr>
      </w:pPr>
      <w:r>
        <w:rPr>
          <w:rFonts w:eastAsia="仿宋_GB2312"/>
          <w:szCs w:val="32"/>
        </w:rPr>
        <w:t>持续正压通气用面罩、口罩、鼻罩通过呼吸管路连接正压通气呼吸机，罩体固定于使用者鼻部，口部或面部，使正压气流经鼻和/或口输入气道，以此作为使用者接受治疗压力的接口。</w:t>
      </w:r>
    </w:p>
    <w:p>
      <w:pPr>
        <w:spacing w:line="520" w:lineRule="exact"/>
        <w:ind w:firstLine="640" w:firstLineChars="200"/>
        <w:rPr>
          <w:rFonts w:eastAsia="楷体_GB2312"/>
          <w:szCs w:val="32"/>
        </w:rPr>
      </w:pPr>
      <w:r>
        <w:rPr>
          <w:rFonts w:eastAsia="楷体_GB2312"/>
          <w:szCs w:val="32"/>
        </w:rPr>
        <w:t>2.</w:t>
      </w:r>
      <w:r>
        <w:rPr>
          <w:rFonts w:eastAsia="仿宋_GB2312"/>
          <w:szCs w:val="32"/>
        </w:rPr>
        <w:t>作用机理（略）</w:t>
      </w:r>
    </w:p>
    <w:p>
      <w:pPr>
        <w:spacing w:line="520" w:lineRule="exact"/>
        <w:ind w:firstLine="640" w:firstLineChars="200"/>
        <w:rPr>
          <w:rFonts w:eastAsia="楷体_GB2312"/>
          <w:szCs w:val="32"/>
        </w:rPr>
      </w:pPr>
      <w:r>
        <w:rPr>
          <w:rFonts w:eastAsia="楷体_GB2312"/>
          <w:szCs w:val="32"/>
        </w:rPr>
        <w:t>3.</w:t>
      </w:r>
      <w:r>
        <w:rPr>
          <w:rFonts w:eastAsia="仿宋_GB2312"/>
          <w:szCs w:val="32"/>
        </w:rPr>
        <w:t>适用范围</w:t>
      </w:r>
    </w:p>
    <w:p>
      <w:pPr>
        <w:spacing w:line="520" w:lineRule="exact"/>
        <w:ind w:firstLine="640" w:firstLineChars="200"/>
        <w:rPr>
          <w:rFonts w:eastAsia="仿宋_GB2312"/>
          <w:szCs w:val="32"/>
        </w:rPr>
      </w:pPr>
      <w:r>
        <w:rPr>
          <w:rFonts w:eastAsia="仿宋_GB2312"/>
          <w:szCs w:val="32"/>
        </w:rPr>
        <w:t>用于慢性呼吸功能不全、改善通气和睡眠治疗等无创通气支持。</w:t>
      </w:r>
    </w:p>
    <w:p>
      <w:pPr>
        <w:spacing w:line="520" w:lineRule="exact"/>
        <w:ind w:firstLine="566" w:firstLineChars="177"/>
        <w:rPr>
          <w:rFonts w:eastAsia="仿宋_GB2312"/>
          <w:szCs w:val="32"/>
        </w:rPr>
      </w:pPr>
      <w:r>
        <w:rPr>
          <w:rFonts w:eastAsia="楷体_GB2312"/>
          <w:szCs w:val="32"/>
        </w:rPr>
        <w:t>3.1</w:t>
      </w:r>
      <w:r>
        <w:rPr>
          <w:rFonts w:eastAsia="仿宋_GB2312"/>
          <w:szCs w:val="32"/>
        </w:rPr>
        <w:t>使用类型</w:t>
      </w:r>
    </w:p>
    <w:p>
      <w:pPr>
        <w:spacing w:line="520" w:lineRule="exact"/>
        <w:ind w:firstLine="566" w:firstLineChars="177"/>
        <w:rPr>
          <w:rFonts w:eastAsia="仿宋_GB2312"/>
          <w:szCs w:val="32"/>
        </w:rPr>
      </w:pPr>
      <w:r>
        <w:rPr>
          <w:rFonts w:eastAsia="仿宋_GB2312"/>
          <w:szCs w:val="32"/>
        </w:rPr>
        <w:t>多患者重复使用、单一患者重复使用、一次性使用。</w:t>
      </w:r>
    </w:p>
    <w:p>
      <w:pPr>
        <w:tabs>
          <w:tab w:val="left" w:pos="8040"/>
        </w:tabs>
        <w:topLinePunct/>
        <w:spacing w:line="520" w:lineRule="exact"/>
        <w:ind w:firstLine="640" w:firstLineChars="200"/>
        <w:rPr>
          <w:rFonts w:eastAsia="仿宋_GB2312"/>
          <w:szCs w:val="32"/>
        </w:rPr>
      </w:pPr>
      <w:r>
        <w:rPr>
          <w:rFonts w:eastAsia="楷体_GB2312"/>
          <w:szCs w:val="32"/>
        </w:rPr>
        <w:t>3.2</w:t>
      </w:r>
      <w:r>
        <w:rPr>
          <w:rFonts w:eastAsia="仿宋_GB2312"/>
          <w:szCs w:val="32"/>
        </w:rPr>
        <w:t>适用人群</w:t>
      </w:r>
    </w:p>
    <w:p>
      <w:pPr>
        <w:tabs>
          <w:tab w:val="left" w:pos="8040"/>
        </w:tabs>
        <w:topLinePunct/>
        <w:spacing w:line="520" w:lineRule="exact"/>
        <w:ind w:firstLine="640" w:firstLineChars="200"/>
        <w:rPr>
          <w:rFonts w:eastAsia="仿宋_GB2312"/>
          <w:szCs w:val="32"/>
        </w:rPr>
      </w:pPr>
      <w:r>
        <w:rPr>
          <w:rFonts w:eastAsia="仿宋_GB2312"/>
          <w:szCs w:val="32"/>
        </w:rPr>
        <w:t>如成人、儿童、幼儿。本规范未考虑新生儿的相关要求。</w:t>
      </w:r>
    </w:p>
    <w:p>
      <w:pPr>
        <w:tabs>
          <w:tab w:val="left" w:pos="8040"/>
        </w:tabs>
        <w:topLinePunct/>
        <w:spacing w:line="520" w:lineRule="exact"/>
        <w:ind w:firstLine="640" w:firstLineChars="200"/>
        <w:rPr>
          <w:rFonts w:eastAsia="仿宋_GB2312"/>
          <w:szCs w:val="32"/>
        </w:rPr>
      </w:pPr>
      <w:r>
        <w:rPr>
          <w:rFonts w:eastAsia="楷体_GB2312"/>
          <w:szCs w:val="32"/>
        </w:rPr>
        <w:t>3.3</w:t>
      </w:r>
      <w:r>
        <w:rPr>
          <w:rFonts w:eastAsia="仿宋_GB2312"/>
          <w:szCs w:val="32"/>
        </w:rPr>
        <w:t>适应症</w:t>
      </w:r>
    </w:p>
    <w:p>
      <w:pPr>
        <w:tabs>
          <w:tab w:val="left" w:pos="8040"/>
        </w:tabs>
        <w:topLinePunct/>
        <w:spacing w:line="520" w:lineRule="exact"/>
        <w:ind w:firstLine="640" w:firstLineChars="200"/>
        <w:rPr>
          <w:rFonts w:eastAsia="仿宋_GB2312"/>
          <w:szCs w:val="32"/>
        </w:rPr>
      </w:pPr>
      <w:r>
        <w:rPr>
          <w:rFonts w:eastAsia="仿宋_GB2312"/>
          <w:szCs w:val="32"/>
        </w:rPr>
        <w:t>适用于鼾症、睡眠呼吸暂停低通气综合征、睡眠呼吸暂停合并慢阻肺（COPD）、各种系统疾病导致的轻中度慢性或急性呼吸衰竭患者的治疗。此类设备均不可用于生命支持。</w:t>
      </w:r>
    </w:p>
    <w:p>
      <w:pPr>
        <w:tabs>
          <w:tab w:val="left" w:pos="8040"/>
        </w:tabs>
        <w:topLinePunct/>
        <w:spacing w:line="520" w:lineRule="exact"/>
        <w:ind w:firstLine="640" w:firstLineChars="200"/>
        <w:rPr>
          <w:rFonts w:eastAsia="仿宋_GB2312"/>
          <w:szCs w:val="32"/>
        </w:rPr>
      </w:pPr>
      <w:r>
        <w:rPr>
          <w:rFonts w:eastAsia="仿宋_GB2312"/>
          <w:szCs w:val="32"/>
        </w:rPr>
        <w:t>注：不含防窒息阀和排气口的口罩、口鼻罩仅适用于具有主动呼气阀、安全活瓣系统、警报装置的双回路医用呼吸机，不能用于家用。</w:t>
      </w:r>
    </w:p>
    <w:p>
      <w:pPr>
        <w:tabs>
          <w:tab w:val="left" w:pos="8040"/>
        </w:tabs>
        <w:topLinePunct/>
        <w:spacing w:line="520" w:lineRule="exact"/>
        <w:ind w:firstLine="640" w:firstLineChars="200"/>
        <w:rPr>
          <w:rFonts w:eastAsia="楷体_GB2312"/>
          <w:szCs w:val="32"/>
        </w:rPr>
      </w:pPr>
      <w:r>
        <w:rPr>
          <w:rFonts w:eastAsia="楷体_GB2312"/>
          <w:szCs w:val="32"/>
        </w:rPr>
        <w:t>4.</w:t>
      </w:r>
      <w:r>
        <w:rPr>
          <w:rFonts w:eastAsia="仿宋_GB2312"/>
          <w:szCs w:val="32"/>
        </w:rPr>
        <w:t>禁忌证</w:t>
      </w:r>
    </w:p>
    <w:p>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意识障碍；呼吸微弱或停止、心跳停止；无力清洁气道或具有较高的误吸风险、严重的脏器功能不全；未经引流的气胸或纵膈气肿；严重腹胀、肠梗阻；上气道或颌面部损伤、术后、畸形致上呼吸道梗阻；不能配合NPPV（无创正压通气）或鼻（面）罩不适；近期食管、胃肠道手术或出血。</w:t>
      </w:r>
    </w:p>
    <w:p>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口罩和口鼻罩另有：贲门括约肌功能受损、大量逆流、咳嗽反射作用受损及食管裂孔氙；行动或反应迟缓。</w:t>
      </w:r>
    </w:p>
    <w:p>
      <w:pPr>
        <w:tabs>
          <w:tab w:val="left" w:pos="8040"/>
        </w:tabs>
        <w:topLinePunct/>
        <w:spacing w:line="520" w:lineRule="exact"/>
        <w:ind w:firstLine="640" w:firstLineChars="200"/>
        <w:rPr>
          <w:rFonts w:eastAsia="仿宋_GB2312"/>
          <w:color w:val="000000"/>
          <w:szCs w:val="32"/>
        </w:rPr>
      </w:pPr>
      <w:r>
        <w:rPr>
          <w:rFonts w:eastAsia="楷体_GB2312"/>
          <w:szCs w:val="32"/>
        </w:rPr>
        <w:t>5.</w:t>
      </w:r>
      <w:r>
        <w:rPr>
          <w:rFonts w:eastAsia="仿宋_GB2312"/>
          <w:color w:val="000000"/>
          <w:szCs w:val="32"/>
        </w:rPr>
        <w:t>警示信息</w:t>
      </w:r>
    </w:p>
    <w:p>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以下情况应慎用：幽闭恐惧症患者；胸部X线或CT检查发现肺大疱；血压明显降低（血压低于90/60 mmHg），或休克时；急性心肌梗死患者血流动力学指标不稳定者；脑脊液漏、颅脑外伤或颅内积气；急性中耳炎、鼻炎、鼻窦炎感染未控制时；青光眼；近期眼科手术或眼睛干涩。</w:t>
      </w:r>
    </w:p>
    <w:p>
      <w:pPr>
        <w:tabs>
          <w:tab w:val="left" w:pos="8040"/>
        </w:tabs>
        <w:topLinePunct/>
        <w:spacing w:line="520" w:lineRule="exact"/>
        <w:ind w:firstLine="640" w:firstLineChars="200"/>
        <w:rPr>
          <w:rFonts w:eastAsia="仿宋_GB2312"/>
          <w:szCs w:val="32"/>
        </w:rPr>
      </w:pPr>
      <w:r>
        <w:rPr>
          <w:rFonts w:eastAsia="楷体_GB2312"/>
          <w:szCs w:val="32"/>
        </w:rPr>
        <w:t>6.</w:t>
      </w:r>
      <w:r>
        <w:rPr>
          <w:rFonts w:eastAsia="仿宋_GB2312"/>
          <w:szCs w:val="32"/>
        </w:rPr>
        <w:t>预期使用环境</w:t>
      </w:r>
    </w:p>
    <w:p>
      <w:pPr>
        <w:tabs>
          <w:tab w:val="left" w:pos="8040"/>
        </w:tabs>
        <w:topLinePunct/>
        <w:spacing w:line="520" w:lineRule="exact"/>
        <w:ind w:firstLine="640" w:firstLineChars="200"/>
        <w:rPr>
          <w:rFonts w:eastAsia="仿宋_GB2312"/>
          <w:szCs w:val="32"/>
        </w:rPr>
      </w:pPr>
      <w:r>
        <w:rPr>
          <w:rFonts w:eastAsia="仿宋_GB2312"/>
          <w:szCs w:val="32"/>
        </w:rPr>
        <w:t>应明确使用场所，如医院、家庭等使用场所。</w:t>
      </w:r>
    </w:p>
    <w:p>
      <w:pPr>
        <w:spacing w:line="520" w:lineRule="exact"/>
        <w:ind w:firstLine="640" w:firstLineChars="200"/>
        <w:rPr>
          <w:rFonts w:eastAsia="仿宋_GB2312"/>
          <w:szCs w:val="32"/>
        </w:rPr>
      </w:pPr>
      <w:r>
        <w:rPr>
          <w:rFonts w:eastAsia="仿宋_GB2312"/>
          <w:szCs w:val="32"/>
        </w:rPr>
        <w:t>特殊环境应进一步说明，如旅行、高原或野外环境及车、船等交通工具上使用等。</w:t>
      </w:r>
    </w:p>
    <w:p>
      <w:pPr>
        <w:spacing w:line="520" w:lineRule="exact"/>
        <w:ind w:firstLine="640" w:firstLineChars="200"/>
        <w:rPr>
          <w:rFonts w:eastAsia="仿宋_GB2312"/>
          <w:szCs w:val="32"/>
        </w:rPr>
      </w:pPr>
      <w:r>
        <w:rPr>
          <w:rFonts w:eastAsia="楷体_GB2312"/>
          <w:szCs w:val="32"/>
        </w:rPr>
        <w:t>7.</w:t>
      </w:r>
      <w:r>
        <w:rPr>
          <w:rFonts w:eastAsia="仿宋_GB2312"/>
          <w:szCs w:val="32"/>
        </w:rPr>
        <w:t>可联合使用的其它医疗器械</w:t>
      </w:r>
    </w:p>
    <w:p>
      <w:pPr>
        <w:spacing w:line="520" w:lineRule="exact"/>
        <w:ind w:firstLine="640" w:firstLineChars="200"/>
        <w:rPr>
          <w:rFonts w:eastAsia="仿宋_GB2312"/>
          <w:sz w:val="30"/>
          <w:szCs w:val="30"/>
        </w:rPr>
      </w:pPr>
      <w:r>
        <w:rPr>
          <w:rFonts w:eastAsia="仿宋_GB2312"/>
          <w:szCs w:val="32"/>
        </w:rPr>
        <w:t>医用湿化器、雾化器、热湿交换器、过滤器、内窥镜、双水平正压设备、自调节设备等，或附加供氧口、排气口。</w:t>
      </w:r>
    </w:p>
    <w:p>
      <w:pPr>
        <w:spacing w:line="520" w:lineRule="exact"/>
        <w:ind w:firstLine="640" w:firstLineChars="200"/>
        <w:rPr>
          <w:rFonts w:eastAsia="仿宋_GB2312"/>
          <w:szCs w:val="32"/>
        </w:rPr>
      </w:pPr>
      <w:r>
        <w:rPr>
          <w:rFonts w:eastAsia="楷体_GB2312"/>
          <w:szCs w:val="32"/>
        </w:rPr>
        <w:t>8.</w:t>
      </w:r>
      <w:r>
        <w:rPr>
          <w:rFonts w:eastAsia="仿宋_GB2312"/>
          <w:szCs w:val="32"/>
        </w:rPr>
        <w:t>不良事件情况</w:t>
      </w:r>
    </w:p>
    <w:p>
      <w:pPr>
        <w:spacing w:line="520" w:lineRule="exact"/>
        <w:ind w:firstLine="640" w:firstLineChars="200"/>
        <w:rPr>
          <w:rFonts w:eastAsia="仿宋_GB2312"/>
          <w:sz w:val="30"/>
          <w:szCs w:val="30"/>
        </w:rPr>
      </w:pPr>
      <w:r>
        <w:rPr>
          <w:rFonts w:eastAsia="仿宋_GB2312"/>
          <w:szCs w:val="32"/>
        </w:rPr>
        <w:t>持续正压通气用面罩、口罩、鼻罩产品在临床中出现的问题主要有：面罩罩体与接头分离、罩体对面部的压力性溃疡、致患者牙齿肿痛等。</w:t>
      </w:r>
    </w:p>
    <w:p>
      <w:pPr>
        <w:spacing w:line="520" w:lineRule="exact"/>
        <w:ind w:firstLine="640" w:firstLineChars="200"/>
        <w:rPr>
          <w:rFonts w:eastAsia="楷体_GB2312"/>
          <w:szCs w:val="32"/>
        </w:rPr>
      </w:pPr>
      <w:r>
        <w:rPr>
          <w:rFonts w:eastAsia="楷体_GB2312"/>
          <w:szCs w:val="32"/>
        </w:rPr>
        <w:t>9.</w:t>
      </w:r>
      <w:r>
        <w:rPr>
          <w:rFonts w:eastAsia="仿宋_GB2312"/>
          <w:szCs w:val="32"/>
        </w:rPr>
        <w:t>包装说明</w:t>
      </w:r>
    </w:p>
    <w:p>
      <w:pPr>
        <w:spacing w:line="520" w:lineRule="exact"/>
        <w:ind w:firstLine="640" w:firstLineChars="200"/>
        <w:outlineLvl w:val="1"/>
        <w:rPr>
          <w:rFonts w:eastAsia="仿宋_GB2312"/>
          <w:bCs/>
          <w:spacing w:val="-4"/>
          <w:szCs w:val="32"/>
        </w:rPr>
      </w:pPr>
      <w:r>
        <w:rPr>
          <w:color w:val="000000" w:themeColor="text1"/>
          <w14:textFill>
            <w14:solidFill>
              <w14:schemeClr w14:val="tx1"/>
            </w14:solidFill>
          </w14:textFill>
        </w:rPr>
        <w:t>申报产品需要描述注册单元内所有产品组成的包装情况，说明包装清单和包装方式，提供包装图示</w:t>
      </w:r>
      <w:r>
        <w:rPr>
          <w:rFonts w:eastAsia="仿宋_GB2312"/>
          <w:bCs/>
          <w:spacing w:val="-4"/>
          <w:szCs w:val="32"/>
        </w:rPr>
        <w:t>。</w:t>
      </w:r>
    </w:p>
    <w:p>
      <w:pPr>
        <w:spacing w:line="520" w:lineRule="exact"/>
        <w:ind w:firstLine="640" w:firstLineChars="200"/>
        <w:rPr>
          <w:rFonts w:eastAsia="楷体_GB2312"/>
          <w:szCs w:val="32"/>
        </w:rPr>
      </w:pPr>
      <w:r>
        <w:rPr>
          <w:rFonts w:eastAsia="楷体_GB2312"/>
          <w:szCs w:val="32"/>
        </w:rPr>
        <w:t>（四）非临床资料</w:t>
      </w:r>
    </w:p>
    <w:p>
      <w:pPr>
        <w:spacing w:line="520" w:lineRule="exact"/>
        <w:ind w:firstLine="640" w:firstLineChars="200"/>
        <w:rPr>
          <w:rFonts w:eastAsia="楷体_GB2312"/>
          <w:szCs w:val="32"/>
        </w:rPr>
      </w:pPr>
      <w:bookmarkStart w:id="20" w:name="_Toc433873349"/>
      <w:r>
        <w:rPr>
          <w:rFonts w:eastAsia="楷体_GB2312"/>
          <w:szCs w:val="32"/>
        </w:rPr>
        <w:t>1.</w:t>
      </w:r>
      <w:r>
        <w:rPr>
          <w:rFonts w:eastAsia="仿宋_GB2312"/>
          <w:szCs w:val="32"/>
        </w:rPr>
        <w:t>产品风险分析</w:t>
      </w:r>
    </w:p>
    <w:p>
      <w:pPr>
        <w:spacing w:line="520" w:lineRule="exact"/>
        <w:ind w:firstLine="640" w:firstLineChars="200"/>
        <w:rPr>
          <w:rStyle w:val="29"/>
          <w:rFonts w:eastAsia="仿宋_GB2312"/>
          <w:sz w:val="32"/>
          <w:szCs w:val="32"/>
        </w:rPr>
      </w:pPr>
      <w:r>
        <w:rPr>
          <w:rFonts w:eastAsia="楷体_GB2312"/>
          <w:szCs w:val="32"/>
        </w:rPr>
        <w:t>1.1</w:t>
      </w:r>
      <w:r>
        <w:rPr>
          <w:rStyle w:val="29"/>
          <w:rFonts w:eastAsia="仿宋_GB2312"/>
          <w:sz w:val="32"/>
          <w:szCs w:val="32"/>
        </w:rPr>
        <w:t>风险分析方法</w:t>
      </w:r>
    </w:p>
    <w:p>
      <w:pPr>
        <w:spacing w:line="520" w:lineRule="exact"/>
        <w:ind w:firstLine="566" w:firstLineChars="177"/>
        <w:rPr>
          <w:rStyle w:val="29"/>
          <w:rFonts w:eastAsia="仿宋_GB2312"/>
          <w:sz w:val="32"/>
          <w:szCs w:val="32"/>
        </w:rPr>
      </w:pPr>
      <w:r>
        <w:rPr>
          <w:rStyle w:val="29"/>
          <w:rFonts w:eastAsia="仿宋_GB2312"/>
          <w:sz w:val="32"/>
          <w:szCs w:val="32"/>
        </w:rPr>
        <w:t>在对风险的判定及分析中，要考虑合理的可预见的情况，它们包括：正常使用条件下和非正常使用条件下。</w:t>
      </w:r>
    </w:p>
    <w:p>
      <w:pPr>
        <w:spacing w:line="520" w:lineRule="exact"/>
        <w:ind w:firstLine="566" w:firstLineChars="177"/>
        <w:rPr>
          <w:rStyle w:val="29"/>
          <w:rFonts w:eastAsia="仿宋_GB2312"/>
          <w:sz w:val="32"/>
          <w:szCs w:val="32"/>
        </w:rPr>
      </w:pPr>
      <w:r>
        <w:rPr>
          <w:rStyle w:val="29"/>
          <w:rFonts w:eastAsia="仿宋_GB2312"/>
          <w:sz w:val="32"/>
          <w:szCs w:val="32"/>
        </w:rPr>
        <w:t>风险判定及分析应包括：对于患者的危害、对于操作者的危害、对于环境的危害。</w:t>
      </w:r>
    </w:p>
    <w:p>
      <w:pPr>
        <w:spacing w:line="520" w:lineRule="exact"/>
        <w:ind w:firstLine="566" w:firstLineChars="177"/>
        <w:rPr>
          <w:rStyle w:val="29"/>
          <w:rFonts w:eastAsia="仿宋_GB2312"/>
          <w:sz w:val="32"/>
          <w:szCs w:val="32"/>
        </w:rPr>
      </w:pPr>
      <w:r>
        <w:rPr>
          <w:rStyle w:val="29"/>
          <w:rFonts w:eastAsia="仿宋_GB2312"/>
          <w:sz w:val="32"/>
          <w:szCs w:val="32"/>
        </w:rPr>
        <w:t>风险形成的初始原因应包括：人为因素（包括不合理的操作）、产品结构的危害、原材料危害、综合危害、环境条件。</w:t>
      </w:r>
    </w:p>
    <w:p>
      <w:pPr>
        <w:spacing w:line="520" w:lineRule="exact"/>
        <w:ind w:firstLine="566" w:firstLineChars="177"/>
        <w:rPr>
          <w:rStyle w:val="29"/>
          <w:rFonts w:eastAsia="仿宋_GB2312"/>
          <w:sz w:val="32"/>
          <w:szCs w:val="32"/>
        </w:rPr>
      </w:pPr>
      <w:r>
        <w:rPr>
          <w:rStyle w:val="29"/>
          <w:rFonts w:eastAsia="仿宋_GB2312"/>
          <w:sz w:val="32"/>
          <w:szCs w:val="32"/>
        </w:rPr>
        <w:t>风险判定及分析考虑的问题包括：面罩原材料生物学危害；产品质量是否会导致使用中出现不正常结果；操作信息，包括警示性语言、注意事项以及使用方法的准确性等。</w:t>
      </w:r>
    </w:p>
    <w:p>
      <w:pPr>
        <w:spacing w:line="520" w:lineRule="exact"/>
        <w:ind w:firstLine="566" w:firstLineChars="177"/>
        <w:rPr>
          <w:rStyle w:val="29"/>
          <w:rFonts w:eastAsia="仿宋_GB2312"/>
          <w:sz w:val="32"/>
          <w:szCs w:val="32"/>
        </w:rPr>
      </w:pPr>
      <w:r>
        <w:rPr>
          <w:rFonts w:eastAsia="楷体_GB2312"/>
          <w:szCs w:val="32"/>
        </w:rPr>
        <w:t>1.2</w:t>
      </w:r>
      <w:r>
        <w:rPr>
          <w:rStyle w:val="29"/>
          <w:rFonts w:eastAsia="仿宋_GB2312"/>
          <w:sz w:val="32"/>
          <w:szCs w:val="32"/>
        </w:rPr>
        <w:t>风险分析清单</w:t>
      </w:r>
    </w:p>
    <w:p>
      <w:pPr>
        <w:spacing w:line="520" w:lineRule="exact"/>
        <w:ind w:firstLine="566" w:firstLineChars="177"/>
        <w:rPr>
          <w:rFonts w:eastAsia="仿宋_GB2312"/>
          <w:szCs w:val="32"/>
        </w:rPr>
      </w:pPr>
      <w:r>
        <w:rPr>
          <w:rStyle w:val="29"/>
          <w:rFonts w:eastAsia="仿宋_GB2312"/>
          <w:sz w:val="32"/>
          <w:szCs w:val="32"/>
        </w:rPr>
        <w:t>面罩</w:t>
      </w:r>
      <w:r>
        <w:rPr>
          <w:rFonts w:eastAsia="仿宋_GB2312"/>
          <w:szCs w:val="32"/>
        </w:rPr>
        <w:t>产品的风险管理报告应符合YY/T 0316《医疗器械风险管理对医疗器械的应用》的有关要求，审查要点包括：</w:t>
      </w:r>
    </w:p>
    <w:p>
      <w:pPr>
        <w:spacing w:line="520" w:lineRule="exact"/>
        <w:ind w:firstLine="566" w:firstLineChars="177"/>
        <w:rPr>
          <w:rFonts w:eastAsia="仿宋_GB2312"/>
          <w:szCs w:val="32"/>
        </w:rPr>
      </w:pPr>
      <w:r>
        <w:rPr>
          <w:rFonts w:eastAsia="仿宋_GB2312"/>
          <w:szCs w:val="32"/>
        </w:rPr>
        <w:t>根据YY/T 0316《医疗器械风险管理对医疗器械的应用》附录E确定危害分析是否全面；</w:t>
      </w:r>
    </w:p>
    <w:p>
      <w:pPr>
        <w:spacing w:line="520" w:lineRule="exact"/>
        <w:ind w:firstLine="566" w:firstLineChars="177"/>
        <w:rPr>
          <w:rFonts w:eastAsia="仿宋_GB2312"/>
          <w:szCs w:val="32"/>
        </w:rPr>
      </w:pPr>
      <w:r>
        <w:rPr>
          <w:rFonts w:eastAsia="仿宋_GB2312"/>
          <w:szCs w:val="32"/>
        </w:rPr>
        <w:t>风险可接收准则，降低风险的措施及采取措施后风险的可接收程度，是否有新的风险产生。</w:t>
      </w:r>
    </w:p>
    <w:p>
      <w:pPr>
        <w:spacing w:line="520" w:lineRule="exact"/>
        <w:ind w:firstLine="566" w:firstLineChars="177"/>
        <w:rPr>
          <w:rStyle w:val="29"/>
          <w:rFonts w:eastAsia="仿宋_GB2312"/>
          <w:sz w:val="32"/>
          <w:szCs w:val="32"/>
        </w:rPr>
      </w:pPr>
      <w:r>
        <w:rPr>
          <w:rStyle w:val="29"/>
          <w:rFonts w:eastAsia="仿宋_GB2312"/>
          <w:sz w:val="32"/>
          <w:szCs w:val="32"/>
        </w:rPr>
        <w:t>根据YY</w:t>
      </w:r>
      <w:r>
        <w:rPr>
          <w:rFonts w:eastAsia="仿宋_GB2312"/>
          <w:szCs w:val="32"/>
        </w:rPr>
        <w:t>/T</w:t>
      </w:r>
      <w:r>
        <w:rPr>
          <w:rStyle w:val="29"/>
          <w:rFonts w:eastAsia="仿宋_GB2312"/>
          <w:sz w:val="32"/>
          <w:szCs w:val="32"/>
        </w:rPr>
        <w:t xml:space="preserve"> 0316《医疗器械风险管理对医疗器械的应用》附录E对该产品已知或可预见的风险进行判定，面罩产品在进行风险分析时至少应包括以下的主要危害，企业还应根据自身产品特点确定其他危害。针对产品的各项风险，企业应采取应对措施，确保风险降到可接受的程度。</w:t>
      </w:r>
    </w:p>
    <w:p>
      <w:pPr>
        <w:spacing w:line="520" w:lineRule="exact"/>
        <w:jc w:val="center"/>
        <w:rPr>
          <w:rFonts w:eastAsia="仿宋_GB2312"/>
          <w:b/>
          <w:szCs w:val="32"/>
        </w:rPr>
      </w:pPr>
      <w:r>
        <w:rPr>
          <w:rFonts w:eastAsia="仿宋_GB2312"/>
          <w:b/>
          <w:szCs w:val="32"/>
        </w:rPr>
        <w:t xml:space="preserve">  </w:t>
      </w:r>
    </w:p>
    <w:p>
      <w:pPr>
        <w:spacing w:line="520" w:lineRule="exact"/>
        <w:jc w:val="center"/>
        <w:rPr>
          <w:rStyle w:val="29"/>
          <w:rFonts w:eastAsia="黑体"/>
          <w:sz w:val="28"/>
          <w:szCs w:val="28"/>
        </w:rPr>
      </w:pPr>
      <w:r>
        <w:rPr>
          <w:rStyle w:val="29"/>
          <w:rFonts w:eastAsia="黑体"/>
          <w:sz w:val="28"/>
          <w:szCs w:val="28"/>
        </w:rPr>
        <w:t>表1 产品主要危害</w:t>
      </w:r>
    </w:p>
    <w:tbl>
      <w:tblPr>
        <w:tblStyle w:val="1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160"/>
        <w:gridCol w:w="2987"/>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blHeader/>
        </w:trPr>
        <w:tc>
          <w:tcPr>
            <w:tcW w:w="3060" w:type="dxa"/>
            <w:gridSpan w:val="2"/>
          </w:tcPr>
          <w:p>
            <w:pPr>
              <w:tabs>
                <w:tab w:val="center" w:pos="1407"/>
                <w:tab w:val="right" w:pos="2814"/>
              </w:tabs>
              <w:spacing w:line="520" w:lineRule="exact"/>
              <w:jc w:val="center"/>
              <w:rPr>
                <w:rFonts w:eastAsia="仿宋_GB2312"/>
                <w:sz w:val="28"/>
                <w:szCs w:val="28"/>
              </w:rPr>
            </w:pPr>
            <w:r>
              <w:rPr>
                <w:rFonts w:hint="eastAsia" w:eastAsia="仿宋_GB2312"/>
                <w:sz w:val="28"/>
                <w:szCs w:val="28"/>
              </w:rPr>
              <w:t>危害的分类</w:t>
            </w:r>
          </w:p>
        </w:tc>
        <w:tc>
          <w:tcPr>
            <w:tcW w:w="2987" w:type="dxa"/>
          </w:tcPr>
          <w:p>
            <w:pPr>
              <w:spacing w:line="520" w:lineRule="exact"/>
              <w:jc w:val="center"/>
              <w:rPr>
                <w:rFonts w:eastAsia="仿宋_GB2312"/>
                <w:sz w:val="28"/>
                <w:szCs w:val="28"/>
              </w:rPr>
            </w:pPr>
            <w:r>
              <w:rPr>
                <w:rFonts w:hint="eastAsia" w:eastAsia="仿宋_GB2312"/>
                <w:sz w:val="28"/>
                <w:szCs w:val="28"/>
              </w:rPr>
              <w:t>危害的形成因素</w:t>
            </w:r>
          </w:p>
        </w:tc>
        <w:tc>
          <w:tcPr>
            <w:tcW w:w="2881" w:type="dxa"/>
          </w:tcPr>
          <w:p>
            <w:pPr>
              <w:spacing w:line="520" w:lineRule="exact"/>
              <w:jc w:val="center"/>
              <w:rPr>
                <w:rFonts w:eastAsia="仿宋_GB2312"/>
                <w:sz w:val="28"/>
                <w:szCs w:val="28"/>
              </w:rPr>
            </w:pPr>
            <w:r>
              <w:rPr>
                <w:rFonts w:hint="eastAsia" w:eastAsia="仿宋_GB2312"/>
                <w:sz w:val="28"/>
                <w:szCs w:val="28"/>
              </w:rPr>
              <w:t>可能的后果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pPr>
              <w:spacing w:line="520" w:lineRule="exact"/>
              <w:jc w:val="center"/>
              <w:rPr>
                <w:rFonts w:eastAsia="仿宋_GB2312"/>
                <w:sz w:val="28"/>
                <w:szCs w:val="28"/>
              </w:rPr>
            </w:pPr>
            <w:r>
              <w:rPr>
                <w:rFonts w:hint="eastAsia" w:eastAsia="仿宋_GB2312"/>
                <w:sz w:val="28"/>
                <w:szCs w:val="28"/>
              </w:rPr>
              <w:t>生物学危害</w:t>
            </w:r>
          </w:p>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生物污染</w:t>
            </w:r>
          </w:p>
        </w:tc>
        <w:tc>
          <w:tcPr>
            <w:tcW w:w="2987" w:type="dxa"/>
            <w:vAlign w:val="center"/>
          </w:tcPr>
          <w:p>
            <w:pPr>
              <w:spacing w:line="520" w:lineRule="exact"/>
              <w:rPr>
                <w:rFonts w:eastAsia="仿宋_GB2312"/>
                <w:sz w:val="28"/>
                <w:szCs w:val="28"/>
              </w:rPr>
            </w:pPr>
            <w:r>
              <w:rPr>
                <w:rFonts w:hint="eastAsia" w:eastAsia="仿宋_GB2312"/>
                <w:sz w:val="28"/>
                <w:szCs w:val="28"/>
              </w:rPr>
              <w:t>生产环境控制不好</w:t>
            </w:r>
          </w:p>
          <w:p>
            <w:pPr>
              <w:spacing w:line="520" w:lineRule="exact"/>
              <w:rPr>
                <w:rFonts w:eastAsia="仿宋_GB2312"/>
                <w:sz w:val="28"/>
                <w:szCs w:val="28"/>
              </w:rPr>
            </w:pPr>
            <w:r>
              <w:rPr>
                <w:rFonts w:hint="eastAsia" w:eastAsia="仿宋_GB2312"/>
                <w:sz w:val="28"/>
                <w:szCs w:val="28"/>
              </w:rPr>
              <w:t>包装破损</w:t>
            </w:r>
          </w:p>
          <w:p>
            <w:pPr>
              <w:spacing w:line="520" w:lineRule="exact"/>
              <w:rPr>
                <w:rFonts w:eastAsia="仿宋_GB2312"/>
                <w:sz w:val="28"/>
                <w:szCs w:val="28"/>
              </w:rPr>
            </w:pPr>
            <w:r>
              <w:rPr>
                <w:rFonts w:hint="eastAsia" w:eastAsia="仿宋_GB2312"/>
                <w:sz w:val="28"/>
                <w:szCs w:val="28"/>
              </w:rPr>
              <w:t>使用时操作不正规</w:t>
            </w:r>
          </w:p>
        </w:tc>
        <w:tc>
          <w:tcPr>
            <w:tcW w:w="2881" w:type="dxa"/>
            <w:vAlign w:val="center"/>
          </w:tcPr>
          <w:p>
            <w:pPr>
              <w:spacing w:line="520" w:lineRule="exact"/>
              <w:rPr>
                <w:rFonts w:eastAsia="仿宋_GB2312"/>
                <w:sz w:val="28"/>
                <w:szCs w:val="28"/>
              </w:rPr>
            </w:pPr>
            <w:r>
              <w:rPr>
                <w:rFonts w:hint="eastAsia" w:eastAsia="仿宋_GB2312"/>
                <w:sz w:val="28"/>
                <w:szCs w:val="28"/>
              </w:rPr>
              <w:t>产品污染，引起患者呼吸道感染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生物不相容性</w:t>
            </w:r>
          </w:p>
        </w:tc>
        <w:tc>
          <w:tcPr>
            <w:tcW w:w="2987" w:type="dxa"/>
            <w:vAlign w:val="center"/>
          </w:tcPr>
          <w:p>
            <w:pPr>
              <w:spacing w:line="520" w:lineRule="exact"/>
              <w:rPr>
                <w:rFonts w:eastAsia="仿宋_GB2312"/>
                <w:sz w:val="28"/>
                <w:szCs w:val="28"/>
              </w:rPr>
            </w:pPr>
            <w:r>
              <w:rPr>
                <w:rFonts w:hint="eastAsia" w:eastAsia="仿宋_GB2312"/>
                <w:sz w:val="28"/>
                <w:szCs w:val="28"/>
              </w:rPr>
              <w:t>使用乳胶</w:t>
            </w:r>
          </w:p>
          <w:p>
            <w:pPr>
              <w:spacing w:line="520" w:lineRule="exact"/>
              <w:rPr>
                <w:rFonts w:eastAsia="仿宋_GB2312"/>
                <w:sz w:val="28"/>
                <w:szCs w:val="28"/>
              </w:rPr>
            </w:pPr>
            <w:r>
              <w:rPr>
                <w:rFonts w:hint="eastAsia" w:eastAsia="仿宋_GB2312"/>
                <w:sz w:val="28"/>
                <w:szCs w:val="28"/>
              </w:rPr>
              <w:t>添加其他化学物质</w:t>
            </w:r>
          </w:p>
        </w:tc>
        <w:tc>
          <w:tcPr>
            <w:tcW w:w="2881" w:type="dxa"/>
            <w:vAlign w:val="center"/>
          </w:tcPr>
          <w:p>
            <w:pPr>
              <w:spacing w:line="520" w:lineRule="exact"/>
              <w:rPr>
                <w:rFonts w:eastAsia="仿宋_GB2312"/>
                <w:sz w:val="28"/>
                <w:szCs w:val="28"/>
              </w:rPr>
            </w:pPr>
            <w:r>
              <w:rPr>
                <w:rFonts w:hint="eastAsia" w:eastAsia="仿宋_GB2312"/>
                <w:sz w:val="28"/>
                <w:szCs w:val="28"/>
              </w:rPr>
              <w:t>添加未经安全验证的其他化学物质，产生细胞毒性、致敏反应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不正确的配方</w:t>
            </w:r>
          </w:p>
          <w:p>
            <w:pPr>
              <w:spacing w:line="520" w:lineRule="exact"/>
              <w:rPr>
                <w:rFonts w:eastAsia="仿宋_GB2312"/>
                <w:sz w:val="28"/>
                <w:szCs w:val="28"/>
              </w:rPr>
            </w:pPr>
            <w:r>
              <w:rPr>
                <w:rFonts w:hint="eastAsia" w:eastAsia="仿宋_GB2312"/>
                <w:sz w:val="28"/>
                <w:szCs w:val="28"/>
              </w:rPr>
              <w:t>（化学成分）</w:t>
            </w:r>
          </w:p>
        </w:tc>
        <w:tc>
          <w:tcPr>
            <w:tcW w:w="2987" w:type="dxa"/>
            <w:vAlign w:val="center"/>
          </w:tcPr>
          <w:p>
            <w:pPr>
              <w:spacing w:line="520" w:lineRule="exact"/>
              <w:rPr>
                <w:rFonts w:eastAsia="仿宋_GB2312"/>
                <w:sz w:val="28"/>
                <w:szCs w:val="28"/>
              </w:rPr>
            </w:pPr>
            <w:r>
              <w:rPr>
                <w:rFonts w:hint="eastAsia" w:eastAsia="仿宋_GB2312"/>
                <w:sz w:val="28"/>
                <w:szCs w:val="28"/>
              </w:rPr>
              <w:t>未按照工艺要求配料</w:t>
            </w:r>
          </w:p>
          <w:p>
            <w:pPr>
              <w:spacing w:line="520" w:lineRule="exact"/>
              <w:rPr>
                <w:rFonts w:eastAsia="仿宋_GB2312"/>
                <w:sz w:val="28"/>
                <w:szCs w:val="28"/>
              </w:rPr>
            </w:pPr>
            <w:r>
              <w:rPr>
                <w:rFonts w:hint="eastAsia" w:eastAsia="仿宋_GB2312"/>
                <w:sz w:val="28"/>
                <w:szCs w:val="28"/>
              </w:rPr>
              <w:t>添加剂或助剂使用比例不正确</w:t>
            </w:r>
          </w:p>
        </w:tc>
        <w:tc>
          <w:tcPr>
            <w:tcW w:w="2881" w:type="dxa"/>
            <w:vAlign w:val="center"/>
          </w:tcPr>
          <w:p>
            <w:pPr>
              <w:spacing w:line="520" w:lineRule="exact"/>
              <w:rPr>
                <w:rFonts w:eastAsia="仿宋_GB2312"/>
                <w:sz w:val="28"/>
                <w:szCs w:val="28"/>
              </w:rPr>
            </w:pPr>
            <w:r>
              <w:rPr>
                <w:rFonts w:hint="eastAsia" w:eastAsia="仿宋_GB2312"/>
                <w:sz w:val="28"/>
                <w:szCs w:val="28"/>
              </w:rPr>
              <w:t>有可能引起小分子物质残留量过大，造成毒性危害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毒性</w:t>
            </w:r>
          </w:p>
        </w:tc>
        <w:tc>
          <w:tcPr>
            <w:tcW w:w="2987" w:type="dxa"/>
            <w:vAlign w:val="center"/>
          </w:tcPr>
          <w:p>
            <w:pPr>
              <w:spacing w:line="520" w:lineRule="exact"/>
              <w:rPr>
                <w:rFonts w:eastAsia="仿宋_GB2312"/>
                <w:sz w:val="28"/>
                <w:szCs w:val="28"/>
              </w:rPr>
            </w:pPr>
            <w:r>
              <w:rPr>
                <w:rFonts w:hint="eastAsia" w:eastAsia="仿宋_GB2312"/>
                <w:sz w:val="28"/>
                <w:szCs w:val="28"/>
              </w:rPr>
              <w:t>不正确的配方、添加</w:t>
            </w:r>
          </w:p>
          <w:p>
            <w:pPr>
              <w:spacing w:line="520" w:lineRule="exact"/>
              <w:rPr>
                <w:rFonts w:eastAsia="仿宋_GB2312"/>
                <w:sz w:val="28"/>
                <w:szCs w:val="28"/>
              </w:rPr>
            </w:pPr>
            <w:r>
              <w:rPr>
                <w:rFonts w:hint="eastAsia" w:eastAsia="仿宋_GB2312"/>
                <w:sz w:val="28"/>
                <w:szCs w:val="28"/>
              </w:rPr>
              <w:t>加工工艺控制不严格</w:t>
            </w:r>
          </w:p>
          <w:p>
            <w:pPr>
              <w:spacing w:line="520" w:lineRule="exact"/>
              <w:rPr>
                <w:rFonts w:eastAsia="仿宋_GB2312"/>
                <w:sz w:val="28"/>
                <w:szCs w:val="28"/>
              </w:rPr>
            </w:pPr>
            <w:r>
              <w:rPr>
                <w:rFonts w:hint="eastAsia" w:eastAsia="仿宋_GB2312"/>
                <w:sz w:val="28"/>
                <w:szCs w:val="28"/>
              </w:rPr>
              <w:t>后处理工艺控制不严格</w:t>
            </w:r>
          </w:p>
        </w:tc>
        <w:tc>
          <w:tcPr>
            <w:tcW w:w="2881" w:type="dxa"/>
            <w:vAlign w:val="center"/>
          </w:tcPr>
          <w:p>
            <w:pPr>
              <w:spacing w:line="520" w:lineRule="exact"/>
              <w:rPr>
                <w:rFonts w:eastAsia="仿宋_GB2312"/>
                <w:sz w:val="28"/>
                <w:szCs w:val="28"/>
              </w:rPr>
            </w:pPr>
            <w:r>
              <w:rPr>
                <w:rFonts w:hint="eastAsia" w:eastAsia="仿宋_GB2312"/>
                <w:sz w:val="28"/>
                <w:szCs w:val="28"/>
              </w:rPr>
              <w:t>生物相容性不符合要求</w:t>
            </w:r>
          </w:p>
          <w:p>
            <w:pPr>
              <w:spacing w:line="520" w:lineRule="exact"/>
              <w:rPr>
                <w:rFonts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pPr>
              <w:spacing w:line="520" w:lineRule="exact"/>
              <w:rPr>
                <w:rFonts w:eastAsia="仿宋_GB2312"/>
                <w:sz w:val="28"/>
                <w:szCs w:val="28"/>
              </w:rPr>
            </w:pPr>
            <w:r>
              <w:rPr>
                <w:rFonts w:hint="eastAsia" w:eastAsia="仿宋_GB2312"/>
                <w:sz w:val="28"/>
                <w:szCs w:val="28"/>
              </w:rPr>
              <w:t>环境</w:t>
            </w:r>
          </w:p>
          <w:p>
            <w:pPr>
              <w:spacing w:line="520" w:lineRule="exact"/>
              <w:rPr>
                <w:rFonts w:eastAsia="仿宋_GB2312"/>
                <w:sz w:val="28"/>
                <w:szCs w:val="28"/>
              </w:rPr>
            </w:pPr>
            <w:r>
              <w:rPr>
                <w:rFonts w:hint="eastAsia" w:eastAsia="仿宋_GB2312"/>
                <w:sz w:val="28"/>
                <w:szCs w:val="28"/>
              </w:rPr>
              <w:t>危害</w:t>
            </w:r>
          </w:p>
        </w:tc>
        <w:tc>
          <w:tcPr>
            <w:tcW w:w="2160" w:type="dxa"/>
            <w:vAlign w:val="center"/>
          </w:tcPr>
          <w:p>
            <w:pPr>
              <w:spacing w:line="520" w:lineRule="exact"/>
              <w:rPr>
                <w:rFonts w:eastAsia="仿宋_GB2312"/>
                <w:sz w:val="28"/>
                <w:szCs w:val="28"/>
              </w:rPr>
            </w:pPr>
            <w:r>
              <w:rPr>
                <w:rFonts w:hint="eastAsia" w:eastAsia="仿宋_GB2312"/>
                <w:sz w:val="28"/>
                <w:szCs w:val="28"/>
              </w:rPr>
              <w:t>储存或运行偏离预订的环境条件</w:t>
            </w:r>
          </w:p>
        </w:tc>
        <w:tc>
          <w:tcPr>
            <w:tcW w:w="2987" w:type="dxa"/>
            <w:vAlign w:val="center"/>
          </w:tcPr>
          <w:p>
            <w:pPr>
              <w:spacing w:line="520" w:lineRule="exact"/>
              <w:rPr>
                <w:rFonts w:eastAsia="仿宋_GB2312"/>
                <w:sz w:val="28"/>
                <w:szCs w:val="28"/>
              </w:rPr>
            </w:pPr>
            <w:r>
              <w:rPr>
                <w:rFonts w:hint="eastAsia" w:eastAsia="仿宋_GB2312"/>
                <w:sz w:val="28"/>
                <w:szCs w:val="28"/>
              </w:rPr>
              <w:t>储运条件（如温度、湿度）不符合要求</w:t>
            </w:r>
          </w:p>
        </w:tc>
        <w:tc>
          <w:tcPr>
            <w:tcW w:w="2881" w:type="dxa"/>
            <w:vAlign w:val="center"/>
          </w:tcPr>
          <w:p>
            <w:pPr>
              <w:spacing w:line="520" w:lineRule="exact"/>
              <w:rPr>
                <w:rFonts w:eastAsia="仿宋_GB2312"/>
                <w:sz w:val="28"/>
                <w:szCs w:val="28"/>
              </w:rPr>
            </w:pPr>
            <w:r>
              <w:rPr>
                <w:rFonts w:hint="eastAsia" w:eastAsia="仿宋_GB2312"/>
                <w:sz w:val="28"/>
                <w:szCs w:val="28"/>
              </w:rPr>
              <w:t>产品老化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意外的机械破坏</w:t>
            </w:r>
          </w:p>
        </w:tc>
        <w:tc>
          <w:tcPr>
            <w:tcW w:w="2987" w:type="dxa"/>
            <w:vAlign w:val="center"/>
          </w:tcPr>
          <w:p>
            <w:pPr>
              <w:spacing w:line="520" w:lineRule="exact"/>
              <w:rPr>
                <w:rFonts w:eastAsia="仿宋_GB2312"/>
                <w:sz w:val="28"/>
                <w:szCs w:val="28"/>
              </w:rPr>
            </w:pPr>
            <w:r>
              <w:rPr>
                <w:rFonts w:hint="eastAsia" w:eastAsia="仿宋_GB2312"/>
                <w:sz w:val="28"/>
                <w:szCs w:val="28"/>
              </w:rPr>
              <w:t>储运、使用过程中发生意外的机械性破坏</w:t>
            </w:r>
          </w:p>
        </w:tc>
        <w:tc>
          <w:tcPr>
            <w:tcW w:w="2881" w:type="dxa"/>
            <w:vAlign w:val="center"/>
          </w:tcPr>
          <w:p>
            <w:pPr>
              <w:spacing w:line="520" w:lineRule="exact"/>
              <w:rPr>
                <w:rFonts w:eastAsia="仿宋_GB2312"/>
                <w:sz w:val="28"/>
                <w:szCs w:val="28"/>
              </w:rPr>
            </w:pPr>
            <w:r>
              <w:rPr>
                <w:rFonts w:hint="eastAsia" w:eastAsia="仿宋_GB2312"/>
                <w:sz w:val="28"/>
                <w:szCs w:val="28"/>
              </w:rPr>
              <w:t>产品使用性能无法得到保证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由于废物和（或）医疗器械处置的污染</w:t>
            </w:r>
          </w:p>
        </w:tc>
        <w:tc>
          <w:tcPr>
            <w:tcW w:w="2987" w:type="dxa"/>
            <w:vAlign w:val="center"/>
          </w:tcPr>
          <w:p>
            <w:pPr>
              <w:spacing w:line="520" w:lineRule="exact"/>
              <w:rPr>
                <w:rFonts w:eastAsia="仿宋_GB2312"/>
                <w:sz w:val="28"/>
                <w:szCs w:val="28"/>
              </w:rPr>
            </w:pPr>
            <w:r>
              <w:rPr>
                <w:rFonts w:hint="eastAsia" w:eastAsia="仿宋_GB2312"/>
                <w:sz w:val="28"/>
                <w:szCs w:val="28"/>
              </w:rPr>
              <w:t>使用后的产品没有按照要求集中销毁</w:t>
            </w:r>
          </w:p>
        </w:tc>
        <w:tc>
          <w:tcPr>
            <w:tcW w:w="2881" w:type="dxa"/>
            <w:vAlign w:val="center"/>
          </w:tcPr>
          <w:p>
            <w:pPr>
              <w:spacing w:line="520" w:lineRule="exact"/>
              <w:rPr>
                <w:rFonts w:eastAsia="仿宋_GB2312"/>
                <w:sz w:val="28"/>
                <w:szCs w:val="28"/>
              </w:rPr>
            </w:pPr>
            <w:r>
              <w:rPr>
                <w:rFonts w:hint="eastAsia" w:eastAsia="仿宋_GB2312"/>
                <w:sz w:val="28"/>
                <w:szCs w:val="28"/>
              </w:rPr>
              <w:t>造成环境污染或者细菌的交叉感染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pPr>
              <w:spacing w:line="520" w:lineRule="exact"/>
              <w:jc w:val="center"/>
              <w:rPr>
                <w:rFonts w:eastAsia="仿宋_GB2312"/>
                <w:sz w:val="28"/>
                <w:szCs w:val="28"/>
              </w:rPr>
            </w:pPr>
          </w:p>
          <w:p>
            <w:pPr>
              <w:spacing w:line="520" w:lineRule="exact"/>
              <w:jc w:val="center"/>
              <w:rPr>
                <w:rFonts w:eastAsia="仿宋_GB2312"/>
                <w:sz w:val="28"/>
                <w:szCs w:val="28"/>
              </w:rPr>
            </w:pPr>
          </w:p>
          <w:p>
            <w:pPr>
              <w:spacing w:line="520" w:lineRule="exact"/>
              <w:jc w:val="center"/>
              <w:rPr>
                <w:rFonts w:eastAsia="仿宋_GB2312"/>
                <w:sz w:val="28"/>
                <w:szCs w:val="28"/>
              </w:rPr>
            </w:pPr>
          </w:p>
          <w:p>
            <w:pPr>
              <w:spacing w:line="520" w:lineRule="exact"/>
              <w:jc w:val="center"/>
              <w:rPr>
                <w:rFonts w:eastAsia="仿宋_GB2312"/>
                <w:sz w:val="28"/>
                <w:szCs w:val="28"/>
              </w:rPr>
            </w:pPr>
            <w:r>
              <w:rPr>
                <w:rFonts w:hint="eastAsia" w:eastAsia="仿宋_GB2312"/>
                <w:sz w:val="28"/>
                <w:szCs w:val="28"/>
              </w:rPr>
              <w:t>与</w:t>
            </w:r>
          </w:p>
          <w:p>
            <w:pPr>
              <w:spacing w:line="520" w:lineRule="exact"/>
              <w:jc w:val="center"/>
              <w:rPr>
                <w:rFonts w:eastAsia="仿宋_GB2312"/>
                <w:sz w:val="28"/>
                <w:szCs w:val="28"/>
              </w:rPr>
            </w:pPr>
            <w:r>
              <w:rPr>
                <w:rFonts w:hint="eastAsia" w:eastAsia="仿宋_GB2312"/>
                <w:sz w:val="28"/>
                <w:szCs w:val="28"/>
              </w:rPr>
              <w:t>医</w:t>
            </w:r>
          </w:p>
          <w:p>
            <w:pPr>
              <w:spacing w:line="520" w:lineRule="exact"/>
              <w:jc w:val="center"/>
              <w:rPr>
                <w:rFonts w:eastAsia="仿宋_GB2312"/>
                <w:sz w:val="28"/>
                <w:szCs w:val="28"/>
              </w:rPr>
            </w:pPr>
            <w:r>
              <w:rPr>
                <w:rFonts w:hint="eastAsia" w:eastAsia="仿宋_GB2312"/>
                <w:sz w:val="28"/>
                <w:szCs w:val="28"/>
              </w:rPr>
              <w:t>疗</w:t>
            </w:r>
          </w:p>
          <w:p>
            <w:pPr>
              <w:spacing w:line="520" w:lineRule="exact"/>
              <w:jc w:val="center"/>
              <w:rPr>
                <w:rFonts w:eastAsia="仿宋_GB2312"/>
                <w:sz w:val="28"/>
                <w:szCs w:val="28"/>
              </w:rPr>
            </w:pPr>
            <w:r>
              <w:rPr>
                <w:rFonts w:hint="eastAsia" w:eastAsia="仿宋_GB2312"/>
                <w:sz w:val="28"/>
                <w:szCs w:val="28"/>
              </w:rPr>
              <w:t>器</w:t>
            </w:r>
          </w:p>
          <w:p>
            <w:pPr>
              <w:spacing w:line="520" w:lineRule="exact"/>
              <w:jc w:val="center"/>
              <w:rPr>
                <w:rFonts w:eastAsia="仿宋_GB2312"/>
                <w:sz w:val="28"/>
                <w:szCs w:val="28"/>
              </w:rPr>
            </w:pPr>
            <w:r>
              <w:rPr>
                <w:rFonts w:hint="eastAsia" w:eastAsia="仿宋_GB2312"/>
                <w:sz w:val="28"/>
                <w:szCs w:val="28"/>
              </w:rPr>
              <w:t>械</w:t>
            </w:r>
          </w:p>
          <w:p>
            <w:pPr>
              <w:spacing w:line="520" w:lineRule="exact"/>
              <w:jc w:val="center"/>
              <w:rPr>
                <w:rFonts w:eastAsia="仿宋_GB2312"/>
                <w:sz w:val="28"/>
                <w:szCs w:val="28"/>
              </w:rPr>
            </w:pPr>
            <w:r>
              <w:rPr>
                <w:rFonts w:hint="eastAsia" w:eastAsia="仿宋_GB2312"/>
                <w:sz w:val="28"/>
                <w:szCs w:val="28"/>
              </w:rPr>
              <w:t>使</w:t>
            </w:r>
          </w:p>
          <w:p>
            <w:pPr>
              <w:spacing w:line="520" w:lineRule="exact"/>
              <w:jc w:val="center"/>
              <w:rPr>
                <w:rFonts w:eastAsia="仿宋_GB2312"/>
                <w:sz w:val="28"/>
                <w:szCs w:val="28"/>
              </w:rPr>
            </w:pPr>
            <w:r>
              <w:rPr>
                <w:rFonts w:hint="eastAsia" w:eastAsia="仿宋_GB2312"/>
                <w:sz w:val="28"/>
                <w:szCs w:val="28"/>
              </w:rPr>
              <w:t>用</w:t>
            </w:r>
          </w:p>
          <w:p>
            <w:pPr>
              <w:spacing w:line="520" w:lineRule="exact"/>
              <w:jc w:val="center"/>
              <w:rPr>
                <w:rFonts w:eastAsia="仿宋_GB2312"/>
                <w:sz w:val="28"/>
                <w:szCs w:val="28"/>
              </w:rPr>
            </w:pPr>
            <w:r>
              <w:rPr>
                <w:rFonts w:hint="eastAsia" w:eastAsia="仿宋_GB2312"/>
                <w:sz w:val="28"/>
                <w:szCs w:val="28"/>
              </w:rPr>
              <w:t>有</w:t>
            </w:r>
          </w:p>
          <w:p>
            <w:pPr>
              <w:spacing w:line="520" w:lineRule="exact"/>
              <w:jc w:val="center"/>
              <w:rPr>
                <w:rFonts w:eastAsia="仿宋_GB2312"/>
                <w:sz w:val="28"/>
                <w:szCs w:val="28"/>
              </w:rPr>
            </w:pPr>
            <w:r>
              <w:rPr>
                <w:rFonts w:hint="eastAsia" w:eastAsia="仿宋_GB2312"/>
                <w:sz w:val="28"/>
                <w:szCs w:val="28"/>
              </w:rPr>
              <w:t>关</w:t>
            </w:r>
          </w:p>
          <w:p>
            <w:pPr>
              <w:spacing w:line="520" w:lineRule="exact"/>
              <w:jc w:val="center"/>
              <w:rPr>
                <w:rFonts w:eastAsia="仿宋_GB2312"/>
                <w:sz w:val="28"/>
                <w:szCs w:val="28"/>
              </w:rPr>
            </w:pPr>
            <w:r>
              <w:rPr>
                <w:rFonts w:hint="eastAsia" w:eastAsia="仿宋_GB2312"/>
                <w:sz w:val="28"/>
                <w:szCs w:val="28"/>
              </w:rPr>
              <w:t>的</w:t>
            </w:r>
          </w:p>
          <w:p>
            <w:pPr>
              <w:spacing w:line="520" w:lineRule="exact"/>
              <w:jc w:val="center"/>
              <w:rPr>
                <w:rFonts w:eastAsia="仿宋_GB2312"/>
                <w:sz w:val="28"/>
                <w:szCs w:val="28"/>
              </w:rPr>
            </w:pPr>
            <w:r>
              <w:rPr>
                <w:rFonts w:hint="eastAsia" w:eastAsia="仿宋_GB2312"/>
                <w:sz w:val="28"/>
                <w:szCs w:val="28"/>
              </w:rPr>
              <w:t>危</w:t>
            </w:r>
          </w:p>
          <w:p>
            <w:pPr>
              <w:spacing w:line="520" w:lineRule="exact"/>
              <w:jc w:val="center"/>
              <w:rPr>
                <w:rFonts w:eastAsia="仿宋_GB2312"/>
                <w:sz w:val="28"/>
                <w:szCs w:val="28"/>
              </w:rPr>
            </w:pPr>
            <w:r>
              <w:rPr>
                <w:rFonts w:hint="eastAsia" w:eastAsia="仿宋_GB2312"/>
                <w:sz w:val="28"/>
                <w:szCs w:val="28"/>
              </w:rPr>
              <w:t>害</w:t>
            </w:r>
          </w:p>
        </w:tc>
        <w:tc>
          <w:tcPr>
            <w:tcW w:w="2160" w:type="dxa"/>
            <w:vAlign w:val="center"/>
          </w:tcPr>
          <w:p>
            <w:pPr>
              <w:spacing w:line="520" w:lineRule="exact"/>
              <w:rPr>
                <w:rFonts w:eastAsia="仿宋_GB2312"/>
                <w:sz w:val="28"/>
                <w:szCs w:val="28"/>
              </w:rPr>
            </w:pPr>
            <w:r>
              <w:rPr>
                <w:rFonts w:hint="eastAsia" w:eastAsia="仿宋_GB2312"/>
                <w:sz w:val="28"/>
                <w:szCs w:val="28"/>
              </w:rPr>
              <w:t>不适当的标记</w:t>
            </w:r>
          </w:p>
        </w:tc>
        <w:tc>
          <w:tcPr>
            <w:tcW w:w="2987" w:type="dxa"/>
            <w:vAlign w:val="center"/>
          </w:tcPr>
          <w:p>
            <w:pPr>
              <w:spacing w:line="520" w:lineRule="exact"/>
              <w:rPr>
                <w:rFonts w:eastAsia="仿宋_GB2312"/>
                <w:sz w:val="28"/>
                <w:szCs w:val="28"/>
              </w:rPr>
            </w:pPr>
            <w:r>
              <w:rPr>
                <w:rFonts w:hint="eastAsia" w:eastAsia="仿宋_GB2312"/>
                <w:sz w:val="28"/>
                <w:szCs w:val="28"/>
              </w:rPr>
              <w:t>标记不清晰、错误、</w:t>
            </w:r>
          </w:p>
          <w:p>
            <w:pPr>
              <w:spacing w:line="520" w:lineRule="exact"/>
              <w:rPr>
                <w:rFonts w:eastAsia="仿宋_GB2312"/>
                <w:sz w:val="28"/>
                <w:szCs w:val="28"/>
              </w:rPr>
            </w:pPr>
            <w:r>
              <w:rPr>
                <w:rFonts w:hint="eastAsia" w:eastAsia="仿宋_GB2312"/>
                <w:sz w:val="28"/>
                <w:szCs w:val="28"/>
              </w:rPr>
              <w:t>没有按照要求进行标记</w:t>
            </w:r>
          </w:p>
        </w:tc>
        <w:tc>
          <w:tcPr>
            <w:tcW w:w="2881" w:type="dxa"/>
            <w:vAlign w:val="center"/>
          </w:tcPr>
          <w:p>
            <w:pPr>
              <w:spacing w:line="520" w:lineRule="exact"/>
              <w:rPr>
                <w:rFonts w:eastAsia="仿宋_GB2312"/>
                <w:sz w:val="28"/>
                <w:szCs w:val="28"/>
              </w:rPr>
            </w:pPr>
            <w:r>
              <w:rPr>
                <w:rFonts w:hint="eastAsia" w:eastAsia="仿宋_GB2312"/>
                <w:sz w:val="28"/>
                <w:szCs w:val="28"/>
              </w:rPr>
              <w:t>错误使用</w:t>
            </w:r>
          </w:p>
          <w:p>
            <w:pPr>
              <w:spacing w:line="520" w:lineRule="exact"/>
              <w:rPr>
                <w:rFonts w:eastAsia="仿宋_GB2312"/>
                <w:sz w:val="28"/>
                <w:szCs w:val="28"/>
              </w:rPr>
            </w:pPr>
            <w:r>
              <w:rPr>
                <w:rFonts w:hint="eastAsia" w:eastAsia="仿宋_GB2312"/>
                <w:sz w:val="28"/>
                <w:szCs w:val="28"/>
              </w:rPr>
              <w:t>储存错误</w:t>
            </w:r>
          </w:p>
          <w:p>
            <w:pPr>
              <w:spacing w:line="520" w:lineRule="exact"/>
              <w:rPr>
                <w:rFonts w:eastAsia="仿宋_GB2312"/>
                <w:sz w:val="28"/>
                <w:szCs w:val="28"/>
              </w:rPr>
            </w:pPr>
            <w:r>
              <w:rPr>
                <w:rFonts w:hint="eastAsia" w:eastAsia="仿宋_GB2312"/>
                <w:sz w:val="28"/>
                <w:szCs w:val="28"/>
              </w:rPr>
              <w:t>产品辨别错误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不适当的操作说明，如：</w:t>
            </w:r>
          </w:p>
          <w:p>
            <w:pPr>
              <w:spacing w:line="520" w:lineRule="exact"/>
              <w:rPr>
                <w:rFonts w:eastAsia="仿宋_GB2312"/>
                <w:sz w:val="28"/>
                <w:szCs w:val="28"/>
              </w:rPr>
            </w:pPr>
            <w:r>
              <w:rPr>
                <w:rFonts w:hint="eastAsia" w:eastAsia="仿宋_GB2312"/>
                <w:sz w:val="28"/>
                <w:szCs w:val="28"/>
              </w:rPr>
              <w:t>(1)和医疗器械一起使用的附件规范不适当；</w:t>
            </w:r>
          </w:p>
          <w:p>
            <w:pPr>
              <w:spacing w:line="520" w:lineRule="exact"/>
              <w:rPr>
                <w:rFonts w:eastAsia="仿宋_GB2312"/>
                <w:sz w:val="28"/>
                <w:szCs w:val="28"/>
              </w:rPr>
            </w:pPr>
            <w:r>
              <w:rPr>
                <w:rFonts w:hint="eastAsia" w:eastAsia="仿宋_GB2312"/>
                <w:sz w:val="28"/>
                <w:szCs w:val="28"/>
              </w:rPr>
              <w:t>(2)预先检查规范不适当；</w:t>
            </w:r>
          </w:p>
          <w:p>
            <w:pPr>
              <w:spacing w:line="520" w:lineRule="exact"/>
              <w:rPr>
                <w:rFonts w:eastAsia="仿宋_GB2312"/>
                <w:sz w:val="28"/>
                <w:szCs w:val="28"/>
              </w:rPr>
            </w:pPr>
            <w:r>
              <w:rPr>
                <w:rFonts w:hint="eastAsia" w:eastAsia="仿宋_GB2312"/>
                <w:sz w:val="28"/>
                <w:szCs w:val="28"/>
              </w:rPr>
              <w:t>(3)操作说明书不准确、清晰；</w:t>
            </w:r>
          </w:p>
        </w:tc>
        <w:tc>
          <w:tcPr>
            <w:tcW w:w="2987" w:type="dxa"/>
            <w:vAlign w:val="center"/>
          </w:tcPr>
          <w:p>
            <w:pPr>
              <w:spacing w:line="520" w:lineRule="exact"/>
              <w:rPr>
                <w:rFonts w:eastAsia="仿宋_GB2312"/>
                <w:sz w:val="28"/>
                <w:szCs w:val="28"/>
              </w:rPr>
            </w:pPr>
            <w:r>
              <w:rPr>
                <w:rFonts w:hint="eastAsia" w:eastAsia="仿宋_GB2312"/>
                <w:sz w:val="28"/>
                <w:szCs w:val="28"/>
              </w:rPr>
              <w:t>包装破损无法识别</w:t>
            </w:r>
          </w:p>
          <w:p>
            <w:pPr>
              <w:spacing w:line="520" w:lineRule="exact"/>
              <w:rPr>
                <w:rFonts w:eastAsia="仿宋_GB2312"/>
                <w:sz w:val="28"/>
                <w:szCs w:val="28"/>
              </w:rPr>
            </w:pPr>
            <w:r>
              <w:rPr>
                <w:rFonts w:hint="eastAsia" w:eastAsia="仿宋_GB2312"/>
                <w:sz w:val="28"/>
                <w:szCs w:val="28"/>
              </w:rPr>
              <w:t>操作要点不突出</w:t>
            </w:r>
          </w:p>
          <w:p>
            <w:pPr>
              <w:spacing w:line="520" w:lineRule="exact"/>
              <w:rPr>
                <w:rFonts w:eastAsia="仿宋_GB2312"/>
                <w:sz w:val="28"/>
                <w:szCs w:val="28"/>
              </w:rPr>
            </w:pPr>
          </w:p>
        </w:tc>
        <w:tc>
          <w:tcPr>
            <w:tcW w:w="2881" w:type="dxa"/>
            <w:vAlign w:val="center"/>
          </w:tcPr>
          <w:p>
            <w:pPr>
              <w:spacing w:line="520" w:lineRule="exact"/>
              <w:rPr>
                <w:rFonts w:eastAsia="仿宋_GB2312"/>
                <w:sz w:val="28"/>
                <w:szCs w:val="28"/>
              </w:rPr>
            </w:pPr>
            <w:r>
              <w:rPr>
                <w:rFonts w:hint="eastAsia" w:eastAsia="仿宋_GB2312"/>
                <w:sz w:val="28"/>
                <w:szCs w:val="28"/>
              </w:rPr>
              <w:t>无法保证使用安全性</w:t>
            </w:r>
          </w:p>
          <w:p>
            <w:pPr>
              <w:spacing w:line="520" w:lineRule="exact"/>
              <w:rPr>
                <w:rFonts w:eastAsia="仿宋_GB2312"/>
                <w:sz w:val="28"/>
                <w:szCs w:val="28"/>
              </w:rPr>
            </w:pPr>
            <w:r>
              <w:rPr>
                <w:rFonts w:hint="eastAsia" w:eastAsia="仿宋_GB2312"/>
                <w:sz w:val="28"/>
                <w:szCs w:val="28"/>
              </w:rPr>
              <w:t>导致操作失误</w:t>
            </w:r>
          </w:p>
          <w:p>
            <w:pPr>
              <w:spacing w:line="520" w:lineRule="exact"/>
              <w:rPr>
                <w:rFonts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由不熟练/未经培训的人员使用</w:t>
            </w:r>
          </w:p>
        </w:tc>
        <w:tc>
          <w:tcPr>
            <w:tcW w:w="2987" w:type="dxa"/>
            <w:vAlign w:val="center"/>
          </w:tcPr>
          <w:p>
            <w:pPr>
              <w:spacing w:line="520" w:lineRule="exact"/>
              <w:rPr>
                <w:rFonts w:eastAsia="仿宋_GB2312"/>
                <w:sz w:val="28"/>
                <w:szCs w:val="28"/>
              </w:rPr>
            </w:pPr>
            <w:r>
              <w:rPr>
                <w:rFonts w:hint="eastAsia" w:eastAsia="仿宋_GB2312"/>
                <w:sz w:val="28"/>
                <w:szCs w:val="28"/>
              </w:rPr>
              <w:t>操作不熟练、操作失误；</w:t>
            </w:r>
          </w:p>
          <w:p>
            <w:pPr>
              <w:spacing w:line="520" w:lineRule="exact"/>
              <w:rPr>
                <w:rFonts w:eastAsia="仿宋_GB2312"/>
                <w:sz w:val="28"/>
                <w:szCs w:val="28"/>
              </w:rPr>
            </w:pPr>
            <w:r>
              <w:rPr>
                <w:rFonts w:hint="eastAsia" w:eastAsia="仿宋_GB2312"/>
                <w:sz w:val="28"/>
                <w:szCs w:val="28"/>
              </w:rPr>
              <w:t>规格型号选用错误、成人儿童或幼儿混用；</w:t>
            </w:r>
          </w:p>
          <w:p>
            <w:pPr>
              <w:spacing w:line="520" w:lineRule="exact"/>
              <w:ind w:left="280" w:hanging="280" w:hangingChars="100"/>
              <w:rPr>
                <w:rFonts w:eastAsia="仿宋_GB2312"/>
                <w:sz w:val="28"/>
                <w:szCs w:val="28"/>
              </w:rPr>
            </w:pPr>
            <w:r>
              <w:rPr>
                <w:rFonts w:hint="eastAsia" w:eastAsia="仿宋_GB2312"/>
                <w:sz w:val="28"/>
                <w:szCs w:val="28"/>
              </w:rPr>
              <w:t>连接不正确或不到位；</w:t>
            </w:r>
          </w:p>
        </w:tc>
        <w:tc>
          <w:tcPr>
            <w:tcW w:w="2881" w:type="dxa"/>
            <w:vAlign w:val="center"/>
          </w:tcPr>
          <w:p>
            <w:pPr>
              <w:spacing w:line="520" w:lineRule="exact"/>
              <w:rPr>
                <w:rFonts w:eastAsia="仿宋_GB2312"/>
                <w:sz w:val="28"/>
                <w:szCs w:val="28"/>
              </w:rPr>
            </w:pPr>
            <w:r>
              <w:rPr>
                <w:rFonts w:hint="eastAsia" w:eastAsia="仿宋_GB2312"/>
                <w:sz w:val="28"/>
                <w:szCs w:val="28"/>
              </w:rPr>
              <w:t>导致气流未能输入呼吸道、气流泄漏、压疮、幽闭恐惧、气体进入胃肠道引起腹胀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sz w:val="28"/>
                <w:szCs w:val="28"/>
              </w:rPr>
              <w:t>对一次性使用面罩很可能再次使用的危害警告不适当</w:t>
            </w:r>
          </w:p>
        </w:tc>
        <w:tc>
          <w:tcPr>
            <w:tcW w:w="2987" w:type="dxa"/>
            <w:vAlign w:val="center"/>
          </w:tcPr>
          <w:p>
            <w:pPr>
              <w:spacing w:line="520" w:lineRule="exact"/>
              <w:rPr>
                <w:rFonts w:eastAsia="仿宋_GB2312"/>
                <w:sz w:val="28"/>
                <w:szCs w:val="28"/>
              </w:rPr>
            </w:pPr>
            <w:r>
              <w:rPr>
                <w:rFonts w:hint="eastAsia" w:eastAsia="仿宋_GB2312"/>
                <w:sz w:val="28"/>
                <w:szCs w:val="28"/>
              </w:rPr>
              <w:t>产品标识没有明确</w:t>
            </w:r>
          </w:p>
          <w:p>
            <w:pPr>
              <w:spacing w:line="520" w:lineRule="exact"/>
              <w:rPr>
                <w:rFonts w:eastAsia="仿宋_GB2312"/>
                <w:sz w:val="28"/>
                <w:szCs w:val="28"/>
              </w:rPr>
            </w:pPr>
            <w:r>
              <w:rPr>
                <w:rFonts w:hint="eastAsia" w:eastAsia="仿宋_GB2312"/>
                <w:sz w:val="28"/>
                <w:szCs w:val="28"/>
              </w:rPr>
              <w:t>造成重复使用</w:t>
            </w:r>
          </w:p>
          <w:p>
            <w:pPr>
              <w:spacing w:line="520" w:lineRule="exact"/>
              <w:rPr>
                <w:rFonts w:eastAsia="仿宋_GB2312"/>
                <w:sz w:val="28"/>
                <w:szCs w:val="28"/>
              </w:rPr>
            </w:pPr>
          </w:p>
        </w:tc>
        <w:tc>
          <w:tcPr>
            <w:tcW w:w="2881" w:type="dxa"/>
            <w:vAlign w:val="center"/>
          </w:tcPr>
          <w:p>
            <w:pPr>
              <w:spacing w:line="520" w:lineRule="exact"/>
              <w:rPr>
                <w:rFonts w:eastAsia="仿宋_GB2312"/>
                <w:sz w:val="28"/>
                <w:szCs w:val="28"/>
              </w:rPr>
            </w:pPr>
            <w:r>
              <w:rPr>
                <w:rFonts w:hint="eastAsia" w:eastAsia="仿宋_GB2312"/>
                <w:sz w:val="28"/>
                <w:szCs w:val="28"/>
              </w:rPr>
              <w:t>引起感染、交叉感染</w:t>
            </w:r>
          </w:p>
          <w:p>
            <w:pPr>
              <w:spacing w:line="520" w:lineRule="exact"/>
              <w:rPr>
                <w:rFonts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z w:val="28"/>
                <w:szCs w:val="28"/>
              </w:rPr>
            </w:pPr>
          </w:p>
        </w:tc>
        <w:tc>
          <w:tcPr>
            <w:tcW w:w="2160" w:type="dxa"/>
            <w:vAlign w:val="center"/>
          </w:tcPr>
          <w:p>
            <w:pPr>
              <w:spacing w:line="520" w:lineRule="exact"/>
              <w:rPr>
                <w:rFonts w:eastAsia="仿宋_GB2312"/>
                <w:sz w:val="28"/>
                <w:szCs w:val="28"/>
              </w:rPr>
            </w:pPr>
            <w:r>
              <w:rPr>
                <w:rFonts w:hint="eastAsia" w:eastAsia="仿宋_GB2312"/>
                <w:color w:val="000000"/>
                <w:kern w:val="0"/>
                <w:sz w:val="28"/>
                <w:szCs w:val="28"/>
              </w:rPr>
              <w:t>对多患者重复使用的面罩</w:t>
            </w:r>
          </w:p>
        </w:tc>
        <w:tc>
          <w:tcPr>
            <w:tcW w:w="2987"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灭菌消毒方式说明不充分</w:t>
            </w:r>
          </w:p>
        </w:tc>
        <w:tc>
          <w:tcPr>
            <w:tcW w:w="2881" w:type="dxa"/>
            <w:vAlign w:val="center"/>
          </w:tcPr>
          <w:p>
            <w:pPr>
              <w:spacing w:line="520" w:lineRule="exact"/>
              <w:rPr>
                <w:rFonts w:eastAsia="仿宋_GB2312"/>
                <w:color w:val="000000"/>
                <w:kern w:val="0"/>
                <w:sz w:val="28"/>
                <w:szCs w:val="28"/>
              </w:rPr>
            </w:pPr>
            <w:r>
              <w:rPr>
                <w:rFonts w:hint="eastAsia" w:eastAsia="仿宋_GB2312"/>
                <w:sz w:val="28"/>
                <w:szCs w:val="28"/>
              </w:rPr>
              <w:t>引起感染、交叉感染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pPr>
              <w:spacing w:line="520" w:lineRule="exact"/>
              <w:rPr>
                <w:rFonts w:eastAsia="仿宋_GB2312"/>
                <w:spacing w:val="-6"/>
                <w:kern w:val="24"/>
                <w:sz w:val="28"/>
                <w:szCs w:val="28"/>
              </w:rPr>
            </w:pPr>
            <w:r>
              <w:rPr>
                <w:rFonts w:hint="eastAsia" w:eastAsia="仿宋_GB2312"/>
                <w:spacing w:val="-6"/>
                <w:kern w:val="24"/>
                <w:sz w:val="28"/>
                <w:szCs w:val="28"/>
              </w:rPr>
              <w:t>功能性失效和老化引起的危害</w:t>
            </w:r>
          </w:p>
        </w:tc>
        <w:tc>
          <w:tcPr>
            <w:tcW w:w="2160"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对重复使用的面罩寿命终止缺少适当的规定</w:t>
            </w:r>
          </w:p>
        </w:tc>
        <w:tc>
          <w:tcPr>
            <w:tcW w:w="2987"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没有产品标识或标示不清；</w:t>
            </w:r>
          </w:p>
          <w:p>
            <w:pPr>
              <w:spacing w:line="520" w:lineRule="exact"/>
              <w:rPr>
                <w:rFonts w:eastAsia="仿宋_GB2312"/>
                <w:color w:val="000000"/>
                <w:kern w:val="0"/>
                <w:sz w:val="28"/>
                <w:szCs w:val="28"/>
              </w:rPr>
            </w:pPr>
            <w:r>
              <w:rPr>
                <w:rFonts w:hint="eastAsia" w:eastAsia="仿宋_GB2312"/>
                <w:color w:val="000000"/>
                <w:kern w:val="0"/>
                <w:sz w:val="28"/>
                <w:szCs w:val="28"/>
              </w:rPr>
              <w:t>超出使用寿命，产品老化</w:t>
            </w:r>
          </w:p>
        </w:tc>
        <w:tc>
          <w:tcPr>
            <w:tcW w:w="2881"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超出有效期的产品被使用，造成细菌感染或因材料老化而导致产品性能不符合要求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pPr>
              <w:spacing w:line="520" w:lineRule="exact"/>
              <w:rPr>
                <w:rFonts w:eastAsia="仿宋_GB2312"/>
                <w:spacing w:val="-6"/>
                <w:kern w:val="24"/>
                <w:sz w:val="28"/>
                <w:szCs w:val="28"/>
              </w:rPr>
            </w:pPr>
          </w:p>
        </w:tc>
        <w:tc>
          <w:tcPr>
            <w:tcW w:w="2160"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不适当的包装</w:t>
            </w:r>
          </w:p>
        </w:tc>
        <w:tc>
          <w:tcPr>
            <w:tcW w:w="2987"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没有进行包装确认</w:t>
            </w:r>
          </w:p>
        </w:tc>
        <w:tc>
          <w:tcPr>
            <w:tcW w:w="2881"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造成产品污染，从而导致出现细菌感染</w:t>
            </w:r>
          </w:p>
        </w:tc>
      </w:tr>
    </w:tbl>
    <w:p>
      <w:pPr>
        <w:adjustRightInd w:val="0"/>
        <w:snapToGrid w:val="0"/>
        <w:spacing w:line="520" w:lineRule="exact"/>
        <w:ind w:firstLine="640" w:firstLineChars="200"/>
        <w:rPr>
          <w:rFonts w:eastAsia="仿宋_GB2312"/>
          <w:bCs/>
          <w:szCs w:val="32"/>
        </w:rPr>
      </w:pPr>
    </w:p>
    <w:p>
      <w:pPr>
        <w:adjustRightInd w:val="0"/>
        <w:snapToGrid w:val="0"/>
        <w:spacing w:line="520" w:lineRule="exact"/>
        <w:ind w:firstLine="640" w:firstLineChars="200"/>
        <w:rPr>
          <w:rFonts w:eastAsia="仿宋_GB2312"/>
          <w:bCs/>
          <w:szCs w:val="32"/>
        </w:rPr>
      </w:pPr>
      <w:r>
        <w:rPr>
          <w:rFonts w:eastAsia="仿宋_GB2312"/>
          <w:bCs/>
          <w:szCs w:val="32"/>
        </w:rPr>
        <w:t>2.医疗器械安全和性能基本原则清单</w:t>
      </w:r>
    </w:p>
    <w:p>
      <w:pPr>
        <w:adjustRightInd w:val="0"/>
        <w:snapToGrid w:val="0"/>
        <w:spacing w:line="520" w:lineRule="exact"/>
        <w:ind w:firstLine="640" w:firstLineChars="200"/>
        <w:rPr>
          <w:rFonts w:eastAsia="仿宋_GB2312"/>
          <w:bCs/>
          <w:szCs w:val="32"/>
        </w:rPr>
      </w:pPr>
      <w:r>
        <w:rPr>
          <w:rFonts w:eastAsia="仿宋_GB2312"/>
          <w:bCs/>
          <w:szCs w:val="32"/>
        </w:rPr>
        <w:t>说明产品符合《医疗器械安全和性能基本原则清单》各项适用要求所采用的方法，以及证明其符合性的文件。</w:t>
      </w:r>
    </w:p>
    <w:p>
      <w:pPr>
        <w:spacing w:line="520" w:lineRule="exact"/>
        <w:ind w:firstLine="640" w:firstLineChars="200"/>
        <w:rPr>
          <w:rFonts w:eastAsia="楷体_GB2312"/>
          <w:szCs w:val="32"/>
        </w:rPr>
      </w:pPr>
      <w:r>
        <w:rPr>
          <w:rFonts w:eastAsia="楷体_GB2312"/>
          <w:szCs w:val="32"/>
        </w:rPr>
        <w:t>3.</w:t>
      </w:r>
      <w:r>
        <w:rPr>
          <w:rFonts w:eastAsia="仿宋_GB2312"/>
          <w:szCs w:val="32"/>
        </w:rPr>
        <w:t>产品</w:t>
      </w:r>
      <w:bookmarkEnd w:id="20"/>
      <w:r>
        <w:rPr>
          <w:rFonts w:eastAsia="仿宋_GB2312"/>
          <w:szCs w:val="32"/>
        </w:rPr>
        <w:t>技术要求</w:t>
      </w:r>
    </w:p>
    <w:p>
      <w:pPr>
        <w:pStyle w:val="9"/>
        <w:spacing w:before="0" w:beforeAutospacing="0" w:after="0" w:afterAutospacing="0" w:line="520" w:lineRule="exact"/>
        <w:ind w:firstLine="640" w:firstLineChars="200"/>
        <w:jc w:val="both"/>
        <w:rPr>
          <w:rFonts w:ascii="Times New Roman" w:hAnsi="Times New Roman" w:eastAsia="仿宋_GB2312" w:cs="Times New Roman"/>
          <w:szCs w:val="32"/>
        </w:rPr>
      </w:pPr>
      <w:bookmarkStart w:id="21" w:name="_Toc433873350"/>
      <w:r>
        <w:rPr>
          <w:rFonts w:ascii="Times New Roman" w:hAnsi="Times New Roman" w:eastAsia="楷体_GB2312" w:cs="Times New Roman"/>
          <w:kern w:val="2"/>
          <w:sz w:val="32"/>
          <w:szCs w:val="32"/>
        </w:rPr>
        <w:t>3.1</w:t>
      </w:r>
      <w:r>
        <w:rPr>
          <w:rFonts w:ascii="Times New Roman" w:hAnsi="Times New Roman" w:eastAsia="仿宋_GB2312" w:cs="Times New Roman"/>
          <w:color w:val="000000"/>
          <w:sz w:val="32"/>
          <w:szCs w:val="32"/>
        </w:rPr>
        <w:t>产品适用的相关标准</w:t>
      </w:r>
    </w:p>
    <w:p>
      <w:pPr>
        <w:spacing w:line="520" w:lineRule="exact"/>
        <w:jc w:val="center"/>
        <w:rPr>
          <w:rFonts w:eastAsia="黑体"/>
          <w:color w:val="000000"/>
          <w:kern w:val="0"/>
          <w:sz w:val="28"/>
          <w:szCs w:val="28"/>
        </w:rPr>
      </w:pPr>
    </w:p>
    <w:p>
      <w:pPr>
        <w:spacing w:line="520" w:lineRule="exact"/>
        <w:jc w:val="center"/>
        <w:rPr>
          <w:rFonts w:eastAsia="黑体"/>
          <w:color w:val="000000"/>
          <w:kern w:val="0"/>
          <w:sz w:val="28"/>
          <w:szCs w:val="28"/>
        </w:rPr>
      </w:pPr>
      <w:r>
        <w:rPr>
          <w:rFonts w:eastAsia="黑体"/>
          <w:color w:val="000000"/>
          <w:kern w:val="0"/>
          <w:sz w:val="28"/>
          <w:szCs w:val="28"/>
        </w:rPr>
        <w:t>表2 相关产品标准</w:t>
      </w:r>
    </w:p>
    <w:tbl>
      <w:tblPr>
        <w:tblStyle w:val="11"/>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YY 0671.2</w:t>
            </w:r>
          </w:p>
        </w:tc>
        <w:tc>
          <w:tcPr>
            <w:tcW w:w="6008"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睡眠呼吸暂停治疗 第2部分：面罩和应用附件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YY 1040.1</w:t>
            </w:r>
          </w:p>
        </w:tc>
        <w:tc>
          <w:tcPr>
            <w:tcW w:w="6008" w:type="dxa"/>
            <w:vAlign w:val="center"/>
          </w:tcPr>
          <w:p>
            <w:pPr>
              <w:spacing w:line="520" w:lineRule="exact"/>
              <w:rPr>
                <w:rFonts w:eastAsia="仿宋_GB2312"/>
                <w:color w:val="000000"/>
                <w:kern w:val="0"/>
                <w:sz w:val="28"/>
                <w:szCs w:val="28"/>
              </w:rPr>
            </w:pPr>
            <w:r>
              <w:rPr>
                <w:rFonts w:hint="eastAsia" w:eastAsia="仿宋_GB2312"/>
                <w:color w:val="000000"/>
                <w:kern w:val="0"/>
                <w:sz w:val="28"/>
                <w:szCs w:val="28"/>
              </w:rPr>
              <w:t>麻醉和呼吸设备 圆锥接头 第1部分：锥头与锥套</w:t>
            </w:r>
          </w:p>
        </w:tc>
      </w:tr>
    </w:tbl>
    <w:p>
      <w:pPr>
        <w:pStyle w:val="30"/>
        <w:spacing w:line="520" w:lineRule="exact"/>
        <w:ind w:firstLine="640"/>
        <w:rPr>
          <w:rFonts w:ascii="Times New Roman" w:eastAsia="仿宋_GB2312"/>
          <w:color w:val="000000"/>
          <w:sz w:val="32"/>
          <w:szCs w:val="32"/>
        </w:rPr>
      </w:pPr>
      <w:r>
        <w:rPr>
          <w:rFonts w:ascii="Times New Roman" w:eastAsia="仿宋_GB2312"/>
          <w:color w:val="000000"/>
          <w:sz w:val="32"/>
          <w:szCs w:val="32"/>
        </w:rPr>
        <w:t xml:space="preserve">     </w:t>
      </w:r>
    </w:p>
    <w:p>
      <w:pPr>
        <w:spacing w:line="520" w:lineRule="exact"/>
        <w:ind w:firstLine="640" w:firstLineChars="200"/>
        <w:rPr>
          <w:rFonts w:eastAsia="仿宋_GB2312"/>
          <w:color w:val="000000"/>
          <w:kern w:val="0"/>
          <w:szCs w:val="32"/>
        </w:rPr>
      </w:pPr>
      <w:r>
        <w:rPr>
          <w:rFonts w:eastAsia="仿宋_GB2312"/>
          <w:color w:val="000000"/>
          <w:kern w:val="0"/>
          <w:szCs w:val="32"/>
        </w:rPr>
        <w:t>上述标准包括了产品技术要求中经常涉及到的标准。有的制造商还会根据产品的特点引用一些行业外的标准和一些较为特殊的标准。</w:t>
      </w:r>
    </w:p>
    <w:p>
      <w:pPr>
        <w:spacing w:line="520" w:lineRule="exact"/>
        <w:ind w:firstLine="640" w:firstLineChars="200"/>
        <w:outlineLvl w:val="1"/>
        <w:rPr>
          <w:rFonts w:eastAsia="仿宋_GB2312"/>
          <w:color w:val="000000"/>
          <w:szCs w:val="32"/>
        </w:rPr>
      </w:pPr>
      <w:r>
        <w:rPr>
          <w:rFonts w:eastAsia="楷体_GB2312"/>
          <w:szCs w:val="32"/>
        </w:rPr>
        <w:t>3.2</w:t>
      </w:r>
      <w:r>
        <w:rPr>
          <w:rFonts w:eastAsia="仿宋_GB2312"/>
          <w:color w:val="000000"/>
          <w:szCs w:val="32"/>
        </w:rPr>
        <w:t>主要技术指标</w:t>
      </w:r>
    </w:p>
    <w:p>
      <w:pPr>
        <w:spacing w:line="520" w:lineRule="exact"/>
        <w:ind w:firstLine="640" w:firstLineChars="200"/>
        <w:outlineLvl w:val="1"/>
        <w:rPr>
          <w:rFonts w:eastAsia="仿宋_GB2312"/>
          <w:szCs w:val="32"/>
        </w:rPr>
      </w:pPr>
      <w:r>
        <w:rPr>
          <w:rFonts w:eastAsia="仿宋_GB2312"/>
          <w:szCs w:val="32"/>
        </w:rPr>
        <w:t>本条款给出持续正压通气用面罩、口罩、鼻罩产品需要评价的性能要求，其中部分性能要求给出了定量要求，其他性能要求企业可参考相应的国家标准、行业标准，根据企业自身产品的技术特点提出相应的要求，但不得低于相关强制性国家标准、行业标准的有关要求。如有不适用条款（包括国家标准、行业标准要求），企业在产品技术要求的编制说明中必须说明理由。</w:t>
      </w:r>
    </w:p>
    <w:p>
      <w:pPr>
        <w:widowControl/>
        <w:spacing w:line="520" w:lineRule="exact"/>
        <w:jc w:val="left"/>
        <w:rPr>
          <w:rFonts w:eastAsia="仿宋_GB2312"/>
          <w:color w:val="000000"/>
          <w:kern w:val="0"/>
          <w:szCs w:val="32"/>
        </w:rPr>
        <w:sectPr>
          <w:footerReference r:id="rId3" w:type="default"/>
          <w:footerReference r:id="rId4" w:type="even"/>
          <w:pgSz w:w="11906" w:h="16838"/>
          <w:pgMar w:top="1440" w:right="1797" w:bottom="1440" w:left="1797" w:header="851" w:footer="992" w:gutter="0"/>
          <w:cols w:space="425" w:num="1"/>
          <w:docGrid w:type="lines" w:linePitch="435" w:charSpace="0"/>
        </w:sectPr>
      </w:pPr>
      <w:r>
        <w:rPr>
          <w:rFonts w:eastAsia="仿宋_GB2312"/>
          <w:color w:val="000000"/>
          <w:kern w:val="0"/>
          <w:szCs w:val="32"/>
        </w:rPr>
        <w:br w:type="page"/>
      </w:r>
    </w:p>
    <w:p>
      <w:pPr>
        <w:widowControl/>
        <w:spacing w:line="520" w:lineRule="exact"/>
        <w:jc w:val="left"/>
        <w:rPr>
          <w:rFonts w:eastAsia="仿宋_GB2312"/>
          <w:color w:val="000000"/>
          <w:kern w:val="0"/>
          <w:szCs w:val="32"/>
        </w:rPr>
      </w:pPr>
    </w:p>
    <w:p>
      <w:pPr>
        <w:spacing w:line="520" w:lineRule="exact"/>
        <w:jc w:val="center"/>
        <w:rPr>
          <w:rFonts w:eastAsia="黑体"/>
          <w:sz w:val="28"/>
          <w:szCs w:val="28"/>
        </w:rPr>
      </w:pPr>
      <w:r>
        <w:rPr>
          <w:rFonts w:eastAsia="黑体"/>
          <w:sz w:val="28"/>
          <w:szCs w:val="28"/>
        </w:rPr>
        <w:t>表3  面罩分类及详细技术指标要求</w:t>
      </w:r>
    </w:p>
    <w:tbl>
      <w:tblPr>
        <w:tblStyle w:val="11"/>
        <w:tblpPr w:leftFromText="180" w:rightFromText="180" w:vertAnchor="text" w:tblpXSpec="center" w:tblpY="1"/>
        <w:tblOverlap w:val="never"/>
        <w:tblW w:w="14174" w:type="dxa"/>
        <w:tblInd w:w="0" w:type="dxa"/>
        <w:tblLayout w:type="fixed"/>
        <w:tblCellMar>
          <w:top w:w="0" w:type="dxa"/>
          <w:left w:w="108" w:type="dxa"/>
          <w:bottom w:w="0" w:type="dxa"/>
          <w:right w:w="108" w:type="dxa"/>
        </w:tblCellMar>
      </w:tblPr>
      <w:tblGrid>
        <w:gridCol w:w="1584"/>
        <w:gridCol w:w="1584"/>
        <w:gridCol w:w="3600"/>
        <w:gridCol w:w="3690"/>
        <w:gridCol w:w="3716"/>
      </w:tblGrid>
      <w:tr>
        <w:tblPrEx>
          <w:tblCellMar>
            <w:top w:w="0" w:type="dxa"/>
            <w:left w:w="108" w:type="dxa"/>
            <w:bottom w:w="0" w:type="dxa"/>
            <w:right w:w="108" w:type="dxa"/>
          </w:tblCellMar>
        </w:tblPrEx>
        <w:trPr>
          <w:trHeight w:val="765" w:hRule="atLeast"/>
        </w:trPr>
        <w:tc>
          <w:tcPr>
            <w:tcW w:w="3168" w:type="dxa"/>
            <w:gridSpan w:val="2"/>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面罩分类中文名称</w:t>
            </w:r>
          </w:p>
        </w:tc>
        <w:tc>
          <w:tcPr>
            <w:tcW w:w="3600" w:type="dxa"/>
            <w:vMerge w:val="restart"/>
            <w:tcBorders>
              <w:top w:val="single" w:color="auto" w:sz="4" w:space="0"/>
              <w:left w:val="nil"/>
              <w:right w:val="single" w:color="auto" w:sz="4" w:space="0"/>
            </w:tcBorders>
            <w:shd w:val="clear" w:color="auto" w:fill="auto"/>
            <w:noWrap/>
            <w:vAlign w:val="center"/>
          </w:tcPr>
          <w:p>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鼻罩</w:t>
            </w:r>
          </w:p>
        </w:tc>
        <w:tc>
          <w:tcPr>
            <w:tcW w:w="74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口罩、口鼻罩</w:t>
            </w:r>
          </w:p>
        </w:tc>
      </w:tr>
      <w:tr>
        <w:tblPrEx>
          <w:tblCellMar>
            <w:top w:w="0" w:type="dxa"/>
            <w:left w:w="108" w:type="dxa"/>
            <w:bottom w:w="0" w:type="dxa"/>
            <w:right w:w="108" w:type="dxa"/>
          </w:tblCellMar>
        </w:tblPrEx>
        <w:trPr>
          <w:trHeight w:val="765" w:hRule="atLeast"/>
        </w:trPr>
        <w:tc>
          <w:tcPr>
            <w:tcW w:w="316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p>
        </w:tc>
        <w:tc>
          <w:tcPr>
            <w:tcW w:w="3600" w:type="dxa"/>
            <w:vMerge w:val="continue"/>
            <w:tcBorders>
              <w:left w:val="nil"/>
              <w:bottom w:val="single" w:color="auto" w:sz="4" w:space="0"/>
              <w:right w:val="single" w:color="auto" w:sz="4" w:space="0"/>
            </w:tcBorders>
            <w:shd w:val="clear" w:color="auto" w:fill="auto"/>
            <w:noWrap/>
            <w:vAlign w:val="center"/>
          </w:tcPr>
          <w:p>
            <w:pPr>
              <w:widowControl/>
              <w:adjustRightInd w:val="0"/>
              <w:snapToGrid w:val="0"/>
              <w:spacing w:line="520" w:lineRule="exact"/>
              <w:jc w:val="center"/>
              <w:rPr>
                <w:rFonts w:eastAsia="仿宋_GB2312"/>
                <w:kern w:val="0"/>
                <w:sz w:val="28"/>
                <w:szCs w:val="28"/>
              </w:rPr>
            </w:pPr>
          </w:p>
        </w:tc>
        <w:tc>
          <w:tcPr>
            <w:tcW w:w="369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jc w:val="center"/>
              <w:rPr>
                <w:rFonts w:eastAsia="仿宋_GB2312"/>
                <w:kern w:val="0"/>
                <w:sz w:val="28"/>
                <w:szCs w:val="28"/>
              </w:rPr>
            </w:pPr>
            <w:bookmarkStart w:id="28" w:name="_GoBack"/>
            <w:bookmarkEnd w:id="28"/>
            <w:r>
              <w:rPr>
                <w:rFonts w:hint="eastAsia" w:eastAsia="仿宋_GB2312"/>
                <w:kern w:val="0"/>
                <w:sz w:val="28"/>
                <w:szCs w:val="28"/>
              </w:rPr>
              <w:t>含防窒息阀</w:t>
            </w:r>
          </w:p>
        </w:tc>
        <w:tc>
          <w:tcPr>
            <w:tcW w:w="371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不含防窒息阀和排气口</w:t>
            </w:r>
          </w:p>
        </w:tc>
      </w:tr>
      <w:tr>
        <w:tblPrEx>
          <w:tblCellMar>
            <w:top w:w="0" w:type="dxa"/>
            <w:left w:w="108" w:type="dxa"/>
            <w:bottom w:w="0" w:type="dxa"/>
            <w:right w:w="108" w:type="dxa"/>
          </w:tblCellMar>
        </w:tblPrEx>
        <w:trPr>
          <w:trHeight w:val="1033"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1.外观</w:t>
            </w:r>
          </w:p>
        </w:tc>
        <w:tc>
          <w:tcPr>
            <w:tcW w:w="11006" w:type="dxa"/>
            <w:gridSpan w:val="3"/>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kern w:val="0"/>
                <w:sz w:val="28"/>
                <w:szCs w:val="28"/>
              </w:rPr>
            </w:pPr>
            <w:r>
              <w:rPr>
                <w:rFonts w:hint="eastAsia" w:eastAsia="仿宋_GB2312"/>
                <w:sz w:val="28"/>
                <w:szCs w:val="28"/>
              </w:rPr>
              <w:t>各组成部件齐全，表面无脏污、变形、损伤。面罩上的印字清晰，包装封口处牢固，无任何位置开裂。</w:t>
            </w:r>
          </w:p>
        </w:tc>
      </w:tr>
      <w:tr>
        <w:tblPrEx>
          <w:tblCellMar>
            <w:top w:w="0" w:type="dxa"/>
            <w:left w:w="108" w:type="dxa"/>
            <w:bottom w:w="0" w:type="dxa"/>
            <w:right w:w="108" w:type="dxa"/>
          </w:tblCellMar>
        </w:tblPrEx>
        <w:trPr>
          <w:trHeight w:val="866"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2.面罩接头</w:t>
            </w:r>
          </w:p>
        </w:tc>
        <w:tc>
          <w:tcPr>
            <w:tcW w:w="11006" w:type="dxa"/>
            <w:gridSpan w:val="3"/>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圆锥接头：满足YY 1040.1或YY 1040.2的15mm或22mm的外锥（或内锥）接头；</w:t>
            </w:r>
          </w:p>
          <w:p>
            <w:pPr>
              <w:widowControl/>
              <w:adjustRightInd w:val="0"/>
              <w:snapToGrid w:val="0"/>
              <w:spacing w:line="520" w:lineRule="exact"/>
              <w:rPr>
                <w:rFonts w:eastAsia="仿宋_GB2312"/>
                <w:kern w:val="0"/>
                <w:sz w:val="28"/>
                <w:szCs w:val="28"/>
              </w:rPr>
            </w:pPr>
            <w:r>
              <w:rPr>
                <w:rFonts w:hint="eastAsia" w:eastAsia="仿宋_GB2312"/>
                <w:kern w:val="0"/>
                <w:sz w:val="28"/>
                <w:szCs w:val="28"/>
              </w:rPr>
              <w:t>非圆锥接头：满足与管路或附件连接的功能测试要求。</w:t>
            </w:r>
          </w:p>
        </w:tc>
      </w:tr>
      <w:tr>
        <w:tblPrEx>
          <w:tblCellMar>
            <w:top w:w="0" w:type="dxa"/>
            <w:left w:w="108" w:type="dxa"/>
            <w:bottom w:w="0" w:type="dxa"/>
            <w:right w:w="108" w:type="dxa"/>
          </w:tblCellMar>
        </w:tblPrEx>
        <w:trPr>
          <w:trHeight w:val="620"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3.气阻（压力降）</w:t>
            </w:r>
          </w:p>
        </w:tc>
        <w:tc>
          <w:tcPr>
            <w:tcW w:w="11006" w:type="dxa"/>
            <w:gridSpan w:val="3"/>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YY0671.2附录C测试值</w:t>
            </w:r>
          </w:p>
        </w:tc>
      </w:tr>
      <w:tr>
        <w:tblPrEx>
          <w:tblCellMar>
            <w:top w:w="0" w:type="dxa"/>
            <w:left w:w="108" w:type="dxa"/>
            <w:bottom w:w="0" w:type="dxa"/>
            <w:right w:w="108" w:type="dxa"/>
          </w:tblCellMar>
        </w:tblPrEx>
        <w:trPr>
          <w:trHeight w:val="659"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4.排出气流</w:t>
            </w:r>
          </w:p>
        </w:tc>
        <w:tc>
          <w:tcPr>
            <w:tcW w:w="11006" w:type="dxa"/>
            <w:gridSpan w:val="3"/>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YY0671.2附录B测试所得曲线</w:t>
            </w:r>
          </w:p>
        </w:tc>
      </w:tr>
      <w:tr>
        <w:tblPrEx>
          <w:tblCellMar>
            <w:top w:w="0" w:type="dxa"/>
            <w:left w:w="108" w:type="dxa"/>
            <w:bottom w:w="0" w:type="dxa"/>
            <w:right w:w="108" w:type="dxa"/>
          </w:tblCellMar>
        </w:tblPrEx>
        <w:trPr>
          <w:trHeight w:val="800"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5.防窒息阀压力</w:t>
            </w:r>
          </w:p>
        </w:tc>
        <w:tc>
          <w:tcPr>
            <w:tcW w:w="360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开启压力应小于面罩最小额定压力</w:t>
            </w:r>
          </w:p>
        </w:tc>
        <w:tc>
          <w:tcPr>
            <w:tcW w:w="371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r>
      <w:tr>
        <w:tblPrEx>
          <w:tblCellMar>
            <w:top w:w="0" w:type="dxa"/>
            <w:left w:w="108" w:type="dxa"/>
            <w:bottom w:w="0" w:type="dxa"/>
            <w:right w:w="108" w:type="dxa"/>
          </w:tblCellMar>
        </w:tblPrEx>
        <w:trPr>
          <w:trHeight w:val="134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6.单一故障状态下的呼吸——吸气和呼气阻力</w:t>
            </w:r>
          </w:p>
        </w:tc>
        <w:tc>
          <w:tcPr>
            <w:tcW w:w="360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流量为-50L/min或+50L/min时，气阻不应超过10hPa(10cm H</w:t>
            </w:r>
            <w:r>
              <w:rPr>
                <w:rFonts w:hint="eastAsia" w:eastAsia="仿宋_GB2312"/>
                <w:sz w:val="28"/>
                <w:szCs w:val="28"/>
                <w:vertAlign w:val="subscript"/>
              </w:rPr>
              <w:t>2</w:t>
            </w:r>
            <w:r>
              <w:rPr>
                <w:rFonts w:hint="eastAsia" w:eastAsia="仿宋_GB2312"/>
                <w:sz w:val="28"/>
                <w:szCs w:val="28"/>
              </w:rPr>
              <w:t>O)/(L/s)</w:t>
            </w:r>
          </w:p>
        </w:tc>
        <w:tc>
          <w:tcPr>
            <w:tcW w:w="371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r>
      <w:tr>
        <w:tblPrEx>
          <w:tblCellMar>
            <w:top w:w="0" w:type="dxa"/>
            <w:left w:w="108" w:type="dxa"/>
            <w:bottom w:w="0" w:type="dxa"/>
            <w:right w:w="108" w:type="dxa"/>
          </w:tblCellMar>
        </w:tblPrEx>
        <w:trPr>
          <w:trHeight w:val="1253" w:hRule="atLeast"/>
        </w:trPr>
        <w:tc>
          <w:tcPr>
            <w:tcW w:w="1584"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7.CO</w:t>
            </w:r>
            <w:r>
              <w:rPr>
                <w:rFonts w:hint="eastAsia" w:eastAsia="仿宋_GB2312"/>
                <w:kern w:val="0"/>
                <w:sz w:val="28"/>
                <w:szCs w:val="28"/>
                <w:vertAlign w:val="subscript"/>
              </w:rPr>
              <w:t>2</w:t>
            </w:r>
            <w:r>
              <w:rPr>
                <w:rFonts w:hint="eastAsia" w:eastAsia="仿宋_GB2312"/>
                <w:kern w:val="0"/>
                <w:sz w:val="28"/>
                <w:szCs w:val="28"/>
              </w:rPr>
              <w:t>重复呼吸</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正常状态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69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71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r>
      <w:tr>
        <w:tblPrEx>
          <w:tblCellMar>
            <w:top w:w="0" w:type="dxa"/>
            <w:left w:w="108" w:type="dxa"/>
            <w:bottom w:w="0" w:type="dxa"/>
            <w:right w:w="108" w:type="dxa"/>
          </w:tblCellMar>
        </w:tblPrEx>
        <w:trPr>
          <w:trHeight w:val="893" w:hRule="atLeast"/>
        </w:trPr>
        <w:tc>
          <w:tcPr>
            <w:tcW w:w="1584"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单一故障状态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kern w:val="0"/>
                <w:sz w:val="28"/>
                <w:szCs w:val="28"/>
              </w:rPr>
              <w:t>CO</w:t>
            </w:r>
            <w:r>
              <w:rPr>
                <w:rFonts w:hint="eastAsia" w:eastAsia="仿宋_GB2312"/>
                <w:kern w:val="0"/>
                <w:sz w:val="28"/>
                <w:szCs w:val="28"/>
                <w:vertAlign w:val="subscript"/>
              </w:rPr>
              <w:t>2</w:t>
            </w:r>
            <w:r>
              <w:rPr>
                <w:rFonts w:hint="eastAsia" w:eastAsia="仿宋_GB2312"/>
                <w:kern w:val="0"/>
                <w:sz w:val="28"/>
                <w:szCs w:val="28"/>
              </w:rPr>
              <w:t>相对浓度增加不超过60%</w:t>
            </w:r>
          </w:p>
        </w:tc>
        <w:tc>
          <w:tcPr>
            <w:tcW w:w="371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不适用</w:t>
            </w:r>
          </w:p>
        </w:tc>
      </w:tr>
      <w:tr>
        <w:tblPrEx>
          <w:tblCellMar>
            <w:top w:w="0" w:type="dxa"/>
            <w:left w:w="108" w:type="dxa"/>
            <w:bottom w:w="0" w:type="dxa"/>
            <w:right w:w="108" w:type="dxa"/>
          </w:tblCellMar>
        </w:tblPrEx>
        <w:trPr>
          <w:trHeight w:val="578"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8.振动和噪声</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1m处A计权声压水平不超过50dB（A）</w:t>
            </w:r>
          </w:p>
        </w:tc>
      </w:tr>
      <w:tr>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9.死腔容量（如适用）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测量同型号面罩各规格空间相对大小（mL）。</w:t>
            </w:r>
          </w:p>
        </w:tc>
      </w:tr>
      <w:tr>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10.呼吸系统过滤（如适用）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应遵循相关标准（如 YY/T 0753.1和YY/T 0753.2）的要求。</w:t>
            </w:r>
          </w:p>
        </w:tc>
      </w:tr>
      <w:tr>
        <w:tblPrEx>
          <w:tblCellMar>
            <w:top w:w="0" w:type="dxa"/>
            <w:left w:w="108" w:type="dxa"/>
            <w:bottom w:w="0" w:type="dxa"/>
            <w:right w:w="108" w:type="dxa"/>
          </w:tblCellMar>
        </w:tblPrEx>
        <w:trPr>
          <w:trHeight w:val="851"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11.与其他医疗器械联用时的性能变化（如适用）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气阻（压力降）、排出气流、</w:t>
            </w:r>
            <w:r>
              <w:rPr>
                <w:rFonts w:hint="eastAsia" w:eastAsia="仿宋_GB2312"/>
                <w:kern w:val="0"/>
                <w:sz w:val="28"/>
                <w:szCs w:val="28"/>
              </w:rPr>
              <w:t>振动和噪声</w:t>
            </w:r>
          </w:p>
        </w:tc>
      </w:tr>
      <w:tr>
        <w:tblPrEx>
          <w:tblCellMar>
            <w:top w:w="0" w:type="dxa"/>
            <w:left w:w="108" w:type="dxa"/>
            <w:bottom w:w="0" w:type="dxa"/>
            <w:right w:w="108" w:type="dxa"/>
          </w:tblCellMar>
        </w:tblPrEx>
        <w:trPr>
          <w:trHeight w:val="867"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12.微生物试验（若适用）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应按照 GB 15979或GB 15980要求，a)细菌菌落总数≤20cfu/g；  b) 大肠菌群、致病性化脓菌不得检出；c) 真菌菌落总数：不得检出。</w:t>
            </w:r>
          </w:p>
        </w:tc>
      </w:tr>
      <w:tr>
        <w:tblPrEx>
          <w:tblCellMar>
            <w:top w:w="0" w:type="dxa"/>
            <w:left w:w="108" w:type="dxa"/>
            <w:bottom w:w="0" w:type="dxa"/>
            <w:right w:w="108" w:type="dxa"/>
          </w:tblCellMar>
        </w:tblPrEx>
        <w:trPr>
          <w:trHeight w:val="71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13.无菌（若适用）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按照GB/T14233.2规定方法进行，应无菌。</w:t>
            </w:r>
          </w:p>
        </w:tc>
      </w:tr>
      <w:tr>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14.环氧乙烷残留（若适用）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按照GB/T14233.1规定方法进行，每只面罩的环氧乙烷残留量应不大于10μg/g。</w:t>
            </w:r>
          </w:p>
        </w:tc>
      </w:tr>
      <w:tr>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15.化学性能（如适用）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按照GB/T14233.1规定方法进行，还原物质、金属离子、酸碱度应符合要求。</w:t>
            </w:r>
          </w:p>
        </w:tc>
      </w:tr>
      <w:tr>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20" w:lineRule="exact"/>
              <w:rPr>
                <w:rFonts w:eastAsia="仿宋_GB2312"/>
                <w:kern w:val="0"/>
                <w:sz w:val="28"/>
                <w:szCs w:val="28"/>
              </w:rPr>
            </w:pPr>
            <w:r>
              <w:rPr>
                <w:rFonts w:hint="eastAsia" w:eastAsia="仿宋_GB2312"/>
                <w:kern w:val="0"/>
                <w:sz w:val="28"/>
                <w:szCs w:val="28"/>
              </w:rPr>
              <w:t>16.生物性能</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520" w:lineRule="exact"/>
              <w:rPr>
                <w:rFonts w:eastAsia="仿宋_GB2312"/>
                <w:sz w:val="28"/>
                <w:szCs w:val="28"/>
              </w:rPr>
            </w:pPr>
            <w:r>
              <w:rPr>
                <w:rFonts w:hint="eastAsia" w:eastAsia="仿宋_GB2312"/>
                <w:sz w:val="28"/>
                <w:szCs w:val="28"/>
              </w:rPr>
              <w:t>应按照GB/T 16886.1的要求，</w:t>
            </w:r>
            <w:r>
              <w:rPr>
                <w:rStyle w:val="29"/>
                <w:rFonts w:hint="eastAsia" w:eastAsia="仿宋_GB2312"/>
                <w:bCs/>
                <w:sz w:val="28"/>
                <w:szCs w:val="28"/>
              </w:rPr>
              <w:t>进行至少如下评价：</w:t>
            </w:r>
            <w:r>
              <w:rPr>
                <w:rFonts w:hint="eastAsia" w:eastAsia="仿宋_GB2312"/>
                <w:sz w:val="28"/>
                <w:szCs w:val="28"/>
              </w:rPr>
              <w:t>细胞毒性、皮肤刺激、迟发型超敏反应。</w:t>
            </w:r>
          </w:p>
        </w:tc>
      </w:tr>
    </w:tbl>
    <w:p>
      <w:pPr>
        <w:spacing w:line="520" w:lineRule="exact"/>
        <w:rPr>
          <w:rFonts w:eastAsia="黑体"/>
          <w:szCs w:val="32"/>
        </w:rPr>
        <w:sectPr>
          <w:pgSz w:w="16838" w:h="11906" w:orient="landscape"/>
          <w:pgMar w:top="1588" w:right="2098" w:bottom="1588" w:left="2098" w:header="851" w:footer="992" w:gutter="0"/>
          <w:cols w:space="425" w:num="1"/>
          <w:docGrid w:type="lines" w:linePitch="435" w:charSpace="0"/>
        </w:sectPr>
      </w:pPr>
    </w:p>
    <w:bookmarkEnd w:id="21"/>
    <w:p>
      <w:pPr>
        <w:adjustRightInd w:val="0"/>
        <w:snapToGrid w:val="0"/>
        <w:spacing w:line="520" w:lineRule="exact"/>
        <w:ind w:firstLine="640" w:firstLineChars="200"/>
        <w:rPr>
          <w:rFonts w:eastAsia="仿宋_GB2312"/>
          <w:bCs/>
          <w:szCs w:val="32"/>
        </w:rPr>
      </w:pPr>
      <w:r>
        <w:rPr>
          <w:rFonts w:eastAsia="楷体_GB2312"/>
          <w:szCs w:val="32"/>
        </w:rPr>
        <w:t>4.</w:t>
      </w:r>
      <w:r>
        <w:rPr>
          <w:rFonts w:eastAsia="仿宋_GB2312"/>
          <w:color w:val="000000"/>
          <w:szCs w:val="32"/>
        </w:rPr>
        <w:t xml:space="preserve"> </w:t>
      </w:r>
      <w:r>
        <w:rPr>
          <w:rFonts w:eastAsia="仿宋_GB2312"/>
          <w:bCs/>
          <w:szCs w:val="32"/>
        </w:rPr>
        <w:t>产品检验及典型性样品</w:t>
      </w:r>
    </w:p>
    <w:p>
      <w:pPr>
        <w:spacing w:line="520" w:lineRule="exact"/>
        <w:ind w:firstLine="640" w:firstLineChars="200"/>
        <w:rPr>
          <w:rFonts w:eastAsia="仿宋_GB2312"/>
          <w:szCs w:val="32"/>
        </w:rPr>
      </w:pPr>
      <w:r>
        <w:rPr>
          <w:rFonts w:eastAsia="仿宋_GB2312"/>
          <w:szCs w:val="32"/>
        </w:rPr>
        <w:t>注册申请人应提供符合医疗器械申报注册法规文件要求的检测报告。应提供检验样品型号规格的选择依据，所检验型号应当是本注册单元内能够代表其他型号安全性和有效性的典型产品，如果检测结果不能覆盖本注册单元，还应选择其他型号进行差异性检验。</w:t>
      </w:r>
    </w:p>
    <w:p>
      <w:pPr>
        <w:spacing w:line="520" w:lineRule="exact"/>
        <w:ind w:firstLine="640" w:firstLineChars="200"/>
        <w:outlineLvl w:val="1"/>
        <w:rPr>
          <w:rFonts w:eastAsia="仿宋_GB2312"/>
          <w:szCs w:val="32"/>
        </w:rPr>
      </w:pPr>
      <w:r>
        <w:rPr>
          <w:rFonts w:eastAsia="仿宋_GB2312"/>
          <w:szCs w:val="32"/>
        </w:rPr>
        <w:t>举例：同型号面罩大号规格的生物、物理等性能指标涵盖小号规格产品的指标，能够代表其安全性、有效性。所以同型号大号规格与小号规格作为一个注册单元时，大号规格应作为这个注册单元中的典型产品。</w:t>
      </w:r>
    </w:p>
    <w:p>
      <w:pPr>
        <w:adjustRightInd w:val="0"/>
        <w:snapToGrid w:val="0"/>
        <w:spacing w:line="520" w:lineRule="exact"/>
        <w:ind w:firstLine="640" w:firstLineChars="200"/>
        <w:rPr>
          <w:rFonts w:eastAsia="仿宋_GB2312"/>
          <w:szCs w:val="32"/>
        </w:rPr>
      </w:pPr>
      <w:r>
        <w:rPr>
          <w:rFonts w:eastAsia="仿宋_GB2312"/>
          <w:bCs/>
          <w:szCs w:val="32"/>
        </w:rPr>
        <w:t>5.研究资料</w:t>
      </w:r>
    </w:p>
    <w:p>
      <w:pPr>
        <w:adjustRightInd w:val="0"/>
        <w:snapToGrid w:val="0"/>
        <w:spacing w:line="520" w:lineRule="exact"/>
        <w:ind w:firstLine="640" w:firstLineChars="200"/>
        <w:rPr>
          <w:rFonts w:eastAsia="仿宋_GB2312"/>
          <w:szCs w:val="32"/>
        </w:rPr>
      </w:pPr>
      <w:r>
        <w:rPr>
          <w:rFonts w:eastAsia="仿宋_GB2312"/>
          <w:szCs w:val="32"/>
        </w:rPr>
        <w:t>根据申报产品适用范围和技术特征，提供非临床研究综述，逐项描述所开展的研究，概述研究方法和研究结论。研究资料中的项目、方法、来源和验证等，宜包含并多于技术要求相应条款，并可以作为后者的制定依据和理由。</w:t>
      </w:r>
    </w:p>
    <w:p>
      <w:pPr>
        <w:adjustRightInd w:val="0"/>
        <w:snapToGrid w:val="0"/>
        <w:spacing w:line="520" w:lineRule="exact"/>
        <w:ind w:firstLine="640" w:firstLineChars="200"/>
        <w:rPr>
          <w:rFonts w:eastAsia="仿宋_GB2312"/>
          <w:bCs/>
          <w:szCs w:val="32"/>
        </w:rPr>
      </w:pPr>
      <w:r>
        <w:rPr>
          <w:rFonts w:eastAsia="仿宋_GB2312"/>
          <w:szCs w:val="32"/>
        </w:rPr>
        <w:t>应当从技术层面论述申报产品的设计、技术特征、性能指标及制定依据、灭菌验证等。不同原材料、不同灭菌方式的产品，应分别开展相关研究，内容至少应包含但不限于以下方面：</w:t>
      </w:r>
    </w:p>
    <w:p>
      <w:pPr>
        <w:adjustRightInd w:val="0"/>
        <w:snapToGrid w:val="0"/>
        <w:spacing w:line="520" w:lineRule="exact"/>
        <w:ind w:firstLine="640" w:firstLineChars="200"/>
        <w:rPr>
          <w:rFonts w:eastAsia="仿宋_GB2312"/>
          <w:szCs w:val="32"/>
        </w:rPr>
      </w:pPr>
      <w:bookmarkStart w:id="22" w:name="_Toc431215386"/>
      <w:r>
        <w:rPr>
          <w:rFonts w:eastAsia="仿宋_GB2312"/>
          <w:bCs/>
          <w:szCs w:val="32"/>
        </w:rPr>
        <w:t>5.1</w:t>
      </w:r>
      <w:bookmarkEnd w:id="22"/>
      <w:bookmarkStart w:id="23" w:name="_Toc431215388"/>
      <w:r>
        <w:rPr>
          <w:rFonts w:eastAsia="仿宋_GB2312"/>
          <w:bCs/>
          <w:szCs w:val="32"/>
        </w:rPr>
        <w:t>产品性能</w:t>
      </w:r>
      <w:bookmarkEnd w:id="23"/>
      <w:r>
        <w:rPr>
          <w:rFonts w:eastAsia="仿宋_GB2312"/>
          <w:bCs/>
          <w:szCs w:val="32"/>
        </w:rPr>
        <w:t>研究</w:t>
      </w:r>
    </w:p>
    <w:p>
      <w:pPr>
        <w:tabs>
          <w:tab w:val="left" w:pos="540"/>
        </w:tabs>
        <w:adjustRightInd w:val="0"/>
        <w:snapToGrid w:val="0"/>
        <w:spacing w:line="520" w:lineRule="exact"/>
        <w:ind w:firstLine="640" w:firstLineChars="200"/>
        <w:rPr>
          <w:rFonts w:eastAsia="仿宋_GB2312"/>
          <w:szCs w:val="32"/>
        </w:rPr>
      </w:pPr>
      <w:r>
        <w:rPr>
          <w:rFonts w:eastAsia="仿宋_GB2312"/>
          <w:szCs w:val="32"/>
        </w:rPr>
        <w:t>注册申请人应当提供产品性能研究资料。包括有效性、安全性指标以及与质量控制相关的其他指标的确定依据，所采用的标准或方法、采用的理由及理论基础。</w:t>
      </w:r>
    </w:p>
    <w:p>
      <w:pPr>
        <w:spacing w:line="520" w:lineRule="exact"/>
        <w:ind w:firstLine="640" w:firstLineChars="200"/>
        <w:outlineLvl w:val="1"/>
        <w:rPr>
          <w:rFonts w:eastAsia="仿宋_GB2312"/>
          <w:szCs w:val="32"/>
        </w:rPr>
      </w:pPr>
      <w:r>
        <w:rPr>
          <w:rFonts w:eastAsia="仿宋_GB2312"/>
          <w:szCs w:val="32"/>
        </w:rPr>
        <w:t>产品各部件的使用性能均应进行研究和验证，其结果应能证明符合临床使用要求。描述</w:t>
      </w:r>
      <w:r>
        <w:rPr>
          <w:rFonts w:eastAsia="仿宋_GB2312"/>
          <w:kern w:val="0"/>
          <w:szCs w:val="32"/>
        </w:rPr>
        <w:t>不同尺寸、结构的制定依据和理由。</w:t>
      </w:r>
      <w:r>
        <w:rPr>
          <w:rFonts w:eastAsia="仿宋_GB2312"/>
          <w:szCs w:val="32"/>
        </w:rPr>
        <w:t>常见性能研究指标包括但不限于技术要求中条款，对于气阻、排出气流、死腔容量等项目也宜开展专门研究。有特殊设计、性能和结构的，应提供相应研究和验证资料。</w:t>
      </w:r>
    </w:p>
    <w:p>
      <w:pPr>
        <w:adjustRightInd w:val="0"/>
        <w:snapToGrid w:val="0"/>
        <w:spacing w:line="520" w:lineRule="exact"/>
        <w:ind w:firstLine="640" w:firstLineChars="200"/>
        <w:rPr>
          <w:rFonts w:eastAsia="仿宋_GB2312"/>
          <w:szCs w:val="32"/>
        </w:rPr>
      </w:pPr>
      <w:r>
        <w:rPr>
          <w:rFonts w:eastAsia="仿宋_GB2312"/>
          <w:szCs w:val="32"/>
        </w:rPr>
        <w:t>5.2毒性物质残留研究</w:t>
      </w:r>
    </w:p>
    <w:p>
      <w:pPr>
        <w:adjustRightInd w:val="0"/>
        <w:snapToGrid w:val="0"/>
        <w:spacing w:line="520" w:lineRule="exact"/>
        <w:ind w:firstLine="640" w:firstLineChars="200"/>
        <w:rPr>
          <w:rFonts w:eastAsia="仿宋_GB2312"/>
          <w:szCs w:val="32"/>
        </w:rPr>
      </w:pPr>
      <w:r>
        <w:rPr>
          <w:rFonts w:eastAsia="仿宋_GB2312"/>
          <w:szCs w:val="32"/>
        </w:rPr>
        <w:t>申报产品各组件的原材料不得人为添加已列入相关法规及指令禁止的、或未经毒理学评估的物质，如荧光增白剂等，常规使用过程中不得对人体产生有害影响。</w:t>
      </w:r>
    </w:p>
    <w:p>
      <w:pPr>
        <w:spacing w:line="520" w:lineRule="exact"/>
        <w:ind w:right="-102" w:rightChars="-32" w:firstLine="640" w:firstLineChars="200"/>
        <w:rPr>
          <w:rFonts w:eastAsia="仿宋_GB2312"/>
          <w:szCs w:val="32"/>
        </w:rPr>
      </w:pPr>
      <w:r>
        <w:rPr>
          <w:rFonts w:eastAsia="仿宋_GB2312"/>
          <w:szCs w:val="32"/>
        </w:rPr>
        <w:t>5.3生物学特性研究</w:t>
      </w:r>
    </w:p>
    <w:p>
      <w:pPr>
        <w:spacing w:line="520" w:lineRule="exact"/>
        <w:ind w:right="-102" w:rightChars="-32" w:firstLine="640" w:firstLineChars="200"/>
        <w:rPr>
          <w:rFonts w:eastAsia="仿宋_GB2312"/>
          <w:szCs w:val="32"/>
        </w:rPr>
      </w:pPr>
      <w:r>
        <w:rPr>
          <w:rFonts w:eastAsia="仿宋_GB2312"/>
          <w:szCs w:val="32"/>
        </w:rPr>
        <w:t>根据GB/T 16886系列标准或《医疗器械生物学评价和审查指南的通知》选择生物学评价路径并实施生物学评价，生物学评价终点至少包括细胞毒性、皮肤刺激、迟发型超敏反应。生物学评价资料需包括：生物相容性评价的依据和方法，产品所用材料的描述及与人体接触的性质，实施或豁免生物学试验的理由和论证，对于现有数据或试验结果的评价。根据评价结果，如需开展生物学试验，建议参考GB/T 16886.1《医疗器械生物学评价第1部分：风险管理过程中的评价与试验》进行。</w:t>
      </w:r>
    </w:p>
    <w:p>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5.4生物源材料的安全性研究</w:t>
      </w:r>
    </w:p>
    <w:p>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对于含有同种异体材料、动物源性材料或生物活性物质等具有生物安全风险的产品，应当提供相应生物安全性研究资料。</w:t>
      </w:r>
    </w:p>
    <w:p>
      <w:pPr>
        <w:ind w:firstLine="640"/>
        <w:rPr>
          <w:rFonts w:eastAsia="仿宋_GB2312"/>
          <w:szCs w:val="32"/>
        </w:rPr>
      </w:pPr>
      <w:r>
        <w:rPr>
          <w:rFonts w:eastAsia="仿宋_GB2312"/>
          <w:color w:val="000000"/>
          <w:szCs w:val="32"/>
        </w:rPr>
        <w:t>5.5</w:t>
      </w:r>
      <w:r>
        <w:rPr>
          <w:rFonts w:eastAsia="仿宋_GB2312"/>
          <w:szCs w:val="32"/>
        </w:rPr>
        <w:t>灭菌/消毒工艺研究</w:t>
      </w:r>
    </w:p>
    <w:p>
      <w:pPr>
        <w:tabs>
          <w:tab w:val="left" w:pos="540"/>
        </w:tabs>
        <w:adjustRightInd w:val="0"/>
        <w:snapToGrid w:val="0"/>
        <w:spacing w:line="520" w:lineRule="exact"/>
        <w:ind w:firstLine="640" w:firstLineChars="200"/>
        <w:rPr>
          <w:rFonts w:eastAsia="仿宋_GB2312"/>
          <w:color w:val="000000"/>
          <w:szCs w:val="32"/>
        </w:rPr>
      </w:pPr>
      <w:r>
        <w:rPr>
          <w:rFonts w:eastAsia="仿宋_GB2312"/>
          <w:szCs w:val="32"/>
        </w:rPr>
        <w:t>5.5.1若申报产品为无菌提供，应</w:t>
      </w:r>
      <w:r>
        <w:rPr>
          <w:rFonts w:eastAsia="仿宋_GB2312"/>
          <w:color w:val="000000"/>
          <w:szCs w:val="32"/>
        </w:rPr>
        <w:t>参考GB 18280《医疗保健产品灭菌辐射》系列标准、GB 18279《医疗保健产品灭菌环氧乙烷》系列标准和GB/T 16886.7《医疗器械生物学评价第7部分：环氧乙烷灭菌残留量》等相应标准规定，提交产品包装及灭菌方法选择的依据，经过确认并进行常规控制，开展以下方面的确认：</w:t>
      </w:r>
    </w:p>
    <w:p>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5.5.1.1</w:t>
      </w:r>
      <w:r>
        <w:rPr>
          <w:rFonts w:eastAsia="仿宋_GB2312"/>
          <w:color w:val="000000"/>
          <w:szCs w:val="32"/>
        </w:rPr>
        <w:t>产品与灭菌过程的适应性：应考察灭菌工艺过程对于产品的影响。</w:t>
      </w:r>
    </w:p>
    <w:p>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5.5.1.2</w:t>
      </w:r>
      <w:r>
        <w:rPr>
          <w:rFonts w:eastAsia="仿宋_GB2312"/>
          <w:color w:val="000000"/>
          <w:szCs w:val="32"/>
        </w:rPr>
        <w:t>包装与灭菌过程的适应性。</w:t>
      </w:r>
    </w:p>
    <w:p>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5.5.1.3</w:t>
      </w:r>
      <w:r>
        <w:rPr>
          <w:rFonts w:eastAsia="仿宋_GB2312"/>
          <w:color w:val="000000"/>
          <w:szCs w:val="32"/>
        </w:rPr>
        <w:t>应明确灭菌工艺（方法和参数）和无菌保证水平（SAL），并提供灭菌确认报告。无菌保证水平（SAL）应达到1×10</w:t>
      </w:r>
      <w:r>
        <w:rPr>
          <w:rFonts w:eastAsia="仿宋_GB2312"/>
          <w:color w:val="000000"/>
          <w:szCs w:val="32"/>
          <w:vertAlign w:val="superscript"/>
        </w:rPr>
        <w:t>-6</w:t>
      </w:r>
      <w:r>
        <w:rPr>
          <w:rFonts w:eastAsia="仿宋_GB2312"/>
          <w:color w:val="000000"/>
          <w:szCs w:val="32"/>
        </w:rPr>
        <w:t>。</w:t>
      </w:r>
    </w:p>
    <w:p>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5.5.1.4</w:t>
      </w:r>
      <w:r>
        <w:rPr>
          <w:rFonts w:eastAsia="仿宋_GB2312"/>
          <w:color w:val="000000"/>
          <w:szCs w:val="32"/>
        </w:rPr>
        <w:t>残留毒性：若灭菌使用的方法容易出现残留，如环氧乙烷灭菌，应当明确残留物信息及采取的处理方法，并提供其解析的研究资料。</w:t>
      </w:r>
    </w:p>
    <w:p>
      <w:pPr>
        <w:spacing w:line="520" w:lineRule="exact"/>
        <w:ind w:left="2" w:firstLine="640" w:firstLineChars="200"/>
        <w:rPr>
          <w:rFonts w:eastAsia="仿宋_GB2312"/>
          <w:szCs w:val="32"/>
        </w:rPr>
      </w:pPr>
      <w:r>
        <w:rPr>
          <w:rFonts w:eastAsia="仿宋_GB2312"/>
          <w:szCs w:val="32"/>
        </w:rPr>
        <w:t>5.5.2 若申报产品可重复使用，应提供终端用户消毒或灭菌方面的研究资料，包括对重复消毒或灭菌的最大次数进行研究。</w:t>
      </w:r>
    </w:p>
    <w:p>
      <w:pPr>
        <w:adjustRightInd w:val="0"/>
        <w:snapToGrid w:val="0"/>
        <w:spacing w:line="520" w:lineRule="exact"/>
        <w:ind w:firstLine="640" w:firstLineChars="200"/>
        <w:rPr>
          <w:rFonts w:eastAsia="仿宋_GB2312"/>
          <w:color w:val="000000"/>
          <w:szCs w:val="32"/>
        </w:rPr>
      </w:pPr>
      <w:r>
        <w:rPr>
          <w:rFonts w:eastAsia="仿宋_GB2312"/>
          <w:color w:val="000000"/>
          <w:szCs w:val="32"/>
        </w:rPr>
        <w:t>5.6动物试验研究</w:t>
      </w:r>
    </w:p>
    <w:p>
      <w:pPr>
        <w:adjustRightInd w:val="0"/>
        <w:snapToGrid w:val="0"/>
        <w:spacing w:line="520" w:lineRule="exact"/>
        <w:ind w:firstLine="640" w:firstLineChars="200"/>
        <w:rPr>
          <w:rFonts w:eastAsia="仿宋_GB2312"/>
          <w:color w:val="000000"/>
          <w:szCs w:val="32"/>
        </w:rPr>
      </w:pPr>
      <w:r>
        <w:rPr>
          <w:rFonts w:eastAsia="仿宋_GB2312"/>
          <w:color w:val="000000"/>
          <w:szCs w:val="32"/>
        </w:rPr>
        <w:t>通常不必要开展动物试验。</w:t>
      </w:r>
    </w:p>
    <w:p>
      <w:pPr>
        <w:adjustRightInd w:val="0"/>
        <w:snapToGrid w:val="0"/>
        <w:spacing w:line="520" w:lineRule="exact"/>
        <w:ind w:firstLine="640" w:firstLineChars="200"/>
        <w:rPr>
          <w:rFonts w:eastAsia="仿宋_GB2312"/>
          <w:szCs w:val="32"/>
        </w:rPr>
      </w:pPr>
      <w:r>
        <w:rPr>
          <w:rFonts w:eastAsia="仿宋_GB2312"/>
          <w:szCs w:val="32"/>
        </w:rPr>
        <w:t>5.7其他资料</w:t>
      </w:r>
    </w:p>
    <w:p>
      <w:pPr>
        <w:adjustRightInd w:val="0"/>
        <w:snapToGrid w:val="0"/>
        <w:spacing w:line="520" w:lineRule="exact"/>
        <w:ind w:firstLine="640" w:firstLineChars="200"/>
        <w:rPr>
          <w:rFonts w:eastAsia="仿宋_GB2312"/>
          <w:szCs w:val="32"/>
        </w:rPr>
      </w:pPr>
      <w:r>
        <w:rPr>
          <w:rFonts w:eastAsia="仿宋_GB2312"/>
          <w:szCs w:val="32"/>
        </w:rPr>
        <w:t>结合申报产品的特点，证明产品安全性、有效性的其他研究资料。</w:t>
      </w:r>
    </w:p>
    <w:p>
      <w:pPr>
        <w:adjustRightInd w:val="0"/>
        <w:snapToGrid w:val="0"/>
        <w:spacing w:line="520" w:lineRule="exact"/>
        <w:ind w:firstLine="640" w:firstLineChars="200"/>
        <w:rPr>
          <w:rFonts w:eastAsia="仿宋_GB2312"/>
          <w:color w:val="000000"/>
          <w:szCs w:val="32"/>
        </w:rPr>
      </w:pPr>
      <w:r>
        <w:rPr>
          <w:rFonts w:eastAsia="仿宋_GB2312"/>
          <w:color w:val="000000"/>
          <w:szCs w:val="32"/>
        </w:rPr>
        <w:t>6.非临床文献</w:t>
      </w:r>
    </w:p>
    <w:p>
      <w:pPr>
        <w:adjustRightInd w:val="0"/>
        <w:snapToGrid w:val="0"/>
        <w:spacing w:line="520" w:lineRule="exact"/>
        <w:ind w:firstLine="640" w:firstLineChars="200"/>
        <w:rPr>
          <w:rFonts w:eastAsia="仿宋_GB2312"/>
          <w:color w:val="000000"/>
          <w:szCs w:val="32"/>
        </w:rPr>
      </w:pPr>
      <w:r>
        <w:rPr>
          <w:rFonts w:eastAsia="仿宋_GB2312"/>
          <w:color w:val="000000"/>
          <w:szCs w:val="32"/>
        </w:rPr>
        <w:t>提供与申报产品相关的已发表的非临床研究资料。</w:t>
      </w:r>
    </w:p>
    <w:p>
      <w:pPr>
        <w:adjustRightInd w:val="0"/>
        <w:snapToGrid w:val="0"/>
        <w:spacing w:line="520" w:lineRule="exact"/>
        <w:ind w:firstLine="640" w:firstLineChars="200"/>
        <w:rPr>
          <w:rFonts w:eastAsia="仿宋_GB2312"/>
          <w:color w:val="000000"/>
          <w:szCs w:val="32"/>
        </w:rPr>
      </w:pPr>
      <w:r>
        <w:rPr>
          <w:rFonts w:eastAsia="仿宋_GB2312"/>
          <w:color w:val="000000"/>
          <w:szCs w:val="32"/>
        </w:rPr>
        <w:t>7.其他资料</w:t>
      </w:r>
    </w:p>
    <w:p>
      <w:pPr>
        <w:spacing w:line="520" w:lineRule="exact"/>
        <w:ind w:firstLine="640" w:firstLineChars="200"/>
        <w:rPr>
          <w:rFonts w:eastAsia="仿宋_GB2312"/>
          <w:szCs w:val="32"/>
        </w:rPr>
      </w:pPr>
      <w:r>
        <w:rPr>
          <w:rFonts w:eastAsia="仿宋_GB2312"/>
          <w:bCs/>
          <w:szCs w:val="32"/>
        </w:rPr>
        <w:t>持续正压通气用面罩、口罩、鼻罩</w:t>
      </w:r>
      <w:r>
        <w:rPr>
          <w:rFonts w:eastAsia="仿宋_GB2312"/>
          <w:szCs w:val="32"/>
        </w:rPr>
        <w:t>已经列入《免于进行临床评价医疗器械目录》。注册</w:t>
      </w:r>
      <w:r>
        <w:rPr>
          <w:rFonts w:eastAsia="仿宋_GB2312"/>
          <w:color w:val="000000"/>
          <w:szCs w:val="32"/>
        </w:rPr>
        <w:t>申请人应当按照《列入免于临床评价医疗器械目录产品对比说明技术指导原则》，从基本原理、结构组成、性</w:t>
      </w:r>
      <w:r>
        <w:rPr>
          <w:rFonts w:eastAsia="仿宋_GB2312"/>
          <w:szCs w:val="32"/>
        </w:rPr>
        <w:t>能、安全性、适用范围等方面，证明产品的安全有效性。</w:t>
      </w:r>
      <w:r>
        <w:rPr>
          <w:rFonts w:eastAsia="仿宋_GB2312"/>
          <w:color w:val="000000"/>
          <w:szCs w:val="32"/>
        </w:rPr>
        <w:t>宜与已上市同类产品进行模拟使用对比验证研究以证明其等同性。除模拟使用外，申报产品与对比产品存在差异的，还应提交差异部分对安全有效性影响的分析研究资料。</w:t>
      </w:r>
    </w:p>
    <w:p>
      <w:pPr>
        <w:tabs>
          <w:tab w:val="left" w:pos="2960"/>
        </w:tabs>
        <w:adjustRightInd w:val="0"/>
        <w:snapToGrid w:val="0"/>
        <w:spacing w:line="520" w:lineRule="exact"/>
        <w:ind w:firstLine="640" w:firstLineChars="200"/>
        <w:rPr>
          <w:rFonts w:eastAsia="仿宋_GB2312"/>
          <w:szCs w:val="32"/>
        </w:rPr>
      </w:pPr>
      <w:r>
        <w:rPr>
          <w:rFonts w:eastAsia="仿宋_GB2312"/>
          <w:color w:val="000000"/>
          <w:szCs w:val="32"/>
        </w:rPr>
        <w:t>8.原材料控制</w:t>
      </w:r>
    </w:p>
    <w:p>
      <w:pPr>
        <w:tabs>
          <w:tab w:val="left" w:pos="540"/>
        </w:tabs>
        <w:adjustRightInd w:val="0"/>
        <w:snapToGrid w:val="0"/>
        <w:spacing w:line="520" w:lineRule="exact"/>
        <w:ind w:firstLine="640" w:firstLineChars="200"/>
        <w:rPr>
          <w:rFonts w:eastAsia="仿宋_GB2312"/>
          <w:szCs w:val="32"/>
        </w:rPr>
      </w:pPr>
      <w:r>
        <w:rPr>
          <w:rFonts w:eastAsia="仿宋_GB2312"/>
          <w:szCs w:val="32"/>
        </w:rPr>
        <w:t>原材料特性是产品最终质量控制的重要因素。应说明原材料的选择依据，列明生产过程中所需全部材料（包括粘接剂、添加剂及相应加工助剂）的化学名称、商品名/材料代号、CAS号、化学结构式/分子式、不锈钢或合金牌号、供应商名称、符合的标准（如适用）等基本信息，建议以列表的形式提供。</w:t>
      </w:r>
    </w:p>
    <w:p>
      <w:pPr>
        <w:adjustRightInd w:val="0"/>
        <w:snapToGrid w:val="0"/>
        <w:spacing w:line="520" w:lineRule="exact"/>
        <w:ind w:firstLine="640" w:firstLineChars="200"/>
        <w:rPr>
          <w:rFonts w:eastAsia="仿宋_GB2312"/>
          <w:szCs w:val="32"/>
        </w:rPr>
      </w:pPr>
      <w:r>
        <w:rPr>
          <w:rFonts w:eastAsia="仿宋_GB2312"/>
          <w:szCs w:val="32"/>
        </w:rPr>
        <w:t>原材料应具有稳定的供货渠道以保证产品质量，注册申请人应提供产品全部原材料的质量控制资料，包括各原材料来源、质量控制要求及符合标准的证明材料等。原材料参考的标准包括但不限于《YY/T 0114医用输液、输血、注射器具用聚乙烯专用料》等。对于首次用于医疗器械方面的新材料，应提供该材料适合用于人体的预期使用部位的相关研究资料。</w:t>
      </w:r>
    </w:p>
    <w:p>
      <w:pPr>
        <w:tabs>
          <w:tab w:val="left" w:pos="2960"/>
        </w:tabs>
        <w:adjustRightInd w:val="0"/>
        <w:snapToGrid w:val="0"/>
        <w:spacing w:line="520" w:lineRule="exact"/>
        <w:ind w:firstLine="640" w:firstLineChars="200"/>
        <w:rPr>
          <w:rFonts w:eastAsia="仿宋_GB2312"/>
          <w:color w:val="000000"/>
          <w:szCs w:val="32"/>
        </w:rPr>
      </w:pPr>
      <w:r>
        <w:rPr>
          <w:rFonts w:eastAsia="仿宋_GB2312"/>
          <w:color w:val="000000"/>
          <w:szCs w:val="32"/>
        </w:rPr>
        <w:t>9.稳定性和包装研究</w:t>
      </w:r>
    </w:p>
    <w:p>
      <w:pPr>
        <w:adjustRightInd w:val="0"/>
        <w:snapToGrid w:val="0"/>
        <w:spacing w:line="520" w:lineRule="exact"/>
        <w:ind w:firstLine="640" w:firstLineChars="200"/>
        <w:rPr>
          <w:rFonts w:eastAsia="仿宋_GB2312"/>
          <w:szCs w:val="32"/>
        </w:rPr>
      </w:pPr>
      <w:r>
        <w:rPr>
          <w:rFonts w:eastAsia="仿宋_GB2312"/>
          <w:szCs w:val="32"/>
        </w:rPr>
        <w:t>应提供有效期的验证资料，包括货架有效期、运输稳定性等。在有效期研究中应监测</w:t>
      </w:r>
      <w:r>
        <w:rPr>
          <w:rFonts w:eastAsia="仿宋_GB2312"/>
          <w:bCs/>
          <w:szCs w:val="32"/>
        </w:rPr>
        <w:t>与医疗器械货架有效期密切相关的物理、化学检测项目，涉及产品生物相容性可能发生改变的医疗器械，需进行生物学评价。</w:t>
      </w:r>
      <w:r>
        <w:rPr>
          <w:rFonts w:eastAsia="仿宋_GB2312"/>
          <w:szCs w:val="32"/>
        </w:rPr>
        <w:t>考虑加速/实时老化对于终产品的影响，还应通过无菌检测或包装完整性检测证明产品在有效期内保持无菌状态。不同灭菌方式、不同包装材料的产品，应分别进行有效期验证和包装研究。</w:t>
      </w:r>
    </w:p>
    <w:p>
      <w:pPr>
        <w:adjustRightInd w:val="0"/>
        <w:snapToGrid w:val="0"/>
        <w:spacing w:line="520" w:lineRule="exact"/>
        <w:ind w:firstLine="640" w:firstLineChars="200"/>
        <w:rPr>
          <w:rFonts w:eastAsia="仿宋_GB2312"/>
          <w:szCs w:val="32"/>
        </w:rPr>
      </w:pPr>
      <w:r>
        <w:rPr>
          <w:rFonts w:eastAsia="仿宋_GB2312"/>
          <w:szCs w:val="32"/>
        </w:rPr>
        <w:t>产品包装验证可根据国内、国际有关标准进行，如GB/T 19633《最终灭菌医疗器械包装》系列标准、YY/T 0681系列标准、YY/T 0698系列标准、ISO 11607系列标准、ASTM D4169等，提交产品的包装验证报告。</w:t>
      </w:r>
    </w:p>
    <w:p>
      <w:pPr>
        <w:adjustRightInd w:val="0"/>
        <w:snapToGrid w:val="0"/>
        <w:spacing w:line="520" w:lineRule="exact"/>
        <w:ind w:firstLine="640" w:firstLineChars="200"/>
        <w:rPr>
          <w:rFonts w:eastAsia="仿宋_GB2312"/>
          <w:kern w:val="0"/>
          <w:szCs w:val="32"/>
        </w:rPr>
      </w:pPr>
      <w:r>
        <w:rPr>
          <w:rFonts w:eastAsia="仿宋_GB2312"/>
          <w:kern w:val="0"/>
          <w:szCs w:val="32"/>
        </w:rPr>
        <w:t>申报产品的初包装材料应能保证产品在灭菌、贮存和运输过程中，对产品性能和安全性不产生不利影响。应提供初包装材料的来源、质量控制标准及验证数据的资料。</w:t>
      </w:r>
    </w:p>
    <w:p>
      <w:pPr>
        <w:overflowPunct w:val="0"/>
        <w:adjustRightInd w:val="0"/>
        <w:snapToGrid w:val="0"/>
        <w:spacing w:line="520" w:lineRule="exact"/>
        <w:ind w:firstLine="640"/>
        <w:rPr>
          <w:rFonts w:eastAsia="仿宋_GB2312"/>
          <w:szCs w:val="32"/>
        </w:rPr>
      </w:pPr>
      <w:r>
        <w:rPr>
          <w:rFonts w:eastAsia="仿宋_GB2312"/>
          <w:szCs w:val="32"/>
        </w:rPr>
        <w:t>需要提供运输稳定性研究资料，证明在规定的运输条件下，运输过程中的环境条件不会对医疗器械的造成不利影响。</w:t>
      </w:r>
    </w:p>
    <w:p>
      <w:pPr>
        <w:spacing w:line="520" w:lineRule="exact"/>
        <w:ind w:firstLine="640" w:firstLineChars="200"/>
        <w:outlineLvl w:val="1"/>
        <w:rPr>
          <w:rFonts w:eastAsia="仿宋_GB2312"/>
          <w:szCs w:val="32"/>
        </w:rPr>
      </w:pPr>
      <w:r>
        <w:rPr>
          <w:rFonts w:eastAsia="仿宋_GB2312"/>
          <w:szCs w:val="32"/>
        </w:rPr>
        <w:t>提交包装验证报告，常见项目如：包装材料的物理化学、生物相容性；包装材料与产品的适应性；包装材料</w:t>
      </w:r>
      <w:r>
        <w:rPr>
          <w:rFonts w:eastAsia="仿宋_GB2312"/>
          <w:kern w:val="0"/>
          <w:szCs w:val="32"/>
        </w:rPr>
        <w:t>与灭菌、</w:t>
      </w:r>
      <w:r>
        <w:rPr>
          <w:rFonts w:eastAsia="仿宋_GB2312"/>
          <w:szCs w:val="32"/>
        </w:rPr>
        <w:t>成型和密封过程的适应性；包装材料所能提供的微生物屏障保护；包装材料与使用者使用时的要求（如无菌开启）的适应性；包装材料与标签系统的适应性；包装材料与贮存运输过程的适应性等。</w:t>
      </w:r>
    </w:p>
    <w:p>
      <w:pPr>
        <w:spacing w:line="520" w:lineRule="exact"/>
        <w:ind w:left="2" w:firstLine="640" w:firstLineChars="200"/>
        <w:rPr>
          <w:rFonts w:eastAsia="仿宋_GB2312"/>
          <w:szCs w:val="32"/>
        </w:rPr>
      </w:pPr>
      <w:r>
        <w:rPr>
          <w:rFonts w:eastAsia="仿宋_GB2312"/>
          <w:szCs w:val="32"/>
        </w:rPr>
        <w:t>申报产品如为重复使用，应明确重复使用的最大次数及清洗、消毒或灭菌方法，相应的储存方式和最长储存时间，并提供按照该程序处理后仍能满足相关性能要求的验证资料。</w:t>
      </w:r>
    </w:p>
    <w:p>
      <w:pPr>
        <w:spacing w:line="520" w:lineRule="exact"/>
        <w:ind w:firstLine="640" w:firstLineChars="200"/>
        <w:rPr>
          <w:rFonts w:eastAsia="楷体_GB2312"/>
          <w:szCs w:val="32"/>
        </w:rPr>
      </w:pPr>
      <w:r>
        <w:rPr>
          <w:rFonts w:eastAsia="楷体_GB2312"/>
          <w:szCs w:val="32"/>
        </w:rPr>
        <w:t>（五）临床评价资料</w:t>
      </w:r>
    </w:p>
    <w:p>
      <w:pPr>
        <w:tabs>
          <w:tab w:val="left" w:pos="312"/>
        </w:tabs>
        <w:spacing w:line="520" w:lineRule="exact"/>
        <w:ind w:firstLine="640" w:firstLineChars="200"/>
        <w:rPr>
          <w:rFonts w:eastAsia="仿宋_GB2312"/>
          <w:color w:val="000000"/>
          <w:szCs w:val="32"/>
        </w:rPr>
      </w:pPr>
      <w:r>
        <w:rPr>
          <w:rFonts w:eastAsia="仿宋_GB2312"/>
          <w:color w:val="000000"/>
          <w:szCs w:val="32"/>
        </w:rPr>
        <w:t>对于符合《免于临床评价医疗器械目录》（以下简称《目录》）下分类编码为08-06-11的面罩，申请人无需提交临床评价资料。豁免情况不包括使用了新材料、新作用机理、新功能的产品。对于《</w:t>
      </w:r>
      <w:r>
        <w:rPr>
          <w:rFonts w:eastAsia="仿宋_GB2312"/>
          <w:bCs/>
          <w:szCs w:val="32"/>
        </w:rPr>
        <w:t>目录》以外的面罩，需提交相应的临床评价资料。</w:t>
      </w:r>
    </w:p>
    <w:p>
      <w:pPr>
        <w:spacing w:line="520" w:lineRule="exact"/>
        <w:ind w:firstLine="640" w:firstLineChars="200"/>
        <w:rPr>
          <w:rFonts w:eastAsia="楷体_GB2312"/>
          <w:szCs w:val="32"/>
        </w:rPr>
      </w:pPr>
      <w:r>
        <w:rPr>
          <w:rFonts w:eastAsia="楷体_GB2312"/>
          <w:szCs w:val="32"/>
        </w:rPr>
        <w:t>（六）</w:t>
      </w:r>
      <w:r>
        <w:rPr>
          <w:rFonts w:eastAsia="楷体_GB2312"/>
          <w:color w:val="000000"/>
          <w:szCs w:val="32"/>
        </w:rPr>
        <w:t>产品</w:t>
      </w:r>
      <w:r>
        <w:rPr>
          <w:rFonts w:eastAsia="楷体_GB2312"/>
          <w:szCs w:val="32"/>
        </w:rPr>
        <w:t>说明书和标签样稿</w:t>
      </w:r>
    </w:p>
    <w:p>
      <w:pPr>
        <w:spacing w:line="520" w:lineRule="exact"/>
        <w:ind w:firstLine="640" w:firstLineChars="200"/>
        <w:jc w:val="left"/>
        <w:rPr>
          <w:rFonts w:eastAsia="仿宋_GB2312"/>
          <w:bCs/>
          <w:szCs w:val="32"/>
        </w:rPr>
      </w:pPr>
      <w:r>
        <w:rPr>
          <w:rFonts w:eastAsia="仿宋_GB2312"/>
          <w:bCs/>
          <w:szCs w:val="32"/>
        </w:rPr>
        <w:t>1.持续正压通气用面罩、口罩、鼻罩说明书的编写应符合《医疗器械说明书、标签和包装标识管理规定》及相关标准的要求。</w:t>
      </w:r>
    </w:p>
    <w:p>
      <w:pPr>
        <w:spacing w:line="520" w:lineRule="exact"/>
        <w:ind w:firstLine="640" w:firstLineChars="200"/>
        <w:jc w:val="left"/>
        <w:rPr>
          <w:rFonts w:eastAsia="仿宋_GB2312"/>
          <w:bCs/>
          <w:szCs w:val="32"/>
        </w:rPr>
      </w:pPr>
      <w:r>
        <w:rPr>
          <w:rFonts w:eastAsia="仿宋_GB2312"/>
          <w:bCs/>
          <w:szCs w:val="32"/>
        </w:rPr>
        <w:t>2.持续正压通气用面罩、口罩、鼻罩包装上的标签、面罩或附件上的标识、和/或产品说明书（随机文件）应当包括以下内容：</w:t>
      </w:r>
    </w:p>
    <w:p>
      <w:pPr>
        <w:spacing w:line="520" w:lineRule="exact"/>
        <w:ind w:firstLine="600"/>
        <w:jc w:val="left"/>
        <w:rPr>
          <w:rFonts w:eastAsia="仿宋_GB2312"/>
          <w:bCs/>
          <w:szCs w:val="32"/>
        </w:rPr>
      </w:pPr>
      <w:r>
        <w:rPr>
          <w:rFonts w:eastAsia="仿宋_GB2312"/>
          <w:bCs/>
          <w:szCs w:val="32"/>
        </w:rPr>
        <w:t>2.1说明书（随机文件）中对产品的描述还应包括：</w:t>
      </w:r>
    </w:p>
    <w:p>
      <w:pPr>
        <w:spacing w:line="520" w:lineRule="exact"/>
        <w:ind w:firstLine="600"/>
        <w:jc w:val="left"/>
        <w:rPr>
          <w:rFonts w:eastAsia="仿宋_GB2312"/>
          <w:bCs/>
          <w:szCs w:val="32"/>
        </w:rPr>
      </w:pPr>
      <w:r>
        <w:rPr>
          <w:rFonts w:eastAsia="仿宋_GB2312"/>
          <w:bCs/>
          <w:szCs w:val="32"/>
        </w:rPr>
        <w:t>2.1.1应明确该产品不能用于生命支持；</w:t>
      </w:r>
    </w:p>
    <w:p>
      <w:pPr>
        <w:spacing w:line="520" w:lineRule="exact"/>
        <w:ind w:firstLine="600"/>
        <w:jc w:val="left"/>
        <w:rPr>
          <w:rFonts w:eastAsia="仿宋_GB2312"/>
          <w:bCs/>
          <w:szCs w:val="32"/>
        </w:rPr>
      </w:pPr>
      <w:r>
        <w:rPr>
          <w:rFonts w:eastAsia="仿宋_GB2312"/>
          <w:bCs/>
          <w:szCs w:val="32"/>
        </w:rPr>
        <w:t>2.1.2应明确儿童使用时的特殊要求；</w:t>
      </w:r>
    </w:p>
    <w:p>
      <w:pPr>
        <w:spacing w:line="520" w:lineRule="exact"/>
        <w:ind w:firstLine="600"/>
        <w:jc w:val="left"/>
        <w:rPr>
          <w:rFonts w:eastAsia="仿宋_GB2312"/>
          <w:bCs/>
          <w:szCs w:val="32"/>
        </w:rPr>
      </w:pPr>
      <w:r>
        <w:rPr>
          <w:rFonts w:eastAsia="仿宋_GB2312"/>
          <w:bCs/>
          <w:szCs w:val="32"/>
        </w:rPr>
        <w:t>2.1.3任何面罩和附件的预期使用寿命；</w:t>
      </w:r>
    </w:p>
    <w:p>
      <w:pPr>
        <w:spacing w:line="520" w:lineRule="exact"/>
        <w:ind w:firstLine="600"/>
        <w:jc w:val="left"/>
        <w:rPr>
          <w:rFonts w:eastAsia="仿宋_GB2312"/>
          <w:bCs/>
          <w:szCs w:val="32"/>
        </w:rPr>
      </w:pPr>
      <w:r>
        <w:rPr>
          <w:rFonts w:eastAsia="仿宋_GB2312"/>
          <w:bCs/>
          <w:szCs w:val="32"/>
        </w:rPr>
        <w:t>2.1.4面罩清洗消毒的处理或重复处理的方法，应包含可进行清洗或清洗消毒的次数，来表示面罩的预期使用寿命。</w:t>
      </w:r>
    </w:p>
    <w:p>
      <w:pPr>
        <w:spacing w:line="520" w:lineRule="exact"/>
        <w:ind w:firstLine="600"/>
        <w:jc w:val="left"/>
        <w:rPr>
          <w:rFonts w:eastAsia="仿宋_GB2312"/>
          <w:bCs/>
          <w:szCs w:val="32"/>
        </w:rPr>
      </w:pPr>
      <w:r>
        <w:rPr>
          <w:rFonts w:eastAsia="仿宋_GB2312"/>
          <w:bCs/>
          <w:szCs w:val="32"/>
        </w:rPr>
        <w:t>2.1.5如果可重复使用：</w:t>
      </w:r>
    </w:p>
    <w:p>
      <w:pPr>
        <w:spacing w:line="520" w:lineRule="exact"/>
        <w:ind w:firstLine="640" w:firstLineChars="200"/>
        <w:jc w:val="left"/>
        <w:rPr>
          <w:rFonts w:eastAsia="仿宋_GB2312"/>
          <w:bCs/>
          <w:szCs w:val="32"/>
        </w:rPr>
      </w:pPr>
      <w:r>
        <w:rPr>
          <w:rFonts w:eastAsia="仿宋_GB2312"/>
          <w:bCs/>
          <w:szCs w:val="32"/>
        </w:rPr>
        <w:t>——如灭菌，应明确包装方法应与灭菌处理和医疗器械具有相容性；</w:t>
      </w:r>
    </w:p>
    <w:p>
      <w:pPr>
        <w:spacing w:line="520" w:lineRule="exact"/>
        <w:ind w:firstLine="640" w:firstLineChars="200"/>
        <w:jc w:val="left"/>
        <w:rPr>
          <w:rFonts w:eastAsia="仿宋_GB2312"/>
          <w:bCs/>
          <w:szCs w:val="32"/>
        </w:rPr>
      </w:pPr>
      <w:r>
        <w:rPr>
          <w:rFonts w:eastAsia="仿宋_GB2312"/>
          <w:bCs/>
          <w:szCs w:val="32"/>
        </w:rPr>
        <w:t>——未按随机文件规定的清洗频率、清洗方法、清洁剂使用或超出处理循环次数对材料和性能存在负面影响的警告。</w:t>
      </w:r>
    </w:p>
    <w:p>
      <w:pPr>
        <w:spacing w:line="520" w:lineRule="exact"/>
        <w:ind w:firstLine="640" w:firstLineChars="200"/>
        <w:jc w:val="left"/>
        <w:rPr>
          <w:rFonts w:eastAsia="仿宋_GB2312"/>
          <w:bCs/>
          <w:szCs w:val="32"/>
        </w:rPr>
      </w:pPr>
      <w:r>
        <w:rPr>
          <w:rFonts w:eastAsia="仿宋_GB2312"/>
          <w:bCs/>
          <w:szCs w:val="32"/>
        </w:rPr>
        <w:t>2.1.6任何特殊的储存和/或搬运条件；</w:t>
      </w:r>
    </w:p>
    <w:p>
      <w:pPr>
        <w:spacing w:line="520" w:lineRule="exact"/>
        <w:ind w:firstLine="640" w:firstLineChars="200"/>
        <w:jc w:val="left"/>
        <w:rPr>
          <w:rFonts w:eastAsia="仿宋_GB2312"/>
          <w:bCs/>
          <w:szCs w:val="32"/>
        </w:rPr>
      </w:pPr>
      <w:r>
        <w:rPr>
          <w:rFonts w:eastAsia="仿宋_GB2312"/>
          <w:bCs/>
          <w:szCs w:val="32"/>
        </w:rPr>
        <w:t>2.1.7对面罩和附件在使用寿命末期进行适当处置的声明。</w:t>
      </w:r>
    </w:p>
    <w:p>
      <w:pPr>
        <w:spacing w:line="520" w:lineRule="exact"/>
        <w:ind w:firstLine="640" w:firstLineChars="200"/>
        <w:jc w:val="left"/>
        <w:rPr>
          <w:rFonts w:eastAsia="仿宋_GB2312"/>
          <w:bCs/>
          <w:szCs w:val="32"/>
        </w:rPr>
      </w:pPr>
      <w:r>
        <w:rPr>
          <w:rFonts w:eastAsia="仿宋_GB2312"/>
          <w:bCs/>
          <w:szCs w:val="32"/>
        </w:rPr>
        <w:t>2.1.8为使用者（医生）提供的信息，以便其统治患者任何潜在的不良反应和任何可能需要采取的预防措施；</w:t>
      </w:r>
    </w:p>
    <w:p>
      <w:pPr>
        <w:spacing w:line="520" w:lineRule="exact"/>
        <w:ind w:firstLine="640" w:firstLineChars="200"/>
        <w:jc w:val="left"/>
        <w:rPr>
          <w:rFonts w:eastAsia="仿宋_GB2312"/>
          <w:bCs/>
          <w:szCs w:val="32"/>
        </w:rPr>
      </w:pPr>
      <w:r>
        <w:rPr>
          <w:rFonts w:eastAsia="仿宋_GB2312"/>
          <w:bCs/>
          <w:szCs w:val="32"/>
        </w:rPr>
        <w:t>2.1.9如果包含多个部件，正确组装这些部件的必要说明；</w:t>
      </w:r>
    </w:p>
    <w:p>
      <w:pPr>
        <w:spacing w:line="520" w:lineRule="exact"/>
        <w:ind w:firstLine="640" w:firstLineChars="200"/>
        <w:jc w:val="left"/>
        <w:rPr>
          <w:rFonts w:eastAsia="仿宋_GB2312"/>
          <w:bCs/>
          <w:szCs w:val="32"/>
        </w:rPr>
      </w:pPr>
      <w:r>
        <w:rPr>
          <w:rFonts w:eastAsia="仿宋_GB2312"/>
          <w:bCs/>
          <w:szCs w:val="32"/>
        </w:rPr>
        <w:t>2.1.10任何特殊的警告和/或采取的预防措施；</w:t>
      </w:r>
    </w:p>
    <w:p>
      <w:pPr>
        <w:spacing w:line="520" w:lineRule="exact"/>
        <w:ind w:firstLine="640" w:firstLineChars="200"/>
        <w:jc w:val="left"/>
        <w:rPr>
          <w:rFonts w:eastAsia="仿宋_GB2312"/>
          <w:bCs/>
          <w:szCs w:val="32"/>
        </w:rPr>
      </w:pPr>
      <w:r>
        <w:rPr>
          <w:rFonts w:eastAsia="仿宋_GB2312"/>
          <w:bCs/>
          <w:szCs w:val="32"/>
        </w:rPr>
        <w:t>2.1.11防止任何排气口堵塞行为的警告；</w:t>
      </w:r>
    </w:p>
    <w:p>
      <w:pPr>
        <w:spacing w:line="520" w:lineRule="exact"/>
        <w:ind w:firstLine="640" w:firstLineChars="200"/>
        <w:jc w:val="left"/>
        <w:rPr>
          <w:rFonts w:eastAsia="仿宋_GB2312"/>
          <w:bCs/>
          <w:szCs w:val="32"/>
        </w:rPr>
      </w:pPr>
      <w:r>
        <w:rPr>
          <w:rFonts w:eastAsia="仿宋_GB2312"/>
          <w:bCs/>
          <w:szCs w:val="32"/>
        </w:rPr>
        <w:t>2.1.12面罩和附件使用前所需的任何进一步的处理和操作的详细信息；</w:t>
      </w:r>
    </w:p>
    <w:p>
      <w:pPr>
        <w:spacing w:line="520" w:lineRule="exact"/>
        <w:ind w:firstLine="640" w:firstLineChars="200"/>
        <w:jc w:val="left"/>
        <w:rPr>
          <w:rFonts w:eastAsia="仿宋_GB2312"/>
          <w:bCs/>
          <w:szCs w:val="32"/>
        </w:rPr>
      </w:pPr>
      <w:r>
        <w:rPr>
          <w:rFonts w:eastAsia="仿宋_GB2312"/>
          <w:bCs/>
          <w:szCs w:val="32"/>
        </w:rPr>
        <w:t>2.1.13验证面罩和附件已恰当安装并可以正确、安全使用的必要信息，以及保证在任何时候安全正确使用所需的有关校准和维护内容与维护周期的详细信息；</w:t>
      </w:r>
    </w:p>
    <w:p>
      <w:pPr>
        <w:spacing w:line="520" w:lineRule="exact"/>
        <w:ind w:firstLine="640" w:firstLineChars="200"/>
        <w:jc w:val="left"/>
        <w:rPr>
          <w:rFonts w:eastAsia="仿宋_GB2312"/>
          <w:bCs/>
          <w:szCs w:val="32"/>
        </w:rPr>
      </w:pPr>
      <w:r>
        <w:rPr>
          <w:rFonts w:eastAsia="仿宋_GB2312"/>
          <w:bCs/>
          <w:szCs w:val="32"/>
        </w:rPr>
        <w:t>2.1.14提供使重复呼吸风险最小化的方法；</w:t>
      </w:r>
    </w:p>
    <w:p>
      <w:pPr>
        <w:spacing w:line="520" w:lineRule="exact"/>
        <w:ind w:firstLine="640" w:firstLineChars="200"/>
        <w:jc w:val="left"/>
        <w:rPr>
          <w:rFonts w:eastAsia="仿宋_GB2312"/>
          <w:bCs/>
          <w:szCs w:val="32"/>
        </w:rPr>
      </w:pPr>
      <w:r>
        <w:rPr>
          <w:rFonts w:eastAsia="仿宋_GB2312"/>
          <w:bCs/>
          <w:szCs w:val="32"/>
        </w:rPr>
        <w:t>2.1.15关于面罩或附件定期保养的内容与周期的信息，包括在面罩或附件的期望寿命中易损部件的更换信息；</w:t>
      </w:r>
    </w:p>
    <w:p>
      <w:pPr>
        <w:spacing w:line="520" w:lineRule="exact"/>
        <w:ind w:firstLine="640" w:firstLineChars="200"/>
        <w:jc w:val="left"/>
        <w:rPr>
          <w:rFonts w:eastAsia="仿宋_GB2312"/>
          <w:bCs/>
          <w:szCs w:val="32"/>
        </w:rPr>
      </w:pPr>
      <w:r>
        <w:rPr>
          <w:rFonts w:eastAsia="仿宋_GB2312"/>
          <w:bCs/>
          <w:szCs w:val="32"/>
        </w:rPr>
        <w:t>2.1.16任何特殊的操作说明；</w:t>
      </w:r>
    </w:p>
    <w:p>
      <w:pPr>
        <w:spacing w:line="520" w:lineRule="exact"/>
        <w:ind w:firstLine="640" w:firstLineChars="200"/>
        <w:jc w:val="left"/>
        <w:rPr>
          <w:rFonts w:eastAsia="仿宋_GB2312"/>
          <w:bCs/>
          <w:szCs w:val="32"/>
        </w:rPr>
      </w:pPr>
      <w:r>
        <w:rPr>
          <w:rFonts w:eastAsia="仿宋_GB2312"/>
          <w:bCs/>
          <w:szCs w:val="32"/>
        </w:rPr>
        <w:t>2.1.17工作压力范围内的压力流量曲线；</w:t>
      </w:r>
    </w:p>
    <w:p>
      <w:pPr>
        <w:spacing w:line="520" w:lineRule="exact"/>
        <w:ind w:firstLine="640" w:firstLineChars="200"/>
        <w:jc w:val="left"/>
        <w:rPr>
          <w:rFonts w:eastAsia="仿宋_GB2312"/>
          <w:bCs/>
          <w:szCs w:val="32"/>
        </w:rPr>
      </w:pPr>
      <w:r>
        <w:rPr>
          <w:rFonts w:eastAsia="仿宋_GB2312"/>
          <w:bCs/>
          <w:szCs w:val="32"/>
        </w:rPr>
        <w:t>2.1.18面罩（包含所有部件）的额定压力范围；</w:t>
      </w:r>
    </w:p>
    <w:p>
      <w:pPr>
        <w:spacing w:line="520" w:lineRule="exact"/>
        <w:ind w:firstLine="640" w:firstLineChars="200"/>
        <w:jc w:val="left"/>
        <w:rPr>
          <w:rFonts w:eastAsia="仿宋_GB2312"/>
          <w:bCs/>
          <w:szCs w:val="32"/>
        </w:rPr>
      </w:pPr>
      <w:r>
        <w:rPr>
          <w:rFonts w:eastAsia="仿宋_GB2312"/>
          <w:bCs/>
          <w:szCs w:val="32"/>
        </w:rPr>
        <w:t>2.1.19在流速为50L/min和100L/min条件下，通过测量面罩和患者连接口之间的压力降得到的气阻；</w:t>
      </w:r>
    </w:p>
    <w:p>
      <w:pPr>
        <w:spacing w:line="520" w:lineRule="exact"/>
        <w:ind w:firstLine="640" w:firstLineChars="200"/>
        <w:jc w:val="left"/>
        <w:rPr>
          <w:rFonts w:eastAsia="仿宋_GB2312"/>
          <w:bCs/>
          <w:szCs w:val="32"/>
        </w:rPr>
      </w:pPr>
      <w:r>
        <w:rPr>
          <w:rFonts w:eastAsia="仿宋_GB2312"/>
          <w:bCs/>
          <w:szCs w:val="32"/>
        </w:rPr>
        <w:t>2.1.20防窒息阀的开启压力和关闭压力（如适用）；</w:t>
      </w:r>
    </w:p>
    <w:p>
      <w:pPr>
        <w:spacing w:line="520" w:lineRule="exact"/>
        <w:ind w:firstLine="640" w:firstLineChars="200"/>
        <w:jc w:val="left"/>
        <w:rPr>
          <w:rFonts w:eastAsia="仿宋_GB2312"/>
          <w:bCs/>
          <w:szCs w:val="32"/>
        </w:rPr>
      </w:pPr>
      <w:r>
        <w:rPr>
          <w:rFonts w:eastAsia="仿宋_GB2312"/>
          <w:bCs/>
          <w:szCs w:val="32"/>
        </w:rPr>
        <w:t>2.1.21当防窒息阀打开与大气接通时，面罩吸气和呼气的气阻（如适用）；</w:t>
      </w:r>
    </w:p>
    <w:p>
      <w:pPr>
        <w:spacing w:line="520" w:lineRule="exact"/>
        <w:ind w:firstLine="640" w:firstLineChars="200"/>
        <w:jc w:val="left"/>
        <w:rPr>
          <w:rFonts w:eastAsia="仿宋_GB2312"/>
          <w:bCs/>
          <w:szCs w:val="32"/>
        </w:rPr>
      </w:pPr>
      <w:r>
        <w:rPr>
          <w:rFonts w:eastAsia="仿宋_GB2312"/>
          <w:bCs/>
          <w:szCs w:val="32"/>
        </w:rPr>
        <w:t>2.1.22面罩和附件引起的A计权声功率水平和距其1m处的A计权声压水平。</w:t>
      </w:r>
    </w:p>
    <w:p>
      <w:pPr>
        <w:spacing w:line="520" w:lineRule="exact"/>
        <w:ind w:firstLine="640" w:firstLineChars="200"/>
        <w:jc w:val="left"/>
        <w:rPr>
          <w:rFonts w:eastAsia="仿宋_GB2312"/>
          <w:bCs/>
          <w:szCs w:val="32"/>
        </w:rPr>
      </w:pPr>
      <w:r>
        <w:rPr>
          <w:rFonts w:eastAsia="仿宋_GB2312"/>
          <w:bCs/>
          <w:szCs w:val="32"/>
        </w:rPr>
        <w:t>2.2如果适用，包装标签、面罩或附件的标识，和/或随机文件应包括以下信息：</w:t>
      </w:r>
    </w:p>
    <w:p>
      <w:pPr>
        <w:spacing w:line="520" w:lineRule="exact"/>
        <w:ind w:firstLine="640" w:firstLineChars="200"/>
        <w:jc w:val="left"/>
        <w:rPr>
          <w:rFonts w:eastAsia="仿宋_GB2312"/>
          <w:bCs/>
          <w:szCs w:val="32"/>
        </w:rPr>
      </w:pPr>
      <w:r>
        <w:rPr>
          <w:rFonts w:eastAsia="仿宋_GB2312"/>
          <w:bCs/>
          <w:szCs w:val="32"/>
        </w:rPr>
        <w:t>2.2.1序列号或批号；</w:t>
      </w:r>
    </w:p>
    <w:p>
      <w:pPr>
        <w:spacing w:line="520" w:lineRule="exact"/>
        <w:ind w:firstLine="640" w:firstLineChars="200"/>
        <w:jc w:val="left"/>
        <w:rPr>
          <w:rFonts w:eastAsia="仿宋_GB2312"/>
          <w:bCs/>
          <w:szCs w:val="32"/>
        </w:rPr>
      </w:pPr>
      <w:r>
        <w:rPr>
          <w:rFonts w:eastAsia="仿宋_GB2312"/>
          <w:bCs/>
          <w:szCs w:val="32"/>
        </w:rPr>
        <w:t>2.2.2面罩和所有应用附件安全使用期限，以年月日标识；</w:t>
      </w:r>
    </w:p>
    <w:p>
      <w:pPr>
        <w:spacing w:line="520" w:lineRule="exact"/>
        <w:ind w:firstLine="640" w:firstLineChars="200"/>
        <w:jc w:val="left"/>
        <w:rPr>
          <w:rFonts w:eastAsia="仿宋_GB2312"/>
          <w:bCs/>
          <w:szCs w:val="32"/>
        </w:rPr>
      </w:pPr>
      <w:r>
        <w:rPr>
          <w:rFonts w:eastAsia="仿宋_GB2312"/>
          <w:bCs/>
          <w:szCs w:val="32"/>
        </w:rPr>
        <w:t>2.2.3关于与其他医疗器械一起使用时面罩性能变化的说明；</w:t>
      </w:r>
    </w:p>
    <w:p>
      <w:pPr>
        <w:spacing w:line="520" w:lineRule="exact"/>
        <w:ind w:firstLine="640" w:firstLineChars="200"/>
        <w:jc w:val="left"/>
        <w:rPr>
          <w:rFonts w:eastAsia="仿宋_GB2312"/>
          <w:bCs/>
          <w:szCs w:val="32"/>
        </w:rPr>
      </w:pPr>
      <w:r>
        <w:rPr>
          <w:rFonts w:eastAsia="仿宋_GB2312"/>
          <w:bCs/>
          <w:szCs w:val="32"/>
        </w:rPr>
        <w:t>2.2.4如果是无菌包装，应符合YY/T 0466.1中关于无菌、灭菌标识的规定；</w:t>
      </w:r>
    </w:p>
    <w:p>
      <w:pPr>
        <w:spacing w:line="520" w:lineRule="exact"/>
        <w:ind w:firstLine="640" w:firstLineChars="200"/>
        <w:jc w:val="left"/>
        <w:rPr>
          <w:rFonts w:eastAsia="仿宋_GB2312"/>
          <w:bCs/>
          <w:szCs w:val="32"/>
        </w:rPr>
      </w:pPr>
      <w:r>
        <w:rPr>
          <w:rFonts w:eastAsia="仿宋_GB2312"/>
          <w:bCs/>
          <w:szCs w:val="32"/>
        </w:rPr>
        <w:t>2.2.5关于灭菌包装（材料）损坏后和重复灭菌的方法细节的必要说明。如产品不能重复灭菌，应当注明“不得二次灭菌符号”；</w:t>
      </w:r>
    </w:p>
    <w:p>
      <w:pPr>
        <w:spacing w:line="520" w:lineRule="exact"/>
        <w:ind w:firstLine="640" w:firstLineChars="200"/>
        <w:jc w:val="left"/>
        <w:rPr>
          <w:rFonts w:eastAsia="仿宋_GB2312"/>
          <w:bCs/>
          <w:szCs w:val="32"/>
        </w:rPr>
      </w:pPr>
      <w:r>
        <w:rPr>
          <w:rFonts w:eastAsia="仿宋_GB2312"/>
          <w:bCs/>
          <w:szCs w:val="32"/>
        </w:rPr>
        <w:t>2.2.6已灭菌产品应当注明灭菌方式、“无菌”、“无菌失效年月”等字样或者符号，如发现包装破损，严禁使用；</w:t>
      </w:r>
    </w:p>
    <w:p>
      <w:pPr>
        <w:spacing w:line="520" w:lineRule="exact"/>
        <w:ind w:firstLine="640" w:firstLineChars="200"/>
        <w:jc w:val="left"/>
        <w:rPr>
          <w:rFonts w:eastAsia="仿宋_GB2312"/>
          <w:bCs/>
          <w:szCs w:val="32"/>
        </w:rPr>
      </w:pPr>
      <w:r>
        <w:rPr>
          <w:rFonts w:eastAsia="仿宋_GB2312"/>
          <w:bCs/>
          <w:szCs w:val="32"/>
        </w:rPr>
        <w:t>2.2.7使用前检查包装是否完好，并对包装标志、生产日期、灭菌有效期进行确认，并在灭菌有效期内使用；</w:t>
      </w:r>
    </w:p>
    <w:p>
      <w:pPr>
        <w:spacing w:line="520" w:lineRule="exact"/>
        <w:ind w:firstLine="640" w:firstLineChars="200"/>
        <w:jc w:val="left"/>
        <w:rPr>
          <w:rFonts w:eastAsia="仿宋_GB2312"/>
          <w:bCs/>
          <w:szCs w:val="32"/>
        </w:rPr>
      </w:pPr>
      <w:r>
        <w:rPr>
          <w:rFonts w:eastAsia="仿宋_GB2312"/>
          <w:bCs/>
          <w:szCs w:val="32"/>
        </w:rPr>
        <w:t>2.2.8一次性使用的产品应当注明“一次性使用”字样或符号，禁止重复使用；</w:t>
      </w:r>
    </w:p>
    <w:p>
      <w:pPr>
        <w:spacing w:line="520" w:lineRule="exact"/>
        <w:ind w:firstLine="640" w:firstLineChars="200"/>
        <w:jc w:val="left"/>
        <w:rPr>
          <w:rFonts w:eastAsia="仿宋_GB2312"/>
          <w:bCs/>
          <w:szCs w:val="32"/>
        </w:rPr>
      </w:pPr>
      <w:r>
        <w:rPr>
          <w:rFonts w:eastAsia="仿宋_GB2312"/>
          <w:bCs/>
          <w:szCs w:val="32"/>
        </w:rPr>
        <w:t>2.2.9非灭菌产品应当注明“非灭菌”符号。</w:t>
      </w:r>
    </w:p>
    <w:p>
      <w:pPr>
        <w:spacing w:line="520" w:lineRule="exact"/>
        <w:ind w:firstLine="640" w:firstLineChars="200"/>
        <w:jc w:val="left"/>
        <w:rPr>
          <w:rFonts w:eastAsia="仿宋_GB2312"/>
          <w:bCs/>
          <w:szCs w:val="32"/>
        </w:rPr>
      </w:pPr>
      <w:r>
        <w:rPr>
          <w:rFonts w:eastAsia="仿宋_GB2312"/>
          <w:bCs/>
          <w:szCs w:val="32"/>
        </w:rPr>
        <w:t>3.说明书、包装标识不得有以下内容：</w:t>
      </w:r>
    </w:p>
    <w:p>
      <w:pPr>
        <w:spacing w:line="520" w:lineRule="exact"/>
        <w:ind w:firstLine="640" w:firstLineChars="200"/>
        <w:jc w:val="left"/>
        <w:rPr>
          <w:rFonts w:eastAsia="仿宋_GB2312"/>
          <w:bCs/>
          <w:szCs w:val="32"/>
        </w:rPr>
      </w:pPr>
      <w:r>
        <w:rPr>
          <w:rFonts w:eastAsia="仿宋_GB2312"/>
          <w:bCs/>
          <w:szCs w:val="32"/>
        </w:rPr>
        <w:t>3.1含有“最高技术”、“最先进”等绝对化的语言；</w:t>
      </w:r>
    </w:p>
    <w:p>
      <w:pPr>
        <w:spacing w:line="520" w:lineRule="exact"/>
        <w:ind w:firstLine="640" w:firstLineChars="200"/>
        <w:jc w:val="left"/>
        <w:rPr>
          <w:rFonts w:eastAsia="仿宋_GB2312"/>
          <w:bCs/>
          <w:szCs w:val="32"/>
        </w:rPr>
      </w:pPr>
      <w:r>
        <w:rPr>
          <w:rFonts w:eastAsia="仿宋_GB2312"/>
          <w:bCs/>
          <w:szCs w:val="32"/>
        </w:rPr>
        <w:t>3.2与其他企业产品的功效和安全性能相比的语言；</w:t>
      </w:r>
    </w:p>
    <w:p>
      <w:pPr>
        <w:spacing w:line="520" w:lineRule="exact"/>
        <w:ind w:firstLine="640" w:firstLineChars="200"/>
        <w:jc w:val="left"/>
        <w:rPr>
          <w:rFonts w:eastAsia="仿宋_GB2312"/>
          <w:bCs/>
          <w:szCs w:val="32"/>
        </w:rPr>
      </w:pPr>
      <w:r>
        <w:rPr>
          <w:rFonts w:eastAsia="仿宋_GB2312"/>
          <w:bCs/>
          <w:szCs w:val="32"/>
        </w:rPr>
        <w:t>3.3含有“保险公司保险”等承诺性的语言；</w:t>
      </w:r>
    </w:p>
    <w:p>
      <w:pPr>
        <w:spacing w:line="520" w:lineRule="exact"/>
        <w:ind w:firstLine="640" w:firstLineChars="200"/>
        <w:jc w:val="left"/>
        <w:rPr>
          <w:rFonts w:eastAsia="仿宋_GB2312"/>
          <w:bCs/>
          <w:szCs w:val="32"/>
        </w:rPr>
      </w:pPr>
      <w:r>
        <w:rPr>
          <w:rFonts w:eastAsia="仿宋_GB2312"/>
          <w:bCs/>
          <w:szCs w:val="32"/>
        </w:rPr>
        <w:t>3.4利用任何单位或个人名义、形象作证明或者推荐的；</w:t>
      </w:r>
    </w:p>
    <w:p>
      <w:pPr>
        <w:spacing w:line="520" w:lineRule="exact"/>
        <w:ind w:firstLine="640" w:firstLineChars="200"/>
        <w:jc w:val="left"/>
        <w:rPr>
          <w:rFonts w:eastAsia="仿宋_GB2312"/>
          <w:bCs/>
          <w:szCs w:val="32"/>
        </w:rPr>
      </w:pPr>
      <w:r>
        <w:rPr>
          <w:rFonts w:eastAsia="仿宋_GB2312"/>
          <w:bCs/>
          <w:szCs w:val="32"/>
        </w:rPr>
        <w:t>3.5法律、法规规定禁止的其他内容。</w:t>
      </w:r>
    </w:p>
    <w:p>
      <w:pPr>
        <w:spacing w:line="520" w:lineRule="exact"/>
        <w:ind w:firstLine="640" w:firstLineChars="200"/>
        <w:jc w:val="left"/>
        <w:rPr>
          <w:rFonts w:eastAsia="仿宋_GB2312"/>
          <w:bCs/>
          <w:szCs w:val="32"/>
        </w:rPr>
      </w:pPr>
      <w:r>
        <w:rPr>
          <w:rFonts w:eastAsia="仿宋_GB2312"/>
          <w:bCs/>
          <w:szCs w:val="32"/>
        </w:rPr>
        <w:t>4.标签和包装标识</w:t>
      </w:r>
    </w:p>
    <w:p>
      <w:pPr>
        <w:spacing w:line="520" w:lineRule="exact"/>
        <w:ind w:firstLine="640" w:firstLineChars="200"/>
        <w:outlineLvl w:val="1"/>
        <w:rPr>
          <w:rFonts w:eastAsia="仿宋_GB2312"/>
          <w:bCs/>
          <w:szCs w:val="32"/>
        </w:rPr>
      </w:pPr>
      <w:r>
        <w:rPr>
          <w:rFonts w:eastAsia="仿宋_GB2312"/>
          <w:bCs/>
          <w:szCs w:val="32"/>
        </w:rPr>
        <w:t>持续正压通气用面罩、口罩、鼻罩产品的包装标识应符合YY/T 0466.1《医疗器械 用于医疗器械标签、标记和提供信息的符号 第1部分：通用要求》等标准的要求。</w:t>
      </w:r>
    </w:p>
    <w:p>
      <w:pPr>
        <w:spacing w:line="520" w:lineRule="exact"/>
        <w:ind w:firstLine="640" w:firstLineChars="200"/>
        <w:rPr>
          <w:rFonts w:eastAsia="黑体"/>
          <w:color w:val="000000"/>
          <w:szCs w:val="32"/>
        </w:rPr>
      </w:pPr>
      <w:r>
        <w:rPr>
          <w:rFonts w:eastAsia="黑体"/>
          <w:color w:val="000000"/>
          <w:szCs w:val="32"/>
        </w:rPr>
        <w:t>三、参考文献</w:t>
      </w:r>
    </w:p>
    <w:p>
      <w:pPr>
        <w:spacing w:line="520" w:lineRule="exact"/>
        <w:ind w:right="-102" w:rightChars="-32" w:firstLine="640" w:firstLineChars="200"/>
        <w:rPr>
          <w:rFonts w:eastAsia="仿宋_GB2312"/>
          <w:color w:val="000000"/>
          <w:szCs w:val="32"/>
        </w:rPr>
      </w:pPr>
      <w:bookmarkStart w:id="24" w:name="_Ref455122128"/>
      <w:r>
        <w:rPr>
          <w:rFonts w:eastAsia="仿宋_GB2312"/>
          <w:szCs w:val="32"/>
        </w:rPr>
        <w:t>[1]</w:t>
      </w:r>
      <w:bookmarkEnd w:id="24"/>
      <w:r>
        <w:rPr>
          <w:rFonts w:eastAsia="仿宋_GB2312"/>
          <w:color w:val="000000"/>
          <w:szCs w:val="32"/>
          <w:lang w:val="en"/>
        </w:rPr>
        <w:t>中华人民共和国国务院</w:t>
      </w:r>
      <w:r>
        <w:rPr>
          <w:rFonts w:hint="eastAsia" w:eastAsia="仿宋_GB2312"/>
          <w:color w:val="000000"/>
          <w:szCs w:val="32"/>
          <w:lang w:val="en"/>
        </w:rPr>
        <w:t>.</w:t>
      </w:r>
      <w:r>
        <w:rPr>
          <w:rFonts w:eastAsia="仿宋_GB2312"/>
          <w:color w:val="000000"/>
          <w:szCs w:val="32"/>
        </w:rPr>
        <w:t>医疗器械监督管理条例</w:t>
      </w:r>
      <w:r>
        <w:rPr>
          <w:rFonts w:hint="eastAsia" w:eastAsia="仿宋_GB2312"/>
          <w:color w:val="000000"/>
          <w:szCs w:val="32"/>
        </w:rPr>
        <w:t>:</w:t>
      </w:r>
      <w:r>
        <w:rPr>
          <w:rFonts w:eastAsia="仿宋_GB2312"/>
          <w:color w:val="000000"/>
          <w:szCs w:val="32"/>
          <w:lang w:val="en"/>
        </w:rPr>
        <w:t>中华人民共和国国务院令第739号</w:t>
      </w:r>
      <w:r>
        <w:rPr>
          <w:rFonts w:eastAsia="仿宋_GB2312"/>
          <w:color w:val="000000"/>
          <w:szCs w:val="32"/>
        </w:rPr>
        <w:t>[Z].</w:t>
      </w:r>
    </w:p>
    <w:p>
      <w:pPr>
        <w:spacing w:line="520" w:lineRule="exact"/>
        <w:ind w:right="-102" w:rightChars="-32" w:firstLine="640" w:firstLineChars="200"/>
        <w:rPr>
          <w:rFonts w:eastAsia="仿宋_GB2312"/>
          <w:color w:val="000000"/>
          <w:szCs w:val="32"/>
        </w:rPr>
      </w:pPr>
      <w:bookmarkStart w:id="25" w:name="_Ref455122141"/>
      <w:r>
        <w:rPr>
          <w:rFonts w:eastAsia="仿宋_GB2312"/>
          <w:szCs w:val="32"/>
        </w:rPr>
        <w:t>[2]</w:t>
      </w:r>
      <w:bookmarkEnd w:id="25"/>
      <w:r>
        <w:rPr>
          <w:rFonts w:eastAsia="仿宋_GB2312"/>
          <w:color w:val="000000"/>
          <w:szCs w:val="32"/>
        </w:rPr>
        <w:t>国家市场监督管理总局</w:t>
      </w:r>
      <w:r>
        <w:rPr>
          <w:rFonts w:hint="eastAsia" w:eastAsia="仿宋_GB2312"/>
          <w:color w:val="000000"/>
          <w:szCs w:val="32"/>
        </w:rPr>
        <w:t>.</w:t>
      </w:r>
      <w:r>
        <w:rPr>
          <w:rFonts w:eastAsia="仿宋_GB2312"/>
          <w:color w:val="000000"/>
          <w:szCs w:val="32"/>
        </w:rPr>
        <w:t>医疗器械注册与备案管理办法:国家市场监督管理总局令第47号[Z].</w:t>
      </w:r>
    </w:p>
    <w:p>
      <w:pPr>
        <w:spacing w:line="520" w:lineRule="exact"/>
        <w:ind w:firstLine="640" w:firstLineChars="200"/>
        <w:rPr>
          <w:rFonts w:eastAsia="仿宋_GB2312"/>
          <w:szCs w:val="32"/>
        </w:rPr>
      </w:pPr>
      <w:r>
        <w:rPr>
          <w:rFonts w:eastAsia="仿宋_GB2312"/>
          <w:szCs w:val="32"/>
        </w:rPr>
        <w:t>[3]</w:t>
      </w:r>
      <w:r>
        <w:rPr>
          <w:rFonts w:hint="eastAsia" w:eastAsia="仿宋_GB2312"/>
          <w:szCs w:val="32"/>
        </w:rPr>
        <w:t>国家食品药品监督管理局.医疗器械说明书和标签管理规定:国家食品药品监督管理总局令第6号[Z].</w:t>
      </w:r>
    </w:p>
    <w:p>
      <w:pPr>
        <w:spacing w:line="520" w:lineRule="exact"/>
        <w:ind w:firstLine="640" w:firstLineChars="200"/>
        <w:rPr>
          <w:rFonts w:eastAsia="仿宋_GB2312"/>
          <w:color w:val="000000"/>
          <w:szCs w:val="32"/>
        </w:rPr>
      </w:pPr>
      <w:r>
        <w:rPr>
          <w:rFonts w:eastAsia="仿宋_GB2312"/>
          <w:szCs w:val="32"/>
        </w:rPr>
        <w:t>[4]</w:t>
      </w:r>
      <w:r>
        <w:rPr>
          <w:rFonts w:hint="eastAsia" w:eastAsia="仿宋_GB2312"/>
          <w:color w:val="000000"/>
          <w:szCs w:val="32"/>
        </w:rPr>
        <w:t>国家食品药品监督管理局.</w:t>
      </w:r>
      <w:r>
        <w:rPr>
          <w:rFonts w:eastAsia="仿宋_GB2312"/>
          <w:color w:val="000000"/>
          <w:szCs w:val="32"/>
        </w:rPr>
        <w:t>医疗器械分类规则</w:t>
      </w:r>
      <w:r>
        <w:rPr>
          <w:rFonts w:hint="eastAsia" w:eastAsia="仿宋_GB2312"/>
          <w:color w:val="000000"/>
          <w:szCs w:val="32"/>
        </w:rPr>
        <w:t>:</w:t>
      </w:r>
      <w:r>
        <w:rPr>
          <w:rFonts w:eastAsia="仿宋_GB2312"/>
          <w:color w:val="000000"/>
          <w:szCs w:val="32"/>
          <w:lang w:val="en"/>
        </w:rPr>
        <w:t>国家食品药品监督管理总局令第15号</w:t>
      </w:r>
      <w:r>
        <w:rPr>
          <w:rFonts w:eastAsia="仿宋_GB2312"/>
          <w:color w:val="000000"/>
          <w:szCs w:val="32"/>
        </w:rPr>
        <w:t>[Z].</w:t>
      </w:r>
    </w:p>
    <w:p>
      <w:pPr>
        <w:spacing w:line="520" w:lineRule="exact"/>
        <w:ind w:right="-102" w:rightChars="-32" w:firstLine="640" w:firstLineChars="200"/>
        <w:rPr>
          <w:rFonts w:eastAsia="仿宋_GB2312"/>
          <w:color w:val="000000"/>
          <w:szCs w:val="32"/>
        </w:rPr>
      </w:pPr>
      <w:bookmarkStart w:id="26" w:name="_Ref455123912"/>
      <w:r>
        <w:rPr>
          <w:rFonts w:eastAsia="仿宋_GB2312"/>
          <w:szCs w:val="32"/>
        </w:rPr>
        <w:t>[5]</w:t>
      </w:r>
      <w:bookmarkEnd w:id="26"/>
      <w:r>
        <w:rPr>
          <w:rFonts w:eastAsia="仿宋_GB2312"/>
          <w:szCs w:val="28"/>
        </w:rPr>
        <w:t>国家食品药品监督管理局</w:t>
      </w:r>
      <w:r>
        <w:rPr>
          <w:rFonts w:hint="eastAsia" w:eastAsia="仿宋_GB2312"/>
          <w:color w:val="000000"/>
          <w:szCs w:val="32"/>
        </w:rPr>
        <w:t>.</w:t>
      </w:r>
      <w:r>
        <w:rPr>
          <w:rFonts w:eastAsia="仿宋_GB2312"/>
          <w:color w:val="000000"/>
          <w:szCs w:val="32"/>
        </w:rPr>
        <w:t>医疗器械通用名称命名规则</w:t>
      </w:r>
      <w:r>
        <w:rPr>
          <w:rFonts w:hint="eastAsia" w:eastAsia="仿宋_GB2312"/>
          <w:color w:val="000000"/>
          <w:szCs w:val="32"/>
        </w:rPr>
        <w:t>:</w:t>
      </w:r>
      <w:r>
        <w:rPr>
          <w:rFonts w:eastAsia="仿宋_GB2312"/>
          <w:szCs w:val="28"/>
        </w:rPr>
        <w:t>国家食品药品监督管理总局令第19号</w:t>
      </w:r>
      <w:r>
        <w:rPr>
          <w:rFonts w:eastAsia="仿宋_GB2312"/>
          <w:color w:val="000000"/>
          <w:szCs w:val="32"/>
        </w:rPr>
        <w:t>[Z].</w:t>
      </w:r>
    </w:p>
    <w:p>
      <w:pPr>
        <w:spacing w:line="520" w:lineRule="exact"/>
        <w:ind w:right="-102" w:rightChars="-32" w:firstLine="640" w:firstLineChars="200"/>
        <w:rPr>
          <w:rFonts w:eastAsia="仿宋_GB2312"/>
          <w:color w:val="000000"/>
          <w:szCs w:val="32"/>
        </w:rPr>
      </w:pPr>
      <w:r>
        <w:rPr>
          <w:rFonts w:eastAsia="仿宋_GB2312"/>
          <w:szCs w:val="32"/>
        </w:rPr>
        <w:t>[6]</w:t>
      </w:r>
      <w:r>
        <w:rPr>
          <w:rFonts w:eastAsia="仿宋_GB2312"/>
          <w:color w:val="000000"/>
          <w:szCs w:val="32"/>
          <w:lang w:val="en"/>
        </w:rPr>
        <w:t>国家食品药品监督管理局</w:t>
      </w:r>
      <w:r>
        <w:rPr>
          <w:rFonts w:eastAsia="仿宋_GB2312"/>
          <w:color w:val="000000"/>
          <w:szCs w:val="32"/>
        </w:rPr>
        <w:t>.医疗器械分类目录</w:t>
      </w:r>
      <w:r>
        <w:rPr>
          <w:rFonts w:hint="eastAsia" w:eastAsia="仿宋_GB2312"/>
          <w:color w:val="000000"/>
          <w:szCs w:val="32"/>
        </w:rPr>
        <w:t>:</w:t>
      </w:r>
      <w:r>
        <w:rPr>
          <w:rFonts w:eastAsia="仿宋_GB2312"/>
          <w:color w:val="000000"/>
          <w:szCs w:val="32"/>
          <w:lang w:val="en"/>
        </w:rPr>
        <w:t>国家食品药品监督管理总局</w:t>
      </w:r>
      <w:r>
        <w:rPr>
          <w:rFonts w:hint="eastAsia" w:eastAsia="仿宋_GB2312"/>
          <w:color w:val="000000"/>
          <w:szCs w:val="32"/>
          <w:lang w:val="en"/>
        </w:rPr>
        <w:t>关于发布医疗器械分类目录的公告</w:t>
      </w:r>
      <w:r>
        <w:rPr>
          <w:rFonts w:eastAsia="仿宋_GB2312"/>
          <w:color w:val="000000"/>
          <w:szCs w:val="32"/>
          <w:lang w:val="en"/>
        </w:rPr>
        <w:t>2017年第104号</w:t>
      </w:r>
      <w:r>
        <w:rPr>
          <w:rFonts w:eastAsia="仿宋_GB2312"/>
          <w:color w:val="000000"/>
          <w:szCs w:val="32"/>
        </w:rPr>
        <w:t>[Z].</w:t>
      </w:r>
    </w:p>
    <w:p>
      <w:pPr>
        <w:spacing w:line="520" w:lineRule="exact"/>
        <w:ind w:right="-102" w:rightChars="-32" w:firstLine="640" w:firstLineChars="200"/>
        <w:rPr>
          <w:rFonts w:eastAsia="仿宋_GB2312"/>
          <w:color w:val="000000"/>
          <w:szCs w:val="32"/>
        </w:rPr>
      </w:pPr>
      <w:r>
        <w:rPr>
          <w:rFonts w:eastAsia="仿宋_GB2312"/>
          <w:szCs w:val="32"/>
        </w:rPr>
        <w:t>[7]</w:t>
      </w:r>
      <w:r>
        <w:rPr>
          <w:rFonts w:eastAsia="仿宋_GB2312"/>
          <w:color w:val="000000"/>
          <w:szCs w:val="32"/>
          <w:lang w:val="en"/>
        </w:rPr>
        <w:t>国家食品药品监督管理局</w:t>
      </w:r>
      <w:r>
        <w:rPr>
          <w:rFonts w:eastAsia="仿宋_GB2312"/>
          <w:color w:val="000000"/>
          <w:szCs w:val="32"/>
        </w:rPr>
        <w:t>.医疗器械注册单元划分指导原则</w:t>
      </w:r>
      <w:r>
        <w:rPr>
          <w:rFonts w:hint="eastAsia" w:eastAsia="仿宋_GB2312"/>
          <w:color w:val="000000"/>
          <w:szCs w:val="32"/>
        </w:rPr>
        <w:t>:总局关于发布</w:t>
      </w:r>
      <w:r>
        <w:rPr>
          <w:rFonts w:eastAsia="仿宋_GB2312"/>
          <w:color w:val="000000"/>
          <w:szCs w:val="32"/>
        </w:rPr>
        <w:t>医疗器械注册单元划分指导原则</w:t>
      </w:r>
      <w:r>
        <w:rPr>
          <w:rFonts w:hint="eastAsia" w:eastAsia="仿宋_GB2312"/>
          <w:color w:val="000000"/>
          <w:szCs w:val="32"/>
        </w:rPr>
        <w:t>的通</w:t>
      </w:r>
      <w:r>
        <w:rPr>
          <w:rFonts w:eastAsia="仿宋_GB2312"/>
          <w:color w:val="000000"/>
          <w:szCs w:val="32"/>
          <w:lang w:val="en"/>
        </w:rPr>
        <w:t>告2017年第187号</w:t>
      </w:r>
      <w:r>
        <w:rPr>
          <w:rFonts w:eastAsia="仿宋_GB2312"/>
          <w:color w:val="000000"/>
          <w:szCs w:val="32"/>
        </w:rPr>
        <w:t>[Z].</w:t>
      </w:r>
    </w:p>
    <w:p>
      <w:pPr>
        <w:spacing w:line="520" w:lineRule="exact"/>
        <w:ind w:firstLine="640" w:firstLineChars="200"/>
        <w:rPr>
          <w:rFonts w:eastAsia="仿宋_GB2312"/>
          <w:color w:val="000000"/>
          <w:szCs w:val="32"/>
        </w:rPr>
      </w:pPr>
      <w:r>
        <w:rPr>
          <w:rFonts w:eastAsia="仿宋_GB2312"/>
          <w:szCs w:val="32"/>
        </w:rPr>
        <w:t>[8]</w:t>
      </w:r>
      <w:r>
        <w:rPr>
          <w:rFonts w:hint="eastAsia" w:eastAsia="仿宋_GB2312"/>
          <w:color w:val="000000"/>
          <w:szCs w:val="32"/>
        </w:rPr>
        <w:t>国家药品监督管理局.</w:t>
      </w:r>
      <w:r>
        <w:rPr>
          <w:rFonts w:eastAsia="仿宋_GB2312"/>
          <w:color w:val="000000"/>
          <w:szCs w:val="32"/>
        </w:rPr>
        <w:t>免于临床评价医疗器械目录</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w:t>
      </w:r>
      <w:r>
        <w:rPr>
          <w:rFonts w:eastAsia="仿宋_GB2312"/>
          <w:color w:val="000000"/>
          <w:szCs w:val="32"/>
          <w:lang w:val="en"/>
        </w:rPr>
        <w:t>局</w:t>
      </w:r>
      <w:r>
        <w:rPr>
          <w:rFonts w:hint="eastAsia" w:eastAsia="仿宋_GB2312"/>
          <w:color w:val="000000"/>
          <w:szCs w:val="32"/>
          <w:lang w:val="en"/>
        </w:rPr>
        <w:t>关于发布</w:t>
      </w:r>
      <w:r>
        <w:rPr>
          <w:rFonts w:eastAsia="仿宋_GB2312"/>
          <w:color w:val="000000"/>
          <w:szCs w:val="32"/>
        </w:rPr>
        <w:t>免于临床评价医疗器械目录</w:t>
      </w:r>
      <w:r>
        <w:rPr>
          <w:rFonts w:hint="eastAsia" w:eastAsia="仿宋_GB2312"/>
          <w:color w:val="000000"/>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71</w:t>
      </w:r>
      <w:r>
        <w:rPr>
          <w:rFonts w:eastAsia="仿宋_GB2312"/>
          <w:color w:val="000000"/>
          <w:szCs w:val="32"/>
          <w:lang w:val="en"/>
        </w:rPr>
        <w:t>号</w:t>
      </w:r>
      <w:r>
        <w:rPr>
          <w:rFonts w:eastAsia="仿宋_GB2312"/>
          <w:color w:val="000000"/>
          <w:szCs w:val="32"/>
        </w:rPr>
        <w:t>[Z].</w:t>
      </w:r>
    </w:p>
    <w:p>
      <w:pPr>
        <w:spacing w:line="520" w:lineRule="exact"/>
        <w:ind w:right="-102" w:rightChars="-32" w:firstLine="640" w:firstLineChars="200"/>
        <w:rPr>
          <w:rFonts w:eastAsia="仿宋_GB2312"/>
          <w:color w:val="000000"/>
          <w:szCs w:val="32"/>
        </w:rPr>
      </w:pPr>
      <w:r>
        <w:rPr>
          <w:rFonts w:eastAsia="仿宋_GB2312"/>
          <w:szCs w:val="32"/>
        </w:rPr>
        <w:t>[9]</w:t>
      </w:r>
      <w:r>
        <w:rPr>
          <w:rFonts w:hint="eastAsia" w:eastAsia="仿宋_GB2312"/>
          <w:color w:val="000000"/>
          <w:szCs w:val="32"/>
        </w:rPr>
        <w:t>国家药品监督管理局.</w:t>
      </w:r>
      <w:r>
        <w:rPr>
          <w:rFonts w:eastAsia="仿宋_GB2312"/>
          <w:color w:val="000000"/>
          <w:szCs w:val="32"/>
        </w:rPr>
        <w:t>列入免于临床评价医疗器械目录产品对比说明技术指导原则</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药监局关于发布医疗器械临床评价技术指导原则等5项技术指导原则的通告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73</w:t>
      </w:r>
      <w:r>
        <w:rPr>
          <w:rFonts w:eastAsia="仿宋_GB2312"/>
          <w:color w:val="000000"/>
          <w:szCs w:val="32"/>
          <w:lang w:val="en"/>
        </w:rPr>
        <w:t>号</w:t>
      </w:r>
      <w:r>
        <w:rPr>
          <w:rFonts w:eastAsia="仿宋_GB2312"/>
          <w:color w:val="000000"/>
          <w:szCs w:val="32"/>
        </w:rPr>
        <w:t>[Z].</w:t>
      </w:r>
    </w:p>
    <w:p>
      <w:pPr>
        <w:spacing w:line="520" w:lineRule="exact"/>
        <w:ind w:firstLine="566" w:firstLineChars="177"/>
        <w:rPr>
          <w:rFonts w:eastAsia="仿宋_GB2312"/>
          <w:szCs w:val="32"/>
        </w:rPr>
      </w:pPr>
      <w:r>
        <w:rPr>
          <w:rFonts w:eastAsia="仿宋_GB2312"/>
          <w:szCs w:val="32"/>
        </w:rPr>
        <w:t>[10]</w:t>
      </w:r>
      <w:r>
        <w:rPr>
          <w:rFonts w:hint="eastAsia" w:eastAsia="仿宋_GB2312"/>
          <w:color w:val="000000"/>
          <w:szCs w:val="32"/>
        </w:rPr>
        <w:t>国家食品药品监督管理局.医疗器械生物学评价和审查指南:</w:t>
      </w:r>
      <w:r>
        <w:rPr>
          <w:rFonts w:hint="eastAsia" w:eastAsia="仿宋_GB2312"/>
          <w:szCs w:val="32"/>
        </w:rPr>
        <w:t>关于印发医疗器械生物学评价和审查指南的通知</w:t>
      </w:r>
      <w:r>
        <w:rPr>
          <w:rFonts w:eastAsia="仿宋_GB2312"/>
          <w:color w:val="000000"/>
          <w:szCs w:val="32"/>
          <w:lang w:val="en"/>
        </w:rPr>
        <w:t>20</w:t>
      </w:r>
      <w:r>
        <w:rPr>
          <w:rFonts w:hint="eastAsia" w:eastAsia="仿宋_GB2312"/>
          <w:color w:val="000000"/>
          <w:szCs w:val="32"/>
          <w:lang w:val="en"/>
        </w:rPr>
        <w:t>0</w:t>
      </w:r>
      <w:r>
        <w:rPr>
          <w:rFonts w:eastAsia="仿宋_GB2312"/>
          <w:color w:val="000000"/>
          <w:szCs w:val="32"/>
          <w:lang w:val="en"/>
        </w:rPr>
        <w:t>7年</w:t>
      </w:r>
      <w:r>
        <w:rPr>
          <w:rFonts w:hint="eastAsia" w:eastAsia="仿宋_GB2312"/>
          <w:color w:val="000000"/>
          <w:szCs w:val="32"/>
          <w:lang w:val="en"/>
        </w:rPr>
        <w:t>345</w:t>
      </w:r>
      <w:r>
        <w:rPr>
          <w:rFonts w:eastAsia="仿宋_GB2312"/>
          <w:color w:val="000000"/>
          <w:szCs w:val="32"/>
          <w:lang w:val="en"/>
        </w:rPr>
        <w:t>号</w:t>
      </w:r>
      <w:r>
        <w:rPr>
          <w:rFonts w:eastAsia="仿宋_GB2312"/>
          <w:szCs w:val="32"/>
        </w:rPr>
        <w:t xml:space="preserve">[Z]. </w:t>
      </w:r>
    </w:p>
    <w:p>
      <w:pPr>
        <w:spacing w:line="520" w:lineRule="exact"/>
        <w:ind w:right="-102" w:rightChars="-32" w:firstLine="640" w:firstLineChars="200"/>
        <w:rPr>
          <w:rFonts w:eastAsia="仿宋_GB2312"/>
          <w:szCs w:val="32"/>
        </w:rPr>
      </w:pPr>
      <w:r>
        <w:rPr>
          <w:rFonts w:eastAsia="仿宋_GB2312"/>
          <w:szCs w:val="32"/>
        </w:rPr>
        <w:t>[11]</w:t>
      </w:r>
      <w:r>
        <w:rPr>
          <w:rFonts w:hint="eastAsia" w:eastAsia="仿宋_GB2312"/>
          <w:color w:val="000000"/>
          <w:szCs w:val="32"/>
        </w:rPr>
        <w:t>国家药品监督管理局.</w:t>
      </w:r>
      <w:r>
        <w:rPr>
          <w:rFonts w:eastAsia="仿宋_GB2312"/>
          <w:szCs w:val="32"/>
        </w:rPr>
        <w:t>医疗器械产品技术要求编写指导原则</w:t>
      </w:r>
      <w:r>
        <w:rPr>
          <w:rFonts w:hint="eastAsia" w:eastAsia="仿宋_GB2312"/>
          <w:szCs w:val="32"/>
        </w:rPr>
        <w:t>:国家药监局关于发布</w:t>
      </w:r>
      <w:r>
        <w:rPr>
          <w:rFonts w:eastAsia="仿宋_GB2312"/>
          <w:szCs w:val="32"/>
        </w:rPr>
        <w:t>医疗器械产品技术要求编写指导原则</w:t>
      </w:r>
      <w:r>
        <w:rPr>
          <w:rFonts w:hint="eastAsia" w:eastAsia="仿宋_GB2312"/>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22</w:t>
      </w:r>
      <w:r>
        <w:rPr>
          <w:rFonts w:eastAsia="仿宋_GB2312"/>
          <w:color w:val="000000"/>
          <w:szCs w:val="32"/>
          <w:lang w:val="en"/>
        </w:rPr>
        <w:t>年第8号</w:t>
      </w:r>
      <w:r>
        <w:rPr>
          <w:rFonts w:eastAsia="仿宋_GB2312"/>
          <w:szCs w:val="32"/>
        </w:rPr>
        <w:t>[Z].</w:t>
      </w:r>
    </w:p>
    <w:p>
      <w:pPr>
        <w:spacing w:line="520" w:lineRule="exact"/>
        <w:ind w:right="-102" w:rightChars="-32" w:firstLine="640" w:firstLineChars="200"/>
        <w:rPr>
          <w:rFonts w:eastAsia="仿宋_GB2312"/>
          <w:color w:val="000000"/>
          <w:szCs w:val="32"/>
        </w:rPr>
      </w:pPr>
      <w:r>
        <w:rPr>
          <w:rFonts w:eastAsia="仿宋_GB2312"/>
          <w:szCs w:val="32"/>
        </w:rPr>
        <w:t>[12]</w:t>
      </w:r>
      <w:bookmarkStart w:id="27" w:name="_Ref455497091"/>
      <w:r>
        <w:rPr>
          <w:rFonts w:hint="eastAsia" w:eastAsia="仿宋_GB2312"/>
          <w:color w:val="000000"/>
          <w:szCs w:val="32"/>
        </w:rPr>
        <w:t>国家药品监督管理局:</w:t>
      </w:r>
      <w:r>
        <w:rPr>
          <w:rFonts w:eastAsia="仿宋_GB2312"/>
          <w:color w:val="000000"/>
          <w:szCs w:val="32"/>
        </w:rPr>
        <w:t>医疗器械注册申报资料要求和批准证明文件格式</w:t>
      </w:r>
      <w:r>
        <w:rPr>
          <w:rFonts w:hint="eastAsia" w:eastAsia="仿宋_GB2312"/>
          <w:color w:val="000000"/>
          <w:szCs w:val="32"/>
        </w:rPr>
        <w:t>:关于公布医疗器械注册申报资料要求和批准证明文件格式的公告2021年第121号</w:t>
      </w:r>
      <w:r>
        <w:rPr>
          <w:rFonts w:eastAsia="仿宋_GB2312"/>
          <w:color w:val="000000"/>
          <w:szCs w:val="32"/>
        </w:rPr>
        <w:t>[Z].</w:t>
      </w:r>
    </w:p>
    <w:p>
      <w:pPr>
        <w:spacing w:line="520" w:lineRule="exact"/>
        <w:ind w:firstLine="566" w:firstLineChars="177"/>
        <w:rPr>
          <w:rFonts w:eastAsia="仿宋_GB2312"/>
          <w:szCs w:val="32"/>
        </w:rPr>
      </w:pPr>
      <w:r>
        <w:rPr>
          <w:rFonts w:eastAsia="仿宋_GB2312"/>
          <w:szCs w:val="32"/>
        </w:rPr>
        <w:t>[13]YY/T 0316,医疗器械风险管理对医疗器械的应用</w:t>
      </w:r>
      <w:bookmarkEnd w:id="27"/>
      <w:r>
        <w:rPr>
          <w:rFonts w:eastAsia="仿宋_GB2312"/>
          <w:szCs w:val="32"/>
        </w:rPr>
        <w:t>[S]</w:t>
      </w:r>
    </w:p>
    <w:p>
      <w:pPr>
        <w:spacing w:line="520" w:lineRule="exact"/>
        <w:ind w:firstLine="566" w:firstLineChars="177"/>
        <w:rPr>
          <w:rFonts w:eastAsia="仿宋_GB2312"/>
          <w:szCs w:val="32"/>
        </w:rPr>
      </w:pPr>
      <w:r>
        <w:rPr>
          <w:rFonts w:eastAsia="仿宋_GB2312"/>
          <w:szCs w:val="32"/>
        </w:rPr>
        <w:t>[14]YY/T 0466.1,医疗器械用于医疗器械标签、标记和提供信息的符号第1部分：通用要求[S].</w:t>
      </w:r>
    </w:p>
    <w:p>
      <w:pPr>
        <w:spacing w:line="520" w:lineRule="exact"/>
        <w:ind w:firstLine="566" w:firstLineChars="177"/>
        <w:rPr>
          <w:rFonts w:eastAsia="仿宋_GB2312"/>
          <w:szCs w:val="32"/>
        </w:rPr>
      </w:pPr>
      <w:r>
        <w:rPr>
          <w:rFonts w:eastAsia="仿宋_GB2312"/>
          <w:szCs w:val="32"/>
        </w:rPr>
        <w:t>[15]</w:t>
      </w:r>
      <w:r>
        <w:t xml:space="preserve"> </w:t>
      </w:r>
      <w:r>
        <w:rPr>
          <w:rFonts w:eastAsia="仿宋_GB2312"/>
          <w:szCs w:val="32"/>
        </w:rPr>
        <w:t>GB/T 191</w:t>
      </w:r>
      <w:r>
        <w:rPr>
          <w:rFonts w:hint="eastAsia" w:eastAsia="仿宋_GB2312"/>
          <w:szCs w:val="32"/>
        </w:rPr>
        <w:t>,</w:t>
      </w:r>
      <w:r>
        <w:rPr>
          <w:rFonts w:eastAsia="仿宋_GB2312"/>
          <w:szCs w:val="32"/>
        </w:rPr>
        <w:t xml:space="preserve">包装储运图示标志[S]. </w:t>
      </w:r>
    </w:p>
    <w:p>
      <w:pPr>
        <w:spacing w:line="520" w:lineRule="exact"/>
        <w:ind w:firstLine="566" w:firstLineChars="177"/>
        <w:rPr>
          <w:rFonts w:eastAsia="仿宋_GB2312"/>
          <w:szCs w:val="32"/>
        </w:rPr>
      </w:pPr>
      <w:r>
        <w:rPr>
          <w:rFonts w:eastAsia="仿宋_GB2312"/>
          <w:szCs w:val="32"/>
        </w:rPr>
        <w:t>[16]</w:t>
      </w:r>
      <w:r>
        <w:t xml:space="preserve"> </w:t>
      </w:r>
      <w:r>
        <w:rPr>
          <w:rFonts w:eastAsia="仿宋_GB2312"/>
          <w:szCs w:val="32"/>
        </w:rPr>
        <w:t>GB/T 3767</w:t>
      </w:r>
      <w:r>
        <w:rPr>
          <w:rFonts w:hint="eastAsia" w:eastAsia="仿宋_GB2312"/>
          <w:szCs w:val="32"/>
        </w:rPr>
        <w:t>,</w:t>
      </w:r>
      <w:r>
        <w:rPr>
          <w:rFonts w:eastAsia="仿宋_GB2312"/>
          <w:szCs w:val="32"/>
        </w:rPr>
        <w:t>声学 声压法测定噪声源声功率级和声能量级 反射面上方近似自由场的工程法[S].</w:t>
      </w:r>
    </w:p>
    <w:p>
      <w:pPr>
        <w:spacing w:line="520" w:lineRule="exact"/>
        <w:ind w:firstLine="566" w:firstLineChars="177"/>
        <w:rPr>
          <w:rFonts w:eastAsia="仿宋_GB2312"/>
          <w:szCs w:val="32"/>
        </w:rPr>
      </w:pPr>
      <w:r>
        <w:rPr>
          <w:rFonts w:eastAsia="仿宋_GB2312"/>
          <w:szCs w:val="32"/>
        </w:rPr>
        <w:t>[17]</w:t>
      </w:r>
      <w:r>
        <w:t xml:space="preserve"> </w:t>
      </w:r>
      <w:r>
        <w:rPr>
          <w:rFonts w:eastAsia="仿宋_GB2312"/>
          <w:szCs w:val="32"/>
        </w:rPr>
        <w:t>GB/T 14574</w:t>
      </w:r>
      <w:r>
        <w:rPr>
          <w:rFonts w:hint="eastAsia" w:eastAsia="仿宋_GB2312"/>
          <w:szCs w:val="32"/>
        </w:rPr>
        <w:t>,</w:t>
      </w:r>
      <w:r>
        <w:rPr>
          <w:rFonts w:eastAsia="仿宋_GB2312"/>
          <w:szCs w:val="32"/>
        </w:rPr>
        <w:t>声学 机器和设备噪声发射值的标示和验证[S].</w:t>
      </w:r>
    </w:p>
    <w:p>
      <w:pPr>
        <w:spacing w:line="520" w:lineRule="exact"/>
        <w:ind w:firstLine="566" w:firstLineChars="177"/>
        <w:rPr>
          <w:rFonts w:eastAsia="仿宋_GB2312"/>
          <w:szCs w:val="32"/>
        </w:rPr>
      </w:pPr>
      <w:r>
        <w:rPr>
          <w:rFonts w:eastAsia="仿宋_GB2312"/>
          <w:szCs w:val="32"/>
        </w:rPr>
        <w:t>[18]</w:t>
      </w:r>
      <w:r>
        <w:t xml:space="preserve"> </w:t>
      </w:r>
      <w:r>
        <w:rPr>
          <w:rFonts w:eastAsia="仿宋_GB2312"/>
          <w:color w:val="000000"/>
          <w:kern w:val="0"/>
          <w:szCs w:val="32"/>
        </w:rPr>
        <w:t>GB/T 14233.1</w:t>
      </w:r>
      <w:r>
        <w:rPr>
          <w:rFonts w:hint="eastAsia" w:eastAsia="仿宋_GB2312"/>
          <w:color w:val="000000"/>
          <w:kern w:val="0"/>
          <w:szCs w:val="32"/>
        </w:rPr>
        <w:t>,</w:t>
      </w:r>
      <w:r>
        <w:rPr>
          <w:rFonts w:eastAsia="仿宋_GB2312"/>
          <w:color w:val="000000"/>
          <w:kern w:val="0"/>
          <w:szCs w:val="32"/>
        </w:rPr>
        <w:t>医用输液、输血、注射器具检验方法 第1部分：化学分析方法</w:t>
      </w:r>
      <w:r>
        <w:rPr>
          <w:rFonts w:eastAsia="仿宋_GB2312"/>
          <w:szCs w:val="32"/>
        </w:rPr>
        <w:t>[S].</w:t>
      </w:r>
    </w:p>
    <w:p>
      <w:pPr>
        <w:spacing w:line="520" w:lineRule="exact"/>
        <w:ind w:firstLine="566" w:firstLineChars="177"/>
        <w:rPr>
          <w:rFonts w:eastAsia="仿宋_GB2312"/>
          <w:szCs w:val="32"/>
        </w:rPr>
      </w:pPr>
      <w:r>
        <w:rPr>
          <w:rFonts w:eastAsia="仿宋_GB2312"/>
          <w:szCs w:val="32"/>
        </w:rPr>
        <w:t>[19]</w:t>
      </w:r>
      <w:r>
        <w:t xml:space="preserve"> </w:t>
      </w:r>
      <w:r>
        <w:rPr>
          <w:rFonts w:eastAsia="仿宋_GB2312"/>
          <w:color w:val="000000"/>
          <w:kern w:val="0"/>
          <w:szCs w:val="32"/>
        </w:rPr>
        <w:t>GB/T 14233.2</w:t>
      </w:r>
      <w:r>
        <w:rPr>
          <w:rFonts w:hint="eastAsia" w:eastAsia="仿宋_GB2312"/>
          <w:color w:val="000000"/>
          <w:kern w:val="0"/>
          <w:szCs w:val="32"/>
        </w:rPr>
        <w:t>,</w:t>
      </w:r>
      <w:r>
        <w:rPr>
          <w:rFonts w:eastAsia="仿宋_GB2312"/>
          <w:color w:val="000000"/>
          <w:kern w:val="0"/>
          <w:szCs w:val="32"/>
        </w:rPr>
        <w:t>医用输液、输血、注射器具检验方法 第2部分：生物试验方法</w:t>
      </w:r>
      <w:r>
        <w:rPr>
          <w:rFonts w:eastAsia="仿宋_GB2312"/>
          <w:szCs w:val="32"/>
        </w:rPr>
        <w:t>[S].</w:t>
      </w:r>
    </w:p>
    <w:p>
      <w:pPr>
        <w:spacing w:line="520" w:lineRule="exact"/>
        <w:ind w:firstLine="566" w:firstLineChars="177"/>
        <w:rPr>
          <w:rFonts w:eastAsia="仿宋_GB2312"/>
          <w:szCs w:val="32"/>
        </w:rPr>
      </w:pPr>
      <w:r>
        <w:rPr>
          <w:rFonts w:eastAsia="仿宋_GB2312"/>
          <w:szCs w:val="32"/>
        </w:rPr>
        <w:t>[20]</w:t>
      </w:r>
      <w:r>
        <w:rPr>
          <w:rFonts w:eastAsia="仿宋_GB2312"/>
          <w:color w:val="000000"/>
          <w:kern w:val="0"/>
          <w:szCs w:val="32"/>
        </w:rPr>
        <w:t>GB/T 16886.1</w:t>
      </w:r>
      <w:r>
        <w:rPr>
          <w:rFonts w:hint="eastAsia" w:eastAsia="仿宋_GB2312"/>
          <w:szCs w:val="32"/>
        </w:rPr>
        <w:t>,</w:t>
      </w:r>
      <w:r>
        <w:rPr>
          <w:rFonts w:eastAsia="仿宋_GB2312"/>
          <w:color w:val="000000"/>
          <w:kern w:val="0"/>
          <w:szCs w:val="32"/>
        </w:rPr>
        <w:t>医疗器械生物学评价  第1部分：风险管理过程中的评价与试验</w:t>
      </w:r>
      <w:r>
        <w:rPr>
          <w:rFonts w:eastAsia="仿宋_GB2312"/>
          <w:szCs w:val="32"/>
        </w:rPr>
        <w:t>[S].</w:t>
      </w:r>
    </w:p>
    <w:p>
      <w:pPr>
        <w:spacing w:line="520" w:lineRule="exact"/>
        <w:ind w:firstLine="566" w:firstLineChars="177"/>
        <w:rPr>
          <w:rFonts w:eastAsia="仿宋_GB2312"/>
          <w:szCs w:val="32"/>
        </w:rPr>
      </w:pPr>
      <w:r>
        <w:rPr>
          <w:rFonts w:eastAsia="仿宋_GB2312"/>
          <w:szCs w:val="32"/>
        </w:rPr>
        <w:t>[21]</w:t>
      </w:r>
      <w:r>
        <w:rPr>
          <w:rFonts w:eastAsia="仿宋_GB2312"/>
          <w:color w:val="000000"/>
          <w:kern w:val="0"/>
          <w:szCs w:val="32"/>
        </w:rPr>
        <w:t>GB/T 16886.3</w:t>
      </w:r>
      <w:r>
        <w:rPr>
          <w:rFonts w:hint="eastAsia" w:eastAsia="仿宋_GB2312"/>
          <w:szCs w:val="32"/>
        </w:rPr>
        <w:t>,</w:t>
      </w:r>
      <w:r>
        <w:rPr>
          <w:rFonts w:eastAsia="仿宋_GB2312"/>
          <w:color w:val="000000"/>
          <w:kern w:val="0"/>
          <w:szCs w:val="32"/>
        </w:rPr>
        <w:t>医疗器械生物学评价  第3部分：遗传毒性、致癌性和生殖毒性试验</w:t>
      </w:r>
      <w:r>
        <w:rPr>
          <w:rFonts w:eastAsia="仿宋_GB2312"/>
          <w:szCs w:val="32"/>
        </w:rPr>
        <w:t>[S].</w:t>
      </w:r>
    </w:p>
    <w:p>
      <w:pPr>
        <w:spacing w:line="520" w:lineRule="exact"/>
        <w:ind w:firstLine="566" w:firstLineChars="177"/>
        <w:rPr>
          <w:rFonts w:eastAsia="仿宋_GB2312"/>
          <w:szCs w:val="32"/>
        </w:rPr>
      </w:pPr>
      <w:r>
        <w:rPr>
          <w:rFonts w:eastAsia="仿宋_GB2312"/>
          <w:szCs w:val="32"/>
        </w:rPr>
        <w:t>[22]</w:t>
      </w:r>
      <w:r>
        <w:rPr>
          <w:rFonts w:eastAsia="仿宋_GB2312"/>
          <w:color w:val="000000"/>
          <w:kern w:val="0"/>
          <w:szCs w:val="32"/>
        </w:rPr>
        <w:t>GB/T 16886.5</w:t>
      </w:r>
      <w:r>
        <w:rPr>
          <w:rFonts w:hint="eastAsia" w:eastAsia="仿宋_GB2312"/>
          <w:szCs w:val="32"/>
        </w:rPr>
        <w:t>,</w:t>
      </w:r>
      <w:r>
        <w:rPr>
          <w:rFonts w:eastAsia="仿宋_GB2312"/>
          <w:color w:val="000000"/>
          <w:kern w:val="0"/>
          <w:szCs w:val="32"/>
        </w:rPr>
        <w:t>医疗器械生物学评价  第5部分：体外细胞毒性试验</w:t>
      </w:r>
      <w:r>
        <w:rPr>
          <w:rFonts w:eastAsia="仿宋_GB2312"/>
          <w:szCs w:val="32"/>
        </w:rPr>
        <w:t>[S].</w:t>
      </w:r>
    </w:p>
    <w:p>
      <w:pPr>
        <w:spacing w:line="520" w:lineRule="exact"/>
        <w:ind w:firstLine="566" w:firstLineChars="177"/>
        <w:rPr>
          <w:rFonts w:eastAsia="仿宋_GB2312"/>
          <w:szCs w:val="32"/>
        </w:rPr>
      </w:pPr>
      <w:r>
        <w:rPr>
          <w:rFonts w:eastAsia="仿宋_GB2312"/>
          <w:szCs w:val="32"/>
        </w:rPr>
        <w:t>[23]</w:t>
      </w:r>
      <w:r>
        <w:rPr>
          <w:rFonts w:eastAsia="仿宋_GB2312"/>
          <w:color w:val="000000"/>
          <w:kern w:val="0"/>
          <w:szCs w:val="32"/>
        </w:rPr>
        <w:t>GB/T 16886.10</w:t>
      </w:r>
      <w:r>
        <w:rPr>
          <w:rFonts w:hint="eastAsia" w:eastAsia="仿宋_GB2312"/>
          <w:color w:val="000000"/>
          <w:kern w:val="0"/>
          <w:szCs w:val="32"/>
        </w:rPr>
        <w:t>,</w:t>
      </w:r>
      <w:r>
        <w:rPr>
          <w:rFonts w:eastAsia="仿宋_GB2312"/>
          <w:color w:val="000000"/>
          <w:kern w:val="0"/>
          <w:szCs w:val="32"/>
        </w:rPr>
        <w:t>医疗器械生物学评价  第10部分：刺激与皮肤致敏试验</w:t>
      </w:r>
      <w:r>
        <w:rPr>
          <w:rFonts w:eastAsia="仿宋_GB2312"/>
          <w:szCs w:val="32"/>
        </w:rPr>
        <w:t>[S].</w:t>
      </w:r>
    </w:p>
    <w:p>
      <w:pPr>
        <w:spacing w:line="520" w:lineRule="exact"/>
        <w:ind w:firstLine="566" w:firstLineChars="177"/>
        <w:rPr>
          <w:rFonts w:eastAsia="仿宋_GB2312"/>
          <w:szCs w:val="32"/>
        </w:rPr>
      </w:pPr>
      <w:r>
        <w:rPr>
          <w:rFonts w:eastAsia="仿宋_GB2312"/>
          <w:szCs w:val="32"/>
        </w:rPr>
        <w:t>[24]</w:t>
      </w:r>
      <w:r>
        <w:rPr>
          <w:rFonts w:eastAsia="仿宋_GB2312"/>
          <w:color w:val="000000"/>
          <w:kern w:val="0"/>
          <w:szCs w:val="32"/>
        </w:rPr>
        <w:t>GB/T 16886.11</w:t>
      </w:r>
      <w:r>
        <w:rPr>
          <w:rFonts w:hint="eastAsia" w:eastAsia="仿宋_GB2312"/>
          <w:szCs w:val="32"/>
        </w:rPr>
        <w:t>,</w:t>
      </w:r>
      <w:r>
        <w:rPr>
          <w:rFonts w:eastAsia="仿宋_GB2312"/>
          <w:color w:val="000000"/>
          <w:kern w:val="0"/>
          <w:szCs w:val="32"/>
        </w:rPr>
        <w:t>医疗器械生物学评价  第11部分：全身毒性试验</w:t>
      </w:r>
      <w:r>
        <w:rPr>
          <w:rFonts w:eastAsia="仿宋_GB2312"/>
          <w:szCs w:val="32"/>
        </w:rPr>
        <w:t>[S].</w:t>
      </w:r>
    </w:p>
    <w:p>
      <w:pPr>
        <w:spacing w:line="520" w:lineRule="exact"/>
        <w:ind w:firstLine="566" w:firstLineChars="177"/>
        <w:rPr>
          <w:rFonts w:eastAsia="仿宋_GB2312"/>
          <w:szCs w:val="32"/>
        </w:rPr>
      </w:pPr>
      <w:r>
        <w:rPr>
          <w:rFonts w:eastAsia="仿宋_GB2312"/>
          <w:szCs w:val="32"/>
        </w:rPr>
        <w:t>[25]</w:t>
      </w:r>
      <w:r>
        <w:rPr>
          <w:rFonts w:eastAsia="仿宋_GB2312"/>
          <w:color w:val="000000"/>
          <w:kern w:val="0"/>
          <w:szCs w:val="32"/>
        </w:rPr>
        <w:t>GB 15979</w:t>
      </w:r>
      <w:r>
        <w:rPr>
          <w:rFonts w:hint="eastAsia" w:eastAsia="仿宋_GB2312"/>
          <w:szCs w:val="32"/>
        </w:rPr>
        <w:t>,</w:t>
      </w:r>
      <w:r>
        <w:rPr>
          <w:rFonts w:eastAsia="仿宋_GB2312"/>
          <w:color w:val="000000"/>
          <w:kern w:val="0"/>
          <w:szCs w:val="32"/>
        </w:rPr>
        <w:t>一次性使用卫生用品卫生标准</w:t>
      </w:r>
      <w:r>
        <w:rPr>
          <w:rFonts w:eastAsia="仿宋_GB2312"/>
          <w:szCs w:val="32"/>
        </w:rPr>
        <w:t>[S].</w:t>
      </w:r>
    </w:p>
    <w:p>
      <w:pPr>
        <w:spacing w:line="520" w:lineRule="exact"/>
        <w:ind w:firstLine="566" w:firstLineChars="177"/>
        <w:rPr>
          <w:rFonts w:eastAsia="仿宋_GB2312"/>
          <w:szCs w:val="32"/>
        </w:rPr>
      </w:pPr>
      <w:r>
        <w:rPr>
          <w:rFonts w:eastAsia="仿宋_GB2312"/>
          <w:szCs w:val="32"/>
        </w:rPr>
        <w:t>[26]</w:t>
      </w:r>
      <w:r>
        <w:rPr>
          <w:rFonts w:eastAsia="仿宋_GB2312"/>
          <w:color w:val="000000"/>
          <w:kern w:val="0"/>
          <w:szCs w:val="32"/>
        </w:rPr>
        <w:t>GB 15980</w:t>
      </w:r>
      <w:r>
        <w:rPr>
          <w:rFonts w:hint="eastAsia" w:eastAsia="仿宋_GB2312"/>
          <w:szCs w:val="32"/>
        </w:rPr>
        <w:t>,</w:t>
      </w:r>
      <w:r>
        <w:rPr>
          <w:rFonts w:eastAsia="仿宋_GB2312"/>
          <w:color w:val="000000"/>
          <w:kern w:val="0"/>
          <w:szCs w:val="32"/>
        </w:rPr>
        <w:t>一次性使用医疗用品卫生标准</w:t>
      </w:r>
      <w:r>
        <w:rPr>
          <w:rFonts w:eastAsia="仿宋_GB2312"/>
          <w:szCs w:val="32"/>
        </w:rPr>
        <w:t>[S].</w:t>
      </w:r>
    </w:p>
    <w:p>
      <w:pPr>
        <w:tabs>
          <w:tab w:val="left" w:pos="312"/>
        </w:tabs>
        <w:spacing w:line="520" w:lineRule="exact"/>
        <w:ind w:left="640"/>
        <w:rPr>
          <w:color w:val="000000"/>
          <w:sz w:val="28"/>
          <w:szCs w:val="28"/>
        </w:rPr>
      </w:pPr>
    </w:p>
    <w:sectPr>
      <w:pgSz w:w="11906" w:h="16838"/>
      <w:pgMar w:top="1560" w:right="1588" w:bottom="2098" w:left="1588"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FZS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90280849"/>
                          </w:sdtPr>
                          <w:sdtContent>
                            <w:p>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sdt>
                    <w:sdtPr>
                      <w:id w:val="90280849"/>
                    </w:sdtPr>
                    <w:sdtContent>
                      <w:p>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jVlMGZhZTM5OTk4NTFlYjlhMzU3NTY5YzkwYWIifQ=="/>
  </w:docVars>
  <w:rsids>
    <w:rsidRoot w:val="00787F7E"/>
    <w:rsid w:val="000029FB"/>
    <w:rsid w:val="0001498D"/>
    <w:rsid w:val="00016636"/>
    <w:rsid w:val="00016DA1"/>
    <w:rsid w:val="00020162"/>
    <w:rsid w:val="00021955"/>
    <w:rsid w:val="00040EE7"/>
    <w:rsid w:val="00050F5A"/>
    <w:rsid w:val="000576D3"/>
    <w:rsid w:val="00076748"/>
    <w:rsid w:val="0007686E"/>
    <w:rsid w:val="000959B3"/>
    <w:rsid w:val="000C48A1"/>
    <w:rsid w:val="000E5335"/>
    <w:rsid w:val="00120866"/>
    <w:rsid w:val="001343B4"/>
    <w:rsid w:val="00145167"/>
    <w:rsid w:val="00153754"/>
    <w:rsid w:val="0015622E"/>
    <w:rsid w:val="001B2961"/>
    <w:rsid w:val="001B2D9B"/>
    <w:rsid w:val="001C3A87"/>
    <w:rsid w:val="001E0961"/>
    <w:rsid w:val="00203460"/>
    <w:rsid w:val="00216595"/>
    <w:rsid w:val="00220FD3"/>
    <w:rsid w:val="00231886"/>
    <w:rsid w:val="00241E57"/>
    <w:rsid w:val="00242375"/>
    <w:rsid w:val="00244DF7"/>
    <w:rsid w:val="00246390"/>
    <w:rsid w:val="00277473"/>
    <w:rsid w:val="00291759"/>
    <w:rsid w:val="00294D2B"/>
    <w:rsid w:val="002B24A0"/>
    <w:rsid w:val="002D10CE"/>
    <w:rsid w:val="002D3B6C"/>
    <w:rsid w:val="002F2978"/>
    <w:rsid w:val="0030368E"/>
    <w:rsid w:val="003077C9"/>
    <w:rsid w:val="003137C1"/>
    <w:rsid w:val="0031768B"/>
    <w:rsid w:val="003228F8"/>
    <w:rsid w:val="00332DE8"/>
    <w:rsid w:val="00333BE8"/>
    <w:rsid w:val="003349FB"/>
    <w:rsid w:val="00342C88"/>
    <w:rsid w:val="003450A4"/>
    <w:rsid w:val="00355421"/>
    <w:rsid w:val="00365AB2"/>
    <w:rsid w:val="00365AF9"/>
    <w:rsid w:val="0037425F"/>
    <w:rsid w:val="00385506"/>
    <w:rsid w:val="003A57C8"/>
    <w:rsid w:val="003E7485"/>
    <w:rsid w:val="003F393F"/>
    <w:rsid w:val="00410598"/>
    <w:rsid w:val="004209B4"/>
    <w:rsid w:val="004260BA"/>
    <w:rsid w:val="00430ECB"/>
    <w:rsid w:val="00435AC6"/>
    <w:rsid w:val="00436780"/>
    <w:rsid w:val="00440708"/>
    <w:rsid w:val="00440AA4"/>
    <w:rsid w:val="004410B9"/>
    <w:rsid w:val="004536A2"/>
    <w:rsid w:val="00483A83"/>
    <w:rsid w:val="004B2F13"/>
    <w:rsid w:val="004B7D7C"/>
    <w:rsid w:val="004C4DBC"/>
    <w:rsid w:val="004C7BEE"/>
    <w:rsid w:val="004D22F0"/>
    <w:rsid w:val="004E39ED"/>
    <w:rsid w:val="004F0151"/>
    <w:rsid w:val="005041BA"/>
    <w:rsid w:val="0051403E"/>
    <w:rsid w:val="00530384"/>
    <w:rsid w:val="00534F4C"/>
    <w:rsid w:val="00540AEA"/>
    <w:rsid w:val="005609D1"/>
    <w:rsid w:val="00560AC1"/>
    <w:rsid w:val="005736D3"/>
    <w:rsid w:val="005776DB"/>
    <w:rsid w:val="00593CB6"/>
    <w:rsid w:val="005A1410"/>
    <w:rsid w:val="005A204F"/>
    <w:rsid w:val="005A519E"/>
    <w:rsid w:val="005F03C7"/>
    <w:rsid w:val="005F6CDA"/>
    <w:rsid w:val="006154A6"/>
    <w:rsid w:val="00642FA6"/>
    <w:rsid w:val="00646436"/>
    <w:rsid w:val="00653D41"/>
    <w:rsid w:val="00670933"/>
    <w:rsid w:val="006713BB"/>
    <w:rsid w:val="00674E9E"/>
    <w:rsid w:val="006A1165"/>
    <w:rsid w:val="006B7D3E"/>
    <w:rsid w:val="006C00CB"/>
    <w:rsid w:val="006C4694"/>
    <w:rsid w:val="006E68A9"/>
    <w:rsid w:val="006E7148"/>
    <w:rsid w:val="007159F9"/>
    <w:rsid w:val="00716619"/>
    <w:rsid w:val="00725E46"/>
    <w:rsid w:val="007268FA"/>
    <w:rsid w:val="00745098"/>
    <w:rsid w:val="007646FC"/>
    <w:rsid w:val="007874D3"/>
    <w:rsid w:val="00787F7E"/>
    <w:rsid w:val="007904F6"/>
    <w:rsid w:val="007B027A"/>
    <w:rsid w:val="007C4EC3"/>
    <w:rsid w:val="007D2D9A"/>
    <w:rsid w:val="007D341A"/>
    <w:rsid w:val="00805B90"/>
    <w:rsid w:val="00815364"/>
    <w:rsid w:val="00821079"/>
    <w:rsid w:val="0083192A"/>
    <w:rsid w:val="00845C30"/>
    <w:rsid w:val="00866775"/>
    <w:rsid w:val="00885F0B"/>
    <w:rsid w:val="008916FE"/>
    <w:rsid w:val="0089368A"/>
    <w:rsid w:val="008E66D5"/>
    <w:rsid w:val="008F1307"/>
    <w:rsid w:val="00905B49"/>
    <w:rsid w:val="00920A47"/>
    <w:rsid w:val="009358DC"/>
    <w:rsid w:val="00937F0E"/>
    <w:rsid w:val="00950736"/>
    <w:rsid w:val="00954754"/>
    <w:rsid w:val="0098100B"/>
    <w:rsid w:val="009940BC"/>
    <w:rsid w:val="009C091F"/>
    <w:rsid w:val="009C41FF"/>
    <w:rsid w:val="009E2514"/>
    <w:rsid w:val="009F209D"/>
    <w:rsid w:val="009F5CA0"/>
    <w:rsid w:val="00A202F3"/>
    <w:rsid w:val="00A23EC2"/>
    <w:rsid w:val="00A25C1A"/>
    <w:rsid w:val="00A41C05"/>
    <w:rsid w:val="00A5193E"/>
    <w:rsid w:val="00A55A95"/>
    <w:rsid w:val="00A62F26"/>
    <w:rsid w:val="00A73BFE"/>
    <w:rsid w:val="00A82AA0"/>
    <w:rsid w:val="00AA4FCB"/>
    <w:rsid w:val="00AB660B"/>
    <w:rsid w:val="00AC683F"/>
    <w:rsid w:val="00AD08D9"/>
    <w:rsid w:val="00AE00B1"/>
    <w:rsid w:val="00AF3558"/>
    <w:rsid w:val="00AF5D76"/>
    <w:rsid w:val="00B07836"/>
    <w:rsid w:val="00B35229"/>
    <w:rsid w:val="00B36C4F"/>
    <w:rsid w:val="00B41578"/>
    <w:rsid w:val="00B4180D"/>
    <w:rsid w:val="00B61301"/>
    <w:rsid w:val="00B66355"/>
    <w:rsid w:val="00B82BDE"/>
    <w:rsid w:val="00B86FC8"/>
    <w:rsid w:val="00B9118A"/>
    <w:rsid w:val="00B96DBF"/>
    <w:rsid w:val="00BA2475"/>
    <w:rsid w:val="00BB38F5"/>
    <w:rsid w:val="00BC2983"/>
    <w:rsid w:val="00BC7C84"/>
    <w:rsid w:val="00BD300F"/>
    <w:rsid w:val="00BE669C"/>
    <w:rsid w:val="00C05431"/>
    <w:rsid w:val="00C0562D"/>
    <w:rsid w:val="00C07DF7"/>
    <w:rsid w:val="00C13469"/>
    <w:rsid w:val="00C13825"/>
    <w:rsid w:val="00C25F69"/>
    <w:rsid w:val="00C40950"/>
    <w:rsid w:val="00C55908"/>
    <w:rsid w:val="00C677DC"/>
    <w:rsid w:val="00CA0BE6"/>
    <w:rsid w:val="00CB09C4"/>
    <w:rsid w:val="00CB4CCD"/>
    <w:rsid w:val="00CC5A22"/>
    <w:rsid w:val="00CE1F42"/>
    <w:rsid w:val="00D04997"/>
    <w:rsid w:val="00D076F0"/>
    <w:rsid w:val="00D32614"/>
    <w:rsid w:val="00D34EF1"/>
    <w:rsid w:val="00D36F91"/>
    <w:rsid w:val="00D4450D"/>
    <w:rsid w:val="00D73732"/>
    <w:rsid w:val="00D865D6"/>
    <w:rsid w:val="00DA16C2"/>
    <w:rsid w:val="00DB2F49"/>
    <w:rsid w:val="00DC7E95"/>
    <w:rsid w:val="00DD740E"/>
    <w:rsid w:val="00DF4623"/>
    <w:rsid w:val="00E07E6A"/>
    <w:rsid w:val="00E11D78"/>
    <w:rsid w:val="00E72EF4"/>
    <w:rsid w:val="00E74CB8"/>
    <w:rsid w:val="00E771F1"/>
    <w:rsid w:val="00E94099"/>
    <w:rsid w:val="00EB1A04"/>
    <w:rsid w:val="00EC523A"/>
    <w:rsid w:val="00ED0226"/>
    <w:rsid w:val="00EE261B"/>
    <w:rsid w:val="00EE3620"/>
    <w:rsid w:val="00EE4EBB"/>
    <w:rsid w:val="00F31CB3"/>
    <w:rsid w:val="00F4419B"/>
    <w:rsid w:val="00F45E55"/>
    <w:rsid w:val="00F769F4"/>
    <w:rsid w:val="00F801A1"/>
    <w:rsid w:val="00F81D1A"/>
    <w:rsid w:val="00FA36EA"/>
    <w:rsid w:val="00FB46B2"/>
    <w:rsid w:val="00FB60B2"/>
    <w:rsid w:val="00FC5FE5"/>
    <w:rsid w:val="00FC7B3B"/>
    <w:rsid w:val="00FD187A"/>
    <w:rsid w:val="00FE1EAE"/>
    <w:rsid w:val="00FF0F38"/>
    <w:rsid w:val="00FF546C"/>
    <w:rsid w:val="00FF752A"/>
    <w:rsid w:val="0B3272C7"/>
    <w:rsid w:val="197832AF"/>
    <w:rsid w:val="29955742"/>
    <w:rsid w:val="447155DB"/>
    <w:rsid w:val="47663145"/>
    <w:rsid w:val="59100135"/>
    <w:rsid w:val="5AD57425"/>
    <w:rsid w:val="6B737129"/>
    <w:rsid w:val="DEF70035"/>
    <w:rsid w:val="DFFFE17D"/>
    <w:rsid w:val="ED776AC6"/>
    <w:rsid w:val="EF9F915E"/>
    <w:rsid w:val="FBB7C68F"/>
    <w:rsid w:val="FDF752B8"/>
    <w:rsid w:val="FF7F9E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dobe 仿宋 Std R" w:cs="Times New Roman"/>
      <w:kern w:val="2"/>
      <w:sz w:val="32"/>
      <w:szCs w:val="24"/>
      <w:lang w:val="en-US" w:eastAsia="zh-CN" w:bidi="ar-SA"/>
    </w:rPr>
  </w:style>
  <w:style w:type="paragraph" w:styleId="2">
    <w:name w:val="heading 1"/>
    <w:basedOn w:val="1"/>
    <w:next w:val="1"/>
    <w:link w:val="21"/>
    <w:qFormat/>
    <w:uiPriority w:val="9"/>
    <w:pPr>
      <w:spacing w:beforeLines="50" w:afterLines="50"/>
      <w:ind w:left="1429"/>
      <w:outlineLvl w:val="0"/>
    </w:pPr>
    <w:rPr>
      <w:rFonts w:ascii="Calibri" w:hAnsi="Calibri" w:eastAsia="黑体"/>
      <w:szCs w:val="22"/>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33"/>
    <w:semiHidden/>
    <w:unhideWhenUsed/>
    <w:qFormat/>
    <w:uiPriority w:val="9"/>
    <w:pPr>
      <w:keepNext/>
      <w:keepLines/>
      <w:spacing w:before="260" w:after="260" w:line="416" w:lineRule="auto"/>
      <w:outlineLvl w:val="2"/>
    </w:pPr>
    <w:rPr>
      <w:b/>
      <w:bCs/>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alloon Text"/>
    <w:basedOn w:val="1"/>
    <w:link w:val="16"/>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rPr>
  </w:style>
  <w:style w:type="paragraph" w:styleId="8">
    <w:name w:val="header"/>
    <w:basedOn w:val="1"/>
    <w:link w:val="22"/>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5"/>
    <w:next w:val="5"/>
    <w:link w:val="19"/>
    <w:semiHidden/>
    <w:unhideWhenUsed/>
    <w:qFormat/>
    <w:uiPriority w:val="99"/>
    <w:rPr>
      <w:b/>
      <w:bCs/>
    </w:rPr>
  </w:style>
  <w:style w:type="character" w:styleId="13">
    <w:name w:val="annotation reference"/>
    <w:basedOn w:val="12"/>
    <w:semiHidden/>
    <w:unhideWhenUsed/>
    <w:qFormat/>
    <w:uiPriority w:val="99"/>
    <w:rPr>
      <w:sz w:val="21"/>
      <w:szCs w:val="21"/>
    </w:rPr>
  </w:style>
  <w:style w:type="paragraph" w:customStyle="1" w:styleId="14">
    <w:name w:val="列出段落1"/>
    <w:basedOn w:val="1"/>
    <w:link w:val="15"/>
    <w:qFormat/>
    <w:uiPriority w:val="34"/>
    <w:pPr>
      <w:ind w:firstLine="420" w:firstLineChars="200"/>
    </w:pPr>
    <w:rPr>
      <w:rFonts w:eastAsia="仿宋_GB2312"/>
      <w:szCs w:val="32"/>
    </w:rPr>
  </w:style>
  <w:style w:type="character" w:customStyle="1" w:styleId="15">
    <w:name w:val="列出段落 Char"/>
    <w:basedOn w:val="12"/>
    <w:link w:val="14"/>
    <w:qFormat/>
    <w:uiPriority w:val="34"/>
    <w:rPr>
      <w:rFonts w:ascii="Times New Roman" w:hAnsi="Times New Roman" w:eastAsia="仿宋_GB2312" w:cs="Times New Roman"/>
      <w:sz w:val="32"/>
      <w:szCs w:val="32"/>
    </w:rPr>
  </w:style>
  <w:style w:type="character" w:customStyle="1" w:styleId="16">
    <w:name w:val="批注框文本 字符"/>
    <w:basedOn w:val="12"/>
    <w:link w:val="6"/>
    <w:qFormat/>
    <w:uiPriority w:val="99"/>
    <w:rPr>
      <w:rFonts w:ascii="Times New Roman" w:hAnsi="Times New Roman" w:eastAsia="Adobe 仿宋 Std R" w:cs="Times New Roman"/>
      <w:kern w:val="2"/>
      <w:sz w:val="18"/>
      <w:szCs w:val="18"/>
    </w:rPr>
  </w:style>
  <w:style w:type="paragraph" w:styleId="17">
    <w:name w:val="List Paragraph"/>
    <w:basedOn w:val="1"/>
    <w:unhideWhenUsed/>
    <w:qFormat/>
    <w:uiPriority w:val="34"/>
    <w:pPr>
      <w:ind w:firstLine="420" w:firstLineChars="200"/>
    </w:pPr>
  </w:style>
  <w:style w:type="character" w:customStyle="1" w:styleId="18">
    <w:name w:val="批注文字 字符"/>
    <w:basedOn w:val="12"/>
    <w:link w:val="5"/>
    <w:qFormat/>
    <w:uiPriority w:val="99"/>
    <w:rPr>
      <w:rFonts w:ascii="Times New Roman" w:hAnsi="Times New Roman" w:eastAsia="Adobe 仿宋 Std R" w:cs="Times New Roman"/>
      <w:kern w:val="2"/>
      <w:sz w:val="32"/>
      <w:szCs w:val="24"/>
    </w:rPr>
  </w:style>
  <w:style w:type="character" w:customStyle="1" w:styleId="19">
    <w:name w:val="批注主题 字符"/>
    <w:basedOn w:val="18"/>
    <w:link w:val="10"/>
    <w:semiHidden/>
    <w:qFormat/>
    <w:uiPriority w:val="99"/>
    <w:rPr>
      <w:rFonts w:ascii="Times New Roman" w:hAnsi="Times New Roman" w:eastAsia="Adobe 仿宋 Std R" w:cs="Times New Roman"/>
      <w:b/>
      <w:bCs/>
      <w:kern w:val="2"/>
      <w:sz w:val="32"/>
      <w:szCs w:val="24"/>
    </w:rPr>
  </w:style>
  <w:style w:type="character" w:customStyle="1" w:styleId="20">
    <w:name w:val="页脚 字符"/>
    <w:basedOn w:val="12"/>
    <w:link w:val="7"/>
    <w:qFormat/>
    <w:uiPriority w:val="99"/>
    <w:rPr>
      <w:rFonts w:ascii="Times New Roman" w:hAnsi="Times New Roman" w:eastAsia="Adobe 仿宋 Std R" w:cs="Times New Roman"/>
      <w:kern w:val="2"/>
      <w:sz w:val="18"/>
      <w:szCs w:val="24"/>
    </w:rPr>
  </w:style>
  <w:style w:type="character" w:customStyle="1" w:styleId="21">
    <w:name w:val="标题 1 字符"/>
    <w:basedOn w:val="12"/>
    <w:link w:val="2"/>
    <w:qFormat/>
    <w:uiPriority w:val="9"/>
    <w:rPr>
      <w:rFonts w:ascii="Calibri" w:hAnsi="Calibri" w:eastAsia="黑体" w:cs="Times New Roman"/>
      <w:kern w:val="2"/>
      <w:sz w:val="32"/>
      <w:szCs w:val="22"/>
    </w:rPr>
  </w:style>
  <w:style w:type="character" w:customStyle="1" w:styleId="22">
    <w:name w:val="页眉 字符"/>
    <w:basedOn w:val="12"/>
    <w:link w:val="8"/>
    <w:qFormat/>
    <w:uiPriority w:val="99"/>
    <w:rPr>
      <w:rFonts w:ascii="DejaVu Sans" w:hAnsi="DejaVu Sans" w:eastAsia="Adobe 仿宋 Std R" w:cs="Times New Roman"/>
      <w:kern w:val="2"/>
      <w:sz w:val="18"/>
      <w:szCs w:val="24"/>
    </w:rPr>
  </w:style>
  <w:style w:type="character" w:customStyle="1" w:styleId="23">
    <w:name w:val="checkbox-line-text1"/>
    <w:basedOn w:val="12"/>
    <w:qFormat/>
    <w:uiPriority w:val="0"/>
  </w:style>
  <w:style w:type="paragraph" w:customStyle="1" w:styleId="24">
    <w:name w:val="表格正文文本"/>
    <w:basedOn w:val="1"/>
    <w:qFormat/>
    <w:uiPriority w:val="0"/>
    <w:pPr>
      <w:widowControl/>
      <w:jc w:val="center"/>
    </w:pPr>
    <w:rPr>
      <w:rFonts w:ascii="Tahoma" w:hAnsi="Tahoma" w:eastAsia="宋体"/>
      <w:kern w:val="0"/>
      <w:sz w:val="18"/>
      <w:szCs w:val="20"/>
    </w:rPr>
  </w:style>
  <w:style w:type="character" w:customStyle="1" w:styleId="25">
    <w:name w:val="high-light-bg4"/>
    <w:basedOn w:val="12"/>
    <w:qFormat/>
    <w:uiPriority w:val="0"/>
  </w:style>
  <w:style w:type="paragraph" w:customStyle="1" w:styleId="26">
    <w:name w:val="リスト段落"/>
    <w:basedOn w:val="1"/>
    <w:qFormat/>
    <w:uiPriority w:val="0"/>
    <w:pPr>
      <w:ind w:firstLine="200" w:firstLineChars="200"/>
    </w:pPr>
    <w:rPr>
      <w:rFonts w:ascii="Calibri" w:hAnsi="Calibri" w:eastAsia="宋体"/>
      <w:sz w:val="21"/>
      <w:szCs w:val="22"/>
    </w:rPr>
  </w:style>
  <w:style w:type="paragraph" w:customStyle="1" w:styleId="27">
    <w:name w:val="调查项目"/>
    <w:basedOn w:val="1"/>
    <w:qFormat/>
    <w:uiPriority w:val="0"/>
    <w:pPr>
      <w:outlineLvl w:val="1"/>
    </w:pPr>
    <w:rPr>
      <w:rFonts w:ascii="Tahoma" w:hAnsi="Tahoma" w:eastAsia="黑体"/>
      <w:bCs/>
      <w:color w:val="333399"/>
      <w:sz w:val="18"/>
      <w:szCs w:val="18"/>
    </w:rPr>
  </w:style>
  <w:style w:type="character" w:customStyle="1" w:styleId="28">
    <w:name w:val="fontstyle01"/>
    <w:basedOn w:val="12"/>
    <w:qFormat/>
    <w:uiPriority w:val="0"/>
    <w:rPr>
      <w:rFonts w:hint="default" w:ascii="FZSSK--GBK1-0" w:hAnsi="FZSSK--GBK1-0"/>
      <w:color w:val="242021"/>
      <w:sz w:val="22"/>
      <w:szCs w:val="22"/>
    </w:rPr>
  </w:style>
  <w:style w:type="character" w:customStyle="1" w:styleId="29">
    <w:name w:val="f101"/>
    <w:qFormat/>
    <w:uiPriority w:val="0"/>
    <w:rPr>
      <w:sz w:val="24"/>
      <w:szCs w:val="24"/>
    </w:rPr>
  </w:style>
  <w:style w:type="paragraph" w:customStyle="1" w:styleId="30">
    <w:name w:val="段"/>
    <w:link w:val="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段 Char"/>
    <w:link w:val="30"/>
    <w:qFormat/>
    <w:uiPriority w:val="0"/>
    <w:rPr>
      <w:rFonts w:ascii="宋体" w:hAnsi="Times New Roman" w:eastAsia="宋体" w:cs="Times New Roman"/>
      <w:sz w:val="21"/>
    </w:rPr>
  </w:style>
  <w:style w:type="character" w:customStyle="1" w:styleId="32">
    <w:name w:val="标题 2 字符"/>
    <w:basedOn w:val="12"/>
    <w:link w:val="3"/>
    <w:qFormat/>
    <w:uiPriority w:val="9"/>
    <w:rPr>
      <w:rFonts w:asciiTheme="majorHAnsi" w:hAnsiTheme="majorHAnsi" w:eastAsiaTheme="majorEastAsia" w:cstheme="majorBidi"/>
      <w:b/>
      <w:bCs/>
      <w:kern w:val="2"/>
      <w:sz w:val="32"/>
      <w:szCs w:val="32"/>
    </w:rPr>
  </w:style>
  <w:style w:type="character" w:customStyle="1" w:styleId="33">
    <w:name w:val="标题 3 字符"/>
    <w:basedOn w:val="12"/>
    <w:link w:val="4"/>
    <w:semiHidden/>
    <w:qFormat/>
    <w:uiPriority w:val="9"/>
    <w:rPr>
      <w:rFonts w:ascii="Times New Roman" w:hAnsi="Times New Roman" w:eastAsia="Adobe 仿宋 Std R"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95E288-0CE3-4B5D-BA29-C5AEB7F34A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8884</Words>
  <Characters>9850</Characters>
  <Lines>73</Lines>
  <Paragraphs>20</Paragraphs>
  <TotalTime>1</TotalTime>
  <ScaleCrop>false</ScaleCrop>
  <LinksUpToDate>false</LinksUpToDate>
  <CharactersWithSpaces>9976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2022-09-02T03:47:00Z</dcterms:created>
  <dc:creator>董利华</dc:creator>
  <cp:lastModifiedBy>马琼荣</cp:lastModifiedBy>
  <dcterms:modified xsi:type="dcterms:W3CDTF">2022-11-25T03:37:53Z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B1C0D9D550444260A0F8EFBE85B39864</vt:lpwstr>
  </property>
</Properties>
</file>